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Style w:val="13"/>
          <w:rFonts w:ascii="方正小标宋简体" w:hAnsi="方正小标宋简体" w:eastAsia="方正小标宋简体" w:cs="方正小标宋简体"/>
          <w:b w:val="0"/>
          <w:bCs/>
          <w:szCs w:val="44"/>
        </w:rPr>
      </w:pPr>
      <w:bookmarkStart w:id="0" w:name="_GoBack"/>
      <w:r>
        <w:rPr>
          <w:rStyle w:val="13"/>
          <w:rFonts w:hint="eastAsia" w:ascii="方正小标宋简体" w:hAnsi="方正小标宋简体" w:eastAsia="方正小标宋简体" w:cs="方正小标宋简体"/>
          <w:b w:val="0"/>
          <w:bCs/>
          <w:szCs w:val="44"/>
        </w:rPr>
        <w:t>淮南市人民政府关于划定高排放</w:t>
      </w:r>
    </w:p>
    <w:p>
      <w:pPr>
        <w:spacing w:line="578" w:lineRule="exact"/>
        <w:jc w:val="center"/>
        <w:rPr>
          <w:rStyle w:val="13"/>
          <w:rFonts w:ascii="方正小标宋简体" w:hAnsi="方正小标宋简体" w:eastAsia="方正小标宋简体" w:cs="方正小标宋简体"/>
          <w:b w:val="0"/>
          <w:bCs/>
          <w:szCs w:val="44"/>
        </w:rPr>
      </w:pPr>
      <w:r>
        <w:rPr>
          <w:rStyle w:val="13"/>
          <w:rFonts w:hint="eastAsia" w:ascii="方正小标宋简体" w:hAnsi="方正小标宋简体" w:eastAsia="方正小标宋简体" w:cs="方正小标宋简体"/>
          <w:b w:val="0"/>
          <w:bCs/>
          <w:szCs w:val="44"/>
        </w:rPr>
        <w:t>非道路移动机械禁用区的通告</w:t>
      </w:r>
    </w:p>
    <w:bookmarkEnd w:id="0"/>
    <w:p>
      <w:pPr>
        <w:spacing w:line="578" w:lineRule="exact"/>
        <w:ind w:firstLine="560" w:firstLineChars="200"/>
        <w:rPr>
          <w:rStyle w:val="13"/>
          <w:rFonts w:ascii="仿宋_GB2312" w:hAnsi="仿宋_GB2312" w:eastAsia="仿宋_GB2312" w:cs="仿宋_GB2312"/>
          <w:sz w:val="28"/>
          <w:szCs w:val="28"/>
        </w:rPr>
      </w:pPr>
    </w:p>
    <w:p>
      <w:pPr>
        <w:spacing w:line="57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为进一步改善环境空气质量，减少非道路移动机械污染排放，根据《中华人民共和国大气污染防治法》和《淮南市人民政府办公室关于印发柴油货车污染防治攻坚战实施方案的通知》（淮府办秘</w:t>
      </w:r>
      <w:r>
        <w:rPr>
          <w:rFonts w:hint="eastAsia" w:eastAsia="仿宋_GB2312"/>
          <w:sz w:val="32"/>
          <w:szCs w:val="32"/>
        </w:rPr>
        <w:t>〔</w:t>
      </w:r>
      <w:r>
        <w:rPr>
          <w:rFonts w:eastAsia="仿宋_GB2312"/>
          <w:sz w:val="32"/>
          <w:szCs w:val="32"/>
        </w:rPr>
        <w:t>2019</w:t>
      </w:r>
      <w:r>
        <w:rPr>
          <w:rFonts w:hint="eastAsia" w:eastAsia="仿宋_GB2312"/>
          <w:sz w:val="32"/>
          <w:szCs w:val="32"/>
        </w:rPr>
        <w:t>〕</w:t>
      </w:r>
      <w:r>
        <w:rPr>
          <w:rFonts w:eastAsia="仿宋_GB2312"/>
          <w:sz w:val="32"/>
          <w:szCs w:val="32"/>
        </w:rPr>
        <w:t>35</w:t>
      </w:r>
      <w:r>
        <w:rPr>
          <w:rFonts w:hint="eastAsia" w:ascii="仿宋_GB2312" w:hAnsi="仿宋" w:eastAsia="仿宋_GB2312" w:cs="仿宋"/>
          <w:sz w:val="32"/>
          <w:szCs w:val="32"/>
        </w:rPr>
        <w:t>号）的相关规定，本市划定高排放非道路移动机械禁止使用区（以下简称禁用区）。现将有关事项通告如下：</w:t>
      </w:r>
    </w:p>
    <w:p>
      <w:pPr>
        <w:spacing w:line="578" w:lineRule="exact"/>
        <w:ind w:firstLine="640" w:firstLineChars="200"/>
        <w:rPr>
          <w:rFonts w:ascii="黑体" w:hAnsi="仿宋_GB2312" w:eastAsia="黑体" w:cs="仿宋_GB2312"/>
          <w:sz w:val="32"/>
          <w:szCs w:val="32"/>
        </w:rPr>
      </w:pPr>
      <w:r>
        <w:rPr>
          <w:rFonts w:hint="eastAsia" w:ascii="黑体" w:hAnsi="仿宋_GB2312" w:eastAsia="黑体" w:cs="仿宋_GB2312"/>
          <w:sz w:val="32"/>
          <w:szCs w:val="32"/>
        </w:rPr>
        <w:t>一、禁用区范围</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（一）寿县：东至东津渡大桥、南至滨湖大道、西至定湖大道、北至靖淮桥。</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（二）凤台县：县城中心区域（东至淮河，西至凤蒙路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凤利路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南湖大道一线，南至淮河，北至淮阜铁路线）。</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（三）大通区：大通主城区（东至中兴路，西至居仁村，南至舜耕山，北至淮蚌铁路线），九龙岗镇城区（东至镇东路，西至万向路，南至舜耕山，北至洞山东路），国庆东路洛河段两侧</w:t>
      </w:r>
      <w:r>
        <w:rPr>
          <w:rFonts w:eastAsia="仿宋_GB2312"/>
          <w:sz w:val="32"/>
          <w:szCs w:val="32"/>
        </w:rPr>
        <w:t>500</w:t>
      </w:r>
      <w:r>
        <w:rPr>
          <w:rFonts w:hint="eastAsia" w:hAnsi="仿宋_GB2312" w:eastAsia="仿宋_GB2312"/>
          <w:sz w:val="32"/>
          <w:szCs w:val="32"/>
        </w:rPr>
        <w:t>米范围</w:t>
      </w:r>
      <w:r>
        <w:rPr>
          <w:rFonts w:hint="eastAsia" w:ascii="仿宋_GB2312" w:hAnsi="仿宋_GB2312" w:eastAsia="仿宋_GB2312" w:cs="仿宋_GB2312"/>
          <w:sz w:val="32"/>
          <w:szCs w:val="32"/>
        </w:rPr>
        <w:t>内，国庆东路上窑段两</w:t>
      </w:r>
      <w:r>
        <w:rPr>
          <w:rFonts w:hint="eastAsia" w:hAnsi="仿宋_GB2312" w:eastAsia="仿宋_GB2312"/>
          <w:sz w:val="32"/>
          <w:szCs w:val="32"/>
        </w:rPr>
        <w:t>侧</w:t>
      </w:r>
      <w:r>
        <w:rPr>
          <w:rFonts w:eastAsia="仿宋_GB2312"/>
          <w:sz w:val="32"/>
          <w:szCs w:val="32"/>
        </w:rPr>
        <w:t>500</w:t>
      </w:r>
      <w:r>
        <w:rPr>
          <w:rFonts w:hint="eastAsia" w:hAnsi="仿宋_GB2312" w:eastAsia="仿宋_GB2312"/>
          <w:sz w:val="32"/>
          <w:szCs w:val="32"/>
        </w:rPr>
        <w:t>米范围</w:t>
      </w:r>
      <w:r>
        <w:rPr>
          <w:rFonts w:hint="eastAsia" w:ascii="仿宋_GB2312" w:hAnsi="仿宋_GB2312" w:eastAsia="仿宋_GB2312" w:cs="仿宋_GB2312"/>
          <w:sz w:val="32"/>
          <w:szCs w:val="32"/>
        </w:rPr>
        <w:t>内，大通工业园区。</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（四）田家庵区：东至田大路，西至与谢家集区交界处，南至舜耕山，北至淮河沿线。</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（五）谢家集区：东至蔡新路；南至蔡新路至夏郢孜西路至二通道；西至二通道至医院路；北至医院路至平山路至蔡新路。</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（六）八公山区：东至水张铁路线（八公山镇至山王镇李嘴孜段），西至东西部第二通道，南至常山路，北至东西部第二通道与淮凤路交界处。</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（七）潘集区：东至孔李大桥连接线，西至西外环路，南至珠江路，北至滨河路。</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（八）毛集实验区：</w:t>
      </w:r>
      <w:r>
        <w:rPr>
          <w:rFonts w:eastAsia="仿宋_GB2312"/>
          <w:sz w:val="32"/>
          <w:szCs w:val="32"/>
        </w:rPr>
        <w:t>102</w:t>
      </w:r>
      <w:r>
        <w:rPr>
          <w:rFonts w:hint="eastAsia" w:hAnsi="仿宋_GB2312" w:eastAsia="仿宋_GB2312"/>
          <w:sz w:val="32"/>
          <w:szCs w:val="32"/>
        </w:rPr>
        <w:t>省</w:t>
      </w:r>
      <w:r>
        <w:rPr>
          <w:rFonts w:hint="eastAsia" w:ascii="仿宋_GB2312" w:hAnsi="仿宋_GB2312" w:eastAsia="仿宋_GB2312" w:cs="仿宋_GB2312"/>
          <w:sz w:val="32"/>
          <w:szCs w:val="32"/>
        </w:rPr>
        <w:t>道以南，高速下路口以东，焦岗湖以北，焦岗湖镇史集路以西。</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（九）淮南经济技术开发区：东至中兴路高压走廊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洛九路，西至田大路，南至洞山东路，北至淮河大坝。</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（十）淮南高新技术产业开发区：</w:t>
      </w:r>
      <w:r>
        <w:rPr>
          <w:rFonts w:hint="eastAsia" w:ascii="仿宋_GB2312" w:eastAsia="仿宋_GB2312"/>
          <w:sz w:val="32"/>
          <w:szCs w:val="32"/>
        </w:rPr>
        <w:t>东沿淮舜南路，玉兰大道，和风大街，瓦埠湖路，春申大街至淮河大道南段，西沿青桐大道，泰康街至合淮路，北至沿山路。</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（十一）八公山风景名胜区、舜耕山风景区、上窑国家森林公园：全部辖区。</w:t>
      </w:r>
    </w:p>
    <w:p>
      <w:pPr>
        <w:spacing w:line="578" w:lineRule="exact"/>
        <w:ind w:left="420" w:leftChars="200" w:firstLine="320" w:firstLineChars="100"/>
        <w:rPr>
          <w:rFonts w:ascii="黑体" w:hAnsi="黑体" w:eastAsia="黑体"/>
          <w:sz w:val="32"/>
          <w:szCs w:val="32"/>
        </w:rPr>
      </w:pPr>
      <w:r>
        <w:rPr>
          <w:rFonts w:hint="eastAsia" w:ascii="黑体" w:hAnsi="黑体" w:eastAsia="黑体" w:cs="黑体"/>
          <w:sz w:val="32"/>
          <w:szCs w:val="32"/>
        </w:rPr>
        <w:t>二、适用范围及高排放标准</w:t>
      </w:r>
    </w:p>
    <w:p>
      <w:pPr>
        <w:spacing w:line="578"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本通告适用于在施工工地、物流园区、大型工矿企业、港口码头、铁路货场作业的非道路移动机械，主要包括但不限于以下机械类型：挖掘机、起重机、推土机、装载机、压路机、摊铺机、平地机、叉车、打桩机、铲车、牵引车、摆渡车等。</w:t>
      </w:r>
    </w:p>
    <w:p>
      <w:pPr>
        <w:spacing w:line="578"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（二）非道路移动机械有下列情形之一的属高排放：</w:t>
      </w:r>
    </w:p>
    <w:p>
      <w:pPr>
        <w:spacing w:line="578" w:lineRule="exact"/>
        <w:ind w:firstLine="640" w:firstLineChars="200"/>
        <w:rPr>
          <w:rFonts w:ascii="仿宋_GB2312" w:hAnsi="仿宋" w:eastAsia="仿宋_GB2312"/>
          <w:sz w:val="32"/>
          <w:szCs w:val="32"/>
        </w:rPr>
      </w:pPr>
      <w:r>
        <w:rPr>
          <w:rFonts w:eastAsia="仿宋_GB2312"/>
          <w:sz w:val="32"/>
          <w:szCs w:val="32"/>
        </w:rPr>
        <w:t>1</w:t>
      </w:r>
      <w:r>
        <w:rPr>
          <w:rFonts w:hint="eastAsia" w:ascii="仿宋_GB2312" w:eastAsia="仿宋_GB2312"/>
          <w:sz w:val="32"/>
          <w:szCs w:val="32"/>
        </w:rPr>
        <w:t>．</w:t>
      </w:r>
      <w:r>
        <w:rPr>
          <w:rFonts w:hint="eastAsia" w:ascii="仿宋_GB2312" w:hAnsi="仿宋" w:eastAsia="仿宋_GB2312" w:cs="仿宋"/>
          <w:sz w:val="32"/>
          <w:szCs w:val="32"/>
        </w:rPr>
        <w:t>排放黑烟等明显可视污染物的或经检测污染物排放超过《非道路柴油移动机械排气烟度限值及测量方法》（</w:t>
      </w:r>
      <w:r>
        <w:rPr>
          <w:rFonts w:eastAsia="仿宋_GB2312"/>
          <w:sz w:val="32"/>
          <w:szCs w:val="32"/>
        </w:rPr>
        <w:t>GB36886—2018</w:t>
      </w:r>
      <w:r>
        <w:rPr>
          <w:rFonts w:hint="eastAsia" w:ascii="仿宋_GB2312" w:hAnsi="仿宋" w:eastAsia="仿宋_GB2312" w:cs="仿宋"/>
          <w:sz w:val="32"/>
          <w:szCs w:val="32"/>
        </w:rPr>
        <w:t>）规定限值的；</w:t>
      </w:r>
    </w:p>
    <w:p>
      <w:pPr>
        <w:spacing w:line="578" w:lineRule="exact"/>
        <w:ind w:firstLine="640" w:firstLineChars="200"/>
        <w:rPr>
          <w:rFonts w:ascii="仿宋_GB2312" w:hAnsi="仿宋" w:eastAsia="仿宋_GB2312"/>
          <w:sz w:val="32"/>
          <w:szCs w:val="32"/>
        </w:rPr>
      </w:pPr>
      <w:r>
        <w:rPr>
          <w:rFonts w:eastAsia="仿宋_GB2312"/>
          <w:sz w:val="32"/>
          <w:szCs w:val="32"/>
        </w:rPr>
        <w:t>2</w:t>
      </w:r>
      <w:r>
        <w:rPr>
          <w:rFonts w:hint="eastAsia" w:ascii="仿宋_GB2312" w:eastAsia="仿宋_GB2312"/>
          <w:sz w:val="32"/>
          <w:szCs w:val="32"/>
        </w:rPr>
        <w:t>．</w:t>
      </w:r>
      <w:r>
        <w:rPr>
          <w:rFonts w:hint="eastAsia" w:ascii="仿宋_GB2312" w:hAnsi="仿宋" w:eastAsia="仿宋_GB2312" w:cs="仿宋"/>
          <w:sz w:val="32"/>
          <w:szCs w:val="32"/>
        </w:rPr>
        <w:t>所装用柴油机达不到《非道路移动机械用柴油机排气污染物排放限值及测量方法</w:t>
      </w:r>
      <w:r>
        <w:rPr>
          <w:rFonts w:ascii="仿宋_GB2312" w:hAnsi="仿宋" w:eastAsia="仿宋_GB2312" w:cs="仿宋"/>
          <w:sz w:val="32"/>
          <w:szCs w:val="32"/>
        </w:rPr>
        <w:t>(</w:t>
      </w:r>
      <w:r>
        <w:rPr>
          <w:rFonts w:hint="eastAsia" w:ascii="仿宋_GB2312" w:hAnsi="仿宋" w:eastAsia="仿宋_GB2312" w:cs="仿宋"/>
          <w:sz w:val="32"/>
          <w:szCs w:val="32"/>
        </w:rPr>
        <w:t>中国第三、四阶段）》（</w:t>
      </w:r>
      <w:r>
        <w:rPr>
          <w:rFonts w:eastAsia="仿宋_GB2312"/>
          <w:sz w:val="32"/>
          <w:szCs w:val="32"/>
        </w:rPr>
        <w:t>GB20891—2014</w:t>
      </w:r>
      <w:r>
        <w:rPr>
          <w:rFonts w:hint="eastAsia" w:ascii="仿宋_GB2312" w:hAnsi="仿宋" w:eastAsia="仿宋_GB2312" w:cs="仿宋"/>
          <w:sz w:val="32"/>
          <w:szCs w:val="32"/>
        </w:rPr>
        <w:t>）第三阶段标准的。</w:t>
      </w:r>
    </w:p>
    <w:p>
      <w:pPr>
        <w:spacing w:line="578" w:lineRule="exact"/>
        <w:ind w:firstLine="640" w:firstLineChars="200"/>
        <w:jc w:val="left"/>
        <w:rPr>
          <w:rFonts w:ascii="黑体" w:hAnsi="黑体" w:eastAsia="黑体" w:cs="黑体"/>
          <w:sz w:val="32"/>
          <w:szCs w:val="32"/>
        </w:rPr>
      </w:pPr>
      <w:r>
        <w:rPr>
          <w:rFonts w:hint="eastAsia" w:ascii="黑体" w:hAnsi="黑体" w:eastAsia="黑体" w:cs="黑体"/>
          <w:kern w:val="0"/>
          <w:sz w:val="32"/>
          <w:szCs w:val="32"/>
        </w:rPr>
        <w:t>三、禁用区高排放非道路移动机械管理</w:t>
      </w:r>
    </w:p>
    <w:p>
      <w:pPr>
        <w:spacing w:line="578" w:lineRule="exact"/>
        <w:ind w:firstLine="640" w:firstLineChars="200"/>
        <w:jc w:val="left"/>
      </w:pPr>
      <w:r>
        <w:rPr>
          <w:rFonts w:hint="eastAsia" w:ascii="仿宋_GB2312" w:hAnsi="仿宋" w:eastAsia="仿宋_GB2312" w:cs="仿宋_GB2312"/>
          <w:kern w:val="0"/>
          <w:sz w:val="32"/>
          <w:szCs w:val="32"/>
        </w:rPr>
        <w:t>（一）在禁用区内使用的非道路移动机械，排放的大气污染物不得超过规定排放标准。工程招标和施工、生产中，鼓励选用电动、气动非道路移动机械。</w:t>
      </w:r>
    </w:p>
    <w:p>
      <w:pPr>
        <w:spacing w:line="578" w:lineRule="exact"/>
        <w:ind w:firstLine="640" w:firstLineChars="200"/>
        <w:rPr>
          <w:rFonts w:ascii="仿宋_GB2312" w:hAnsi="仿宋" w:eastAsia="仿宋_GB2312" w:cs="仿宋"/>
          <w:sz w:val="32"/>
          <w:szCs w:val="32"/>
        </w:rPr>
      </w:pPr>
      <w:r>
        <w:rPr>
          <w:rFonts w:hint="eastAsia" w:ascii="仿宋_GB2312" w:hAnsi="仿宋" w:eastAsia="仿宋_GB2312" w:cs="仿宋_GB2312"/>
          <w:kern w:val="0"/>
          <w:sz w:val="32"/>
          <w:szCs w:val="32"/>
        </w:rPr>
        <w:t>（二）</w:t>
      </w:r>
      <w:r>
        <w:rPr>
          <w:rFonts w:eastAsia="仿宋_GB2312"/>
          <w:sz w:val="32"/>
          <w:szCs w:val="32"/>
        </w:rPr>
        <w:t>2020</w:t>
      </w:r>
      <w:r>
        <w:rPr>
          <w:rFonts w:hint="eastAsia" w:eastAsia="仿宋_GB2312"/>
          <w:sz w:val="32"/>
          <w:szCs w:val="32"/>
        </w:rPr>
        <w:t>年</w:t>
      </w:r>
      <w:r>
        <w:rPr>
          <w:rFonts w:eastAsia="仿宋_GB2312"/>
          <w:sz w:val="32"/>
          <w:szCs w:val="32"/>
        </w:rPr>
        <w:t>4</w:t>
      </w:r>
      <w:r>
        <w:rPr>
          <w:rFonts w:hint="eastAsia" w:eastAsia="仿宋_GB2312"/>
          <w:sz w:val="32"/>
          <w:szCs w:val="32"/>
        </w:rPr>
        <w:t>月</w:t>
      </w:r>
      <w:r>
        <w:rPr>
          <w:rFonts w:eastAsia="仿宋_GB2312"/>
          <w:sz w:val="32"/>
          <w:szCs w:val="32"/>
        </w:rPr>
        <w:t>30</w:t>
      </w:r>
      <w:r>
        <w:rPr>
          <w:rFonts w:hint="eastAsia" w:eastAsia="仿宋_GB2312"/>
          <w:sz w:val="32"/>
          <w:szCs w:val="32"/>
        </w:rPr>
        <w:t>日之</w:t>
      </w:r>
      <w:r>
        <w:rPr>
          <w:rFonts w:hint="eastAsia" w:ascii="仿宋_GB2312" w:hAnsi="仿宋" w:eastAsia="仿宋_GB2312" w:cs="仿宋"/>
          <w:sz w:val="32"/>
          <w:szCs w:val="32"/>
        </w:rPr>
        <w:t>前，凡使用非道路移动机械的单位、个人，需向所在辖区生态环境部门办理</w:t>
      </w:r>
      <w:r>
        <w:rPr>
          <w:rFonts w:hint="eastAsia" w:ascii="仿宋_GB2312" w:hAnsi="仿宋" w:eastAsia="仿宋_GB2312" w:cs="仿宋_GB2312"/>
          <w:kern w:val="0"/>
          <w:sz w:val="32"/>
          <w:szCs w:val="32"/>
        </w:rPr>
        <w:t>编码登记</w:t>
      </w:r>
      <w:r>
        <w:rPr>
          <w:rFonts w:hint="eastAsia" w:ascii="仿宋_GB2312" w:hAnsi="仿宋" w:eastAsia="仿宋_GB2312" w:cs="仿宋"/>
          <w:sz w:val="32"/>
          <w:szCs w:val="32"/>
        </w:rPr>
        <w:t>和环保标牌。新购置或转入的非道路移动机械，应在购置或转入</w:t>
      </w:r>
      <w:r>
        <w:rPr>
          <w:rFonts w:hint="eastAsia" w:eastAsia="仿宋_GB2312"/>
          <w:sz w:val="32"/>
          <w:szCs w:val="32"/>
        </w:rPr>
        <w:t>之日起</w:t>
      </w:r>
      <w:r>
        <w:rPr>
          <w:rFonts w:eastAsia="仿宋_GB2312"/>
          <w:sz w:val="32"/>
          <w:szCs w:val="32"/>
        </w:rPr>
        <w:t>30</w:t>
      </w:r>
      <w:r>
        <w:rPr>
          <w:rFonts w:hint="eastAsia" w:eastAsia="仿宋_GB2312"/>
          <w:sz w:val="32"/>
          <w:szCs w:val="32"/>
        </w:rPr>
        <w:t>日</w:t>
      </w:r>
      <w:r>
        <w:rPr>
          <w:rFonts w:hint="eastAsia" w:ascii="仿宋_GB2312" w:hAnsi="仿宋" w:eastAsia="仿宋_GB2312" w:cs="仿宋"/>
          <w:sz w:val="32"/>
          <w:szCs w:val="32"/>
        </w:rPr>
        <w:t>内完成办理编码登记。</w:t>
      </w:r>
    </w:p>
    <w:p>
      <w:pPr>
        <w:spacing w:line="578"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
          <w:sz w:val="32"/>
          <w:szCs w:val="32"/>
        </w:rPr>
        <w:t>（三）在禁用区内使用高排放非道路移动机械的，</w:t>
      </w:r>
      <w:r>
        <w:rPr>
          <w:rFonts w:hint="eastAsia" w:ascii="仿宋_GB2312" w:hAnsi="仿宋" w:eastAsia="仿宋_GB2312" w:cs="仿宋_GB2312"/>
          <w:kern w:val="0"/>
          <w:sz w:val="32"/>
          <w:szCs w:val="32"/>
        </w:rPr>
        <w:t>由生态环境部门依据《中华人民共和国大气污染防治法》相关规定予以处罚。</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（四）城乡建设、交通运输、城市管理、重点工程、农业农村、林业、园林、水利、市场监督等有关部门根据各自监管职责，建立非道路移动机械管理制度，在日常管理工作中落实本通告要求。</w:t>
      </w:r>
    </w:p>
    <w:p>
      <w:pPr>
        <w:spacing w:line="578" w:lineRule="exact"/>
        <w:ind w:firstLine="640" w:firstLineChars="200"/>
        <w:rPr>
          <w:rFonts w:ascii="仿宋_GB2312" w:eastAsia="仿宋_GB2312"/>
          <w:sz w:val="32"/>
          <w:szCs w:val="32"/>
        </w:rPr>
      </w:pPr>
      <w:r>
        <w:rPr>
          <w:rFonts w:hint="eastAsia" w:ascii="仿宋_GB2312" w:hAnsi="仿宋" w:eastAsia="仿宋_GB2312" w:cs="仿宋_GB2312"/>
          <w:kern w:val="0"/>
          <w:sz w:val="32"/>
          <w:szCs w:val="32"/>
        </w:rPr>
        <w:t>（五）禁用区内，各类项目单位应建立非道路移动机械进场管理台账，禁止高排放非道路移动机械进场使用。</w:t>
      </w:r>
    </w:p>
    <w:p>
      <w:pPr>
        <w:spacing w:line="578" w:lineRule="exact"/>
        <w:ind w:firstLine="641"/>
        <w:jc w:val="left"/>
      </w:pPr>
      <w:permStart w:id="0" w:edGrp="everyone"/>
      <w:r>
        <w:rPr>
          <w:rFonts w:hint="eastAsia" w:ascii="仿宋_GB2312" w:hAnsi="仿宋" w:eastAsia="仿宋_GB2312" w:cs="仿宋_GB2312"/>
          <w:kern w:val="0"/>
          <w:sz w:val="32"/>
          <w:szCs w:val="32"/>
        </w:rPr>
        <w:t>（六）在用非道路移动机械未安装污染控制装置或者污染控</w:t>
      </w:r>
      <w:permEnd w:id="0"/>
      <w:r>
        <w:rPr>
          <w:rFonts w:hint="eastAsia" w:ascii="仿宋_GB2312" w:hAnsi="仿宋" w:eastAsia="仿宋_GB2312" w:cs="仿宋_GB2312"/>
          <w:kern w:val="0"/>
          <w:sz w:val="32"/>
          <w:szCs w:val="32"/>
        </w:rPr>
        <w:t>制装置不符合要求，不能达标排放的，应加装或者更换符合要求的污染控制装置；对明显不能达标排放的非道路移动机械，应立即停止使用，并予以维修。</w:t>
      </w:r>
    </w:p>
    <w:p>
      <w:pPr>
        <w:spacing w:line="578" w:lineRule="exact"/>
        <w:ind w:firstLine="641"/>
        <w:rPr>
          <w:rFonts w:ascii="黑体" w:hAnsi="黑体" w:eastAsia="黑体"/>
          <w:sz w:val="32"/>
          <w:szCs w:val="32"/>
        </w:rPr>
      </w:pPr>
      <w:r>
        <w:rPr>
          <w:rFonts w:hint="eastAsia" w:ascii="黑体" w:hAnsi="黑体" w:eastAsia="黑体" w:cs="黑体"/>
          <w:sz w:val="32"/>
          <w:szCs w:val="32"/>
        </w:rPr>
        <w:t>四、实施时间</w:t>
      </w:r>
    </w:p>
    <w:p>
      <w:pPr>
        <w:spacing w:line="578"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本通告自发布之日起施行。</w:t>
      </w: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wordWrap w:val="0"/>
        <w:spacing w:line="578" w:lineRule="exact"/>
        <w:ind w:firstLine="4960" w:firstLineChars="1550"/>
        <w:jc w:val="right"/>
        <w:rPr>
          <w:rFonts w:eastAsia="仿宋_GB2312"/>
          <w:sz w:val="32"/>
          <w:szCs w:val="32"/>
        </w:rPr>
      </w:pPr>
      <w:r>
        <w:rPr>
          <w:rFonts w:eastAsia="仿宋_GB2312"/>
          <w:sz w:val="32"/>
          <w:szCs w:val="32"/>
        </w:rPr>
        <w:t>2020</w:t>
      </w:r>
      <w:r>
        <w:rPr>
          <w:rFonts w:hint="eastAsia" w:hAnsi="仿宋_GB2312" w:eastAsia="仿宋_GB2312"/>
          <w:sz w:val="32"/>
          <w:szCs w:val="32"/>
        </w:rPr>
        <w:t>年</w:t>
      </w:r>
      <w:r>
        <w:rPr>
          <w:rFonts w:eastAsia="仿宋_GB2312"/>
          <w:sz w:val="32"/>
          <w:szCs w:val="32"/>
        </w:rPr>
        <w:t>3</w:t>
      </w:r>
      <w:r>
        <w:rPr>
          <w:rFonts w:hint="eastAsia" w:hAnsi="仿宋_GB2312" w:eastAsia="仿宋_GB2312"/>
          <w:sz w:val="32"/>
          <w:szCs w:val="32"/>
        </w:rPr>
        <w:t>月</w:t>
      </w:r>
      <w:r>
        <w:rPr>
          <w:rFonts w:eastAsia="仿宋_GB2312"/>
          <w:sz w:val="32"/>
          <w:szCs w:val="32"/>
        </w:rPr>
        <w:t>6</w:t>
      </w:r>
      <w:r>
        <w:rPr>
          <w:rFonts w:hint="eastAsia" w:hAnsi="仿宋_GB2312" w:eastAsia="仿宋_GB2312"/>
          <w:sz w:val="32"/>
          <w:szCs w:val="32"/>
        </w:rPr>
        <w:t>日</w:t>
      </w:r>
      <w:r>
        <w:rPr>
          <w:rFonts w:eastAsia="仿宋_GB2312"/>
          <w:sz w:val="32"/>
          <w:szCs w:val="32"/>
        </w:rPr>
        <w:t xml:space="preserve">        </w:t>
      </w:r>
    </w:p>
    <w:p>
      <w:pPr>
        <w:spacing w:line="578" w:lineRule="exact"/>
        <w:ind w:firstLine="4960" w:firstLineChars="1550"/>
        <w:jc w:val="right"/>
        <w:rPr>
          <w:rFonts w:eastAsia="仿宋_GB2312"/>
          <w:sz w:val="32"/>
          <w:szCs w:val="32"/>
        </w:rPr>
      </w:pPr>
    </w:p>
    <w:p>
      <w:pPr>
        <w:spacing w:line="578" w:lineRule="exact"/>
        <w:ind w:firstLine="4960" w:firstLineChars="1550"/>
        <w:jc w:val="right"/>
        <w:rPr>
          <w:rFonts w:eastAsia="仿宋_GB2312"/>
          <w:sz w:val="32"/>
          <w:szCs w:val="32"/>
        </w:rPr>
      </w:pPr>
    </w:p>
    <w:p>
      <w:pPr>
        <w:spacing w:line="578" w:lineRule="exact"/>
        <w:ind w:firstLine="4960" w:firstLineChars="1550"/>
        <w:jc w:val="right"/>
        <w:rPr>
          <w:rFonts w:eastAsia="仿宋_GB2312"/>
          <w:sz w:val="32"/>
          <w:szCs w:val="32"/>
        </w:rPr>
      </w:pPr>
    </w:p>
    <w:p>
      <w:pPr>
        <w:spacing w:line="560" w:lineRule="exact"/>
        <w:ind w:firstLine="1120" w:firstLineChars="400"/>
        <w:rPr>
          <w:rFonts w:ascii="仿宋_GB2312" w:hAnsi="宋体" w:eastAsia="仿宋_GB2312" w:cs="宋体"/>
          <w:color w:val="000000"/>
          <w:kern w:val="0"/>
          <w:sz w:val="28"/>
          <w:szCs w:val="28"/>
        </w:rPr>
      </w:pPr>
    </w:p>
    <w:sectPr>
      <w:headerReference r:id="rId3" w:type="default"/>
      <w:footerReference r:id="rId4" w:type="default"/>
      <w:footerReference r:id="rId5" w:type="even"/>
      <w:pgSz w:w="11906" w:h="16838"/>
      <w:pgMar w:top="2098" w:right="1531" w:bottom="1985" w:left="1531" w:header="851" w:footer="1588"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- 4 -</w:t>
    </w:r>
    <w:r>
      <w:rPr>
        <w:rStyle w:val="8"/>
        <w:rFonts w:ascii="宋体" w:hAnsi="宋体"/>
        <w:sz w:val="28"/>
        <w:szCs w:val="28"/>
      </w:rPr>
      <w:fldChar w:fldCharType="end"/>
    </w:r>
  </w:p>
  <w:p>
    <w:pPr>
      <w:pStyle w:val="4"/>
      <w:ind w:right="360" w:firstLine="360"/>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1"/>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11413"/>
    <w:rsid w:val="00006BB1"/>
    <w:rsid w:val="000267B7"/>
    <w:rsid w:val="00041F20"/>
    <w:rsid w:val="00065C59"/>
    <w:rsid w:val="00085109"/>
    <w:rsid w:val="000B16C8"/>
    <w:rsid w:val="000D6D54"/>
    <w:rsid w:val="00105A91"/>
    <w:rsid w:val="00142D83"/>
    <w:rsid w:val="001479B3"/>
    <w:rsid w:val="00153EEA"/>
    <w:rsid w:val="001610D9"/>
    <w:rsid w:val="00187819"/>
    <w:rsid w:val="001B7D3B"/>
    <w:rsid w:val="001C6E40"/>
    <w:rsid w:val="001F38D2"/>
    <w:rsid w:val="00206885"/>
    <w:rsid w:val="00235F41"/>
    <w:rsid w:val="00261CDD"/>
    <w:rsid w:val="00267771"/>
    <w:rsid w:val="00297392"/>
    <w:rsid w:val="00297C0A"/>
    <w:rsid w:val="002B480E"/>
    <w:rsid w:val="002D6E41"/>
    <w:rsid w:val="002E0BF3"/>
    <w:rsid w:val="00307AA6"/>
    <w:rsid w:val="00321D26"/>
    <w:rsid w:val="003F6B46"/>
    <w:rsid w:val="004002B6"/>
    <w:rsid w:val="00425077"/>
    <w:rsid w:val="0046478C"/>
    <w:rsid w:val="00480046"/>
    <w:rsid w:val="004802B5"/>
    <w:rsid w:val="004978E4"/>
    <w:rsid w:val="004A1DFA"/>
    <w:rsid w:val="004B0AD0"/>
    <w:rsid w:val="004E0870"/>
    <w:rsid w:val="004F08CE"/>
    <w:rsid w:val="004F6E02"/>
    <w:rsid w:val="00501B62"/>
    <w:rsid w:val="005933B4"/>
    <w:rsid w:val="00593937"/>
    <w:rsid w:val="005A5F05"/>
    <w:rsid w:val="005B0BD3"/>
    <w:rsid w:val="005D156C"/>
    <w:rsid w:val="005D3A26"/>
    <w:rsid w:val="005F17B4"/>
    <w:rsid w:val="00603A05"/>
    <w:rsid w:val="00696CE2"/>
    <w:rsid w:val="006B593A"/>
    <w:rsid w:val="006C6DB3"/>
    <w:rsid w:val="006D47DB"/>
    <w:rsid w:val="00726CAD"/>
    <w:rsid w:val="007769F9"/>
    <w:rsid w:val="007847F2"/>
    <w:rsid w:val="007869D7"/>
    <w:rsid w:val="007B26B4"/>
    <w:rsid w:val="007D5DE9"/>
    <w:rsid w:val="007D739D"/>
    <w:rsid w:val="00820C06"/>
    <w:rsid w:val="008224CD"/>
    <w:rsid w:val="00836C65"/>
    <w:rsid w:val="00846EEE"/>
    <w:rsid w:val="008A5E55"/>
    <w:rsid w:val="008F544D"/>
    <w:rsid w:val="00933EA7"/>
    <w:rsid w:val="00952C8B"/>
    <w:rsid w:val="00960CCD"/>
    <w:rsid w:val="00994446"/>
    <w:rsid w:val="009A1AD9"/>
    <w:rsid w:val="009B121E"/>
    <w:rsid w:val="009B4DD7"/>
    <w:rsid w:val="009B5337"/>
    <w:rsid w:val="009D0172"/>
    <w:rsid w:val="009D0B0A"/>
    <w:rsid w:val="00A640D1"/>
    <w:rsid w:val="00AF3E24"/>
    <w:rsid w:val="00B36BED"/>
    <w:rsid w:val="00BE36D1"/>
    <w:rsid w:val="00C179D7"/>
    <w:rsid w:val="00C22B90"/>
    <w:rsid w:val="00C416A9"/>
    <w:rsid w:val="00C513BF"/>
    <w:rsid w:val="00C702DD"/>
    <w:rsid w:val="00D95D1B"/>
    <w:rsid w:val="00DA14EB"/>
    <w:rsid w:val="00DB4AEA"/>
    <w:rsid w:val="00E03407"/>
    <w:rsid w:val="00E12E2F"/>
    <w:rsid w:val="00E67B46"/>
    <w:rsid w:val="00EC36E5"/>
    <w:rsid w:val="00F1655A"/>
    <w:rsid w:val="00F4196A"/>
    <w:rsid w:val="00F46C6F"/>
    <w:rsid w:val="00F81932"/>
    <w:rsid w:val="00F877B7"/>
    <w:rsid w:val="00F91AA4"/>
    <w:rsid w:val="00FD569F"/>
    <w:rsid w:val="04FB1F68"/>
    <w:rsid w:val="069A7A22"/>
    <w:rsid w:val="06C45F53"/>
    <w:rsid w:val="0C221D03"/>
    <w:rsid w:val="0CD13345"/>
    <w:rsid w:val="104348E1"/>
    <w:rsid w:val="142736B2"/>
    <w:rsid w:val="16D72096"/>
    <w:rsid w:val="1ADA5250"/>
    <w:rsid w:val="1C147A2C"/>
    <w:rsid w:val="228152FF"/>
    <w:rsid w:val="26423F74"/>
    <w:rsid w:val="2F0E7860"/>
    <w:rsid w:val="30463BC0"/>
    <w:rsid w:val="30AC6716"/>
    <w:rsid w:val="34DD57F0"/>
    <w:rsid w:val="379170DB"/>
    <w:rsid w:val="3A974B21"/>
    <w:rsid w:val="3B2B6687"/>
    <w:rsid w:val="47461D5F"/>
    <w:rsid w:val="4A3B197F"/>
    <w:rsid w:val="4B243BB1"/>
    <w:rsid w:val="50EB4A23"/>
    <w:rsid w:val="512618C8"/>
    <w:rsid w:val="52382DD5"/>
    <w:rsid w:val="57311413"/>
    <w:rsid w:val="5D8823CA"/>
    <w:rsid w:val="5EA339E1"/>
    <w:rsid w:val="5F894F74"/>
    <w:rsid w:val="64395E46"/>
    <w:rsid w:val="67DE666F"/>
    <w:rsid w:val="70C30B7C"/>
    <w:rsid w:val="725143F1"/>
    <w:rsid w:val="728B4256"/>
    <w:rsid w:val="72E84F5A"/>
    <w:rsid w:val="737E1B2D"/>
    <w:rsid w:val="790A169C"/>
    <w:rsid w:val="7CE35405"/>
    <w:rsid w:val="7E9750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6" w:lineRule="auto"/>
      <w:outlineLvl w:val="0"/>
    </w:pPr>
    <w:rPr>
      <w:b/>
      <w:kern w:val="44"/>
      <w:sz w:val="44"/>
      <w:szCs w:val="20"/>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uiPriority w:val="99"/>
    <w:pPr>
      <w:ind w:left="100" w:leftChars="2500"/>
    </w:pPr>
  </w:style>
  <w:style w:type="paragraph" w:styleId="4">
    <w:name w:val="footer"/>
    <w:basedOn w:val="1"/>
    <w:link w:val="23"/>
    <w:qFormat/>
    <w:uiPriority w:val="99"/>
    <w:pPr>
      <w:tabs>
        <w:tab w:val="center" w:pos="4153"/>
        <w:tab w:val="right" w:pos="8306"/>
      </w:tabs>
      <w:snapToGrid w:val="0"/>
      <w:jc w:val="left"/>
    </w:pPr>
    <w:rPr>
      <w:sz w:val="18"/>
      <w:szCs w:val="18"/>
    </w:rPr>
  </w:style>
  <w:style w:type="paragraph" w:styleId="5">
    <w:name w:val="header"/>
    <w:basedOn w:val="1"/>
    <w:link w:val="22"/>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locked/>
    <w:uiPriority w:val="99"/>
    <w:rPr>
      <w:rFonts w:cs="Times New Roman"/>
    </w:rPr>
  </w:style>
  <w:style w:type="character" w:styleId="9">
    <w:name w:val="FollowedHyperlink"/>
    <w:basedOn w:val="7"/>
    <w:uiPriority w:val="99"/>
    <w:rPr>
      <w:rFonts w:cs="Times New Roman"/>
      <w:color w:val="333333"/>
      <w:u w:val="none"/>
    </w:rPr>
  </w:style>
  <w:style w:type="character" w:styleId="10">
    <w:name w:val="Emphasis"/>
    <w:basedOn w:val="7"/>
    <w:qFormat/>
    <w:uiPriority w:val="99"/>
    <w:rPr>
      <w:rFonts w:cs="Times New Roman"/>
    </w:rPr>
  </w:style>
  <w:style w:type="character" w:styleId="11">
    <w:name w:val="Hyperlink"/>
    <w:basedOn w:val="7"/>
    <w:qFormat/>
    <w:uiPriority w:val="99"/>
    <w:rPr>
      <w:rFonts w:cs="Times New Roman"/>
      <w:color w:val="333333"/>
      <w:u w:val="none"/>
    </w:rPr>
  </w:style>
  <w:style w:type="character" w:styleId="12">
    <w:name w:val="HTML Cite"/>
    <w:basedOn w:val="7"/>
    <w:uiPriority w:val="99"/>
    <w:rPr>
      <w:rFonts w:cs="Times New Roman"/>
      <w:color w:val="999999"/>
      <w:sz w:val="18"/>
      <w:szCs w:val="18"/>
    </w:rPr>
  </w:style>
  <w:style w:type="character" w:customStyle="1" w:styleId="13">
    <w:name w:val="Heading 1 Char"/>
    <w:basedOn w:val="7"/>
    <w:link w:val="2"/>
    <w:locked/>
    <w:uiPriority w:val="99"/>
    <w:rPr>
      <w:rFonts w:cs="Times New Roman"/>
      <w:b/>
      <w:kern w:val="44"/>
      <w:sz w:val="44"/>
    </w:rPr>
  </w:style>
  <w:style w:type="character" w:customStyle="1" w:styleId="14">
    <w:name w:val="Date Char"/>
    <w:basedOn w:val="7"/>
    <w:link w:val="3"/>
    <w:locked/>
    <w:uiPriority w:val="99"/>
    <w:rPr>
      <w:rFonts w:ascii="Times New Roman" w:hAnsi="Times New Roman" w:eastAsia="宋体" w:cs="Times New Roman"/>
      <w:kern w:val="2"/>
      <w:sz w:val="24"/>
      <w:szCs w:val="24"/>
    </w:rPr>
  </w:style>
  <w:style w:type="character" w:customStyle="1" w:styleId="15">
    <w:name w:val="bs012"/>
    <w:basedOn w:val="7"/>
    <w:qFormat/>
    <w:uiPriority w:val="99"/>
    <w:rPr>
      <w:rFonts w:cs="Times New Roman"/>
    </w:rPr>
  </w:style>
  <w:style w:type="character" w:customStyle="1" w:styleId="16">
    <w:name w:val="hover23"/>
    <w:basedOn w:val="7"/>
    <w:uiPriority w:val="99"/>
    <w:rPr>
      <w:rFonts w:cs="Times New Roman"/>
    </w:rPr>
  </w:style>
  <w:style w:type="character" w:customStyle="1" w:styleId="17">
    <w:name w:val="r"/>
    <w:basedOn w:val="7"/>
    <w:uiPriority w:val="99"/>
    <w:rPr>
      <w:rFonts w:cs="Times New Roman"/>
    </w:rPr>
  </w:style>
  <w:style w:type="character" w:customStyle="1" w:styleId="18">
    <w:name w:val="bs02"/>
    <w:basedOn w:val="7"/>
    <w:uiPriority w:val="99"/>
    <w:rPr>
      <w:rFonts w:cs="Times New Roman"/>
    </w:rPr>
  </w:style>
  <w:style w:type="character" w:customStyle="1" w:styleId="19">
    <w:name w:val="bs03"/>
    <w:basedOn w:val="7"/>
    <w:qFormat/>
    <w:uiPriority w:val="99"/>
    <w:rPr>
      <w:rFonts w:cs="Times New Roman"/>
    </w:rPr>
  </w:style>
  <w:style w:type="character" w:customStyle="1" w:styleId="20">
    <w:name w:val="bs04"/>
    <w:basedOn w:val="7"/>
    <w:qFormat/>
    <w:uiPriority w:val="99"/>
    <w:rPr>
      <w:rFonts w:cs="Times New Roman"/>
    </w:rPr>
  </w:style>
  <w:style w:type="character" w:customStyle="1" w:styleId="21">
    <w:name w:val="bs05"/>
    <w:basedOn w:val="7"/>
    <w:uiPriority w:val="99"/>
    <w:rPr>
      <w:rFonts w:cs="Times New Roman"/>
    </w:rPr>
  </w:style>
  <w:style w:type="character" w:customStyle="1" w:styleId="22">
    <w:name w:val="Header Char"/>
    <w:basedOn w:val="7"/>
    <w:link w:val="5"/>
    <w:locked/>
    <w:uiPriority w:val="99"/>
    <w:rPr>
      <w:rFonts w:cs="Times New Roman"/>
      <w:kern w:val="2"/>
      <w:sz w:val="18"/>
      <w:szCs w:val="18"/>
    </w:rPr>
  </w:style>
  <w:style w:type="character" w:customStyle="1" w:styleId="23">
    <w:name w:val="Footer Char"/>
    <w:basedOn w:val="7"/>
    <w:link w:val="4"/>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234</Words>
  <Characters>1339</Characters>
  <Lines>0</Lines>
  <Paragraphs>0</Paragraphs>
  <TotalTime>286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2020-03-09T00:24:00Z</dcterms:created>
  <dc:creator>随风</dc:creator>
  <cp:lastModifiedBy>蒋丫丫</cp:lastModifiedBy>
  <cp:lastPrinted>2020-03-09T00:48:00Z</cp:lastPrinted>
  <dcterms:modified xsi:type="dcterms:W3CDTF">2020-07-06T14:23:28Z</dcterms:modified>
  <dc:title>淮南市人民政府关于划定高排放</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