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1760" w:hanging="1760" w:hangingChars="400"/>
        <w:jc w:val="left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淮南市安全生产委员会关于挂牌督办15处重大安全隐患的通知 </w:t>
      </w:r>
    </w:p>
    <w:p>
      <w:pPr>
        <w:spacing w:line="578" w:lineRule="exact"/>
        <w:ind w:left="1760" w:hanging="1760" w:hangingChars="400"/>
        <w:jc w:val="left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</w:pPr>
      <w:r>
        <w:rPr>
          <w:rFonts w:ascii="仿宋_GB2312" w:hAnsi="微软雅黑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各县、区人民政府，市有关部门，各有关单位：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今年以来，各县区、各部门、各单位认真落实安全生产责任，排查出一批重大生产安全隐患。为切实消除隐患，进一步促进全市安全生产形势稳定好转，根据《淮南市安全生产事故隐患排查治理实施办法》（淮府〔2008〕81号），市安全生产委员会决定对全市15处重大安全隐患进行挂牌督办。并提出以下要求，请认真贯彻落实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/>
        <w:jc w:val="both"/>
      </w:pPr>
      <w:r>
        <w:rPr>
          <w:rFonts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一、提高认识，立即开展隐患整治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82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各隐患整治责任单位要严格落实隐患整治主体责任，立即组织制定整治方案，做到隐患整治责任、措施、资金、期限和应急预案“五落实”，确保按期完成整治任务。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82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二、落实落细责任，严防发生事故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82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各责任县区、责任部门要认真履行安全生产属地管理责任、部门监管责任，加强对隐患整改过程中的安全监管。属地党政领导要亲自抓、负总责，督促加快整治进度，确保整治期间安全生产。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82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三、严格督办整改，确保整改到位。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82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隐患整治完成后，责任县区、责任部门或责任单位要按程序向市安委会办公室提出申请，市安委会办公室组织验收，验收合格的予以销号。对未按期完成整治任务的，市安委会将对重大隐患责任县区、责任部门和责任单位进行警示通报、约谈；对重大安全隐患整治期间发生事故的，严肃追究责任，实行“一票否决”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3"/>
        <w:jc w:val="left"/>
      </w:pPr>
      <w:r>
        <w:rPr>
          <w:rFonts w:hint="default" w:ascii="仿宋_GB2312" w:hAnsi="微软雅黑" w:eastAsia="仿宋_GB2312" w:cs="仿宋_GB2312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淮南市安委会挂牌督办15处重大安全隐患汇总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32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淮南市安全生产委员会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2019年5月23日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3"/>
        <w:jc w:val="left"/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3"/>
        <w:jc w:val="left"/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643" w:firstLineChars="200"/>
        <w:jc w:val="left"/>
        <w:rPr>
          <w:rFonts w:hint="default" w:ascii="仿宋_GB2312" w:hAnsi="微软雅黑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附件: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3"/>
        <w:jc w:val="left"/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淮南市安委会挂牌督办15处重大安全隐患汇总表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3"/>
        <w:jc w:val="left"/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450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579"/>
        <w:gridCol w:w="2015"/>
        <w:gridCol w:w="1654"/>
        <w:gridCol w:w="6961"/>
        <w:gridCol w:w="14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责任县区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责任部门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隐患和问题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整改期限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煤化工园区管委会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市应急管理局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市经济和信息化局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淮南舜天合成材料有限责任公司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1.库房内一消火栓通道被堵塞，一消火栓出水口方向不对。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2.厂区一叉车无检测合格证。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3.配电室预留配电柜位置无防护或警示标识；有孔洞未封堵。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4.锅炉房一处压力表未检测，且无警示标线；一处连接法兰缺螺栓。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2019.6.15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市应急管理局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市经济和信息化局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安徽德邦化工有限公司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1.重大危险源未安装安全仪表系统（SIS）。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2.现场气动阀腐蚀严重，部分压力表无警示标线。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2019.10.31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3.无牌照、非防爆送水叉车进入生产区。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4.未对甲醇装置区储罐、塔器受限空间进行辨识、标识。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2019.6.15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谢家集区政府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市应急管理局市经济和信息化局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"http://www.so.com/link?m=a0DI8J0QennCutpcWwG1lEKPQEHLe6ZggwhLCM1axVQ/kA1jSk5/W1qnp75hbhTlPzlp6F7k/IqsUhRD6LSF4Qv3VPPp2jYrboxGvzcJYvwx/Ya/DvxT22oR7o9k=" </w:instrText>
            </w:r>
            <w:r>
              <w:rPr>
                <w:rFonts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Calibri" w:hAnsi="Calibri" w:eastAsia="微软雅黑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淮南泰隆机械制造有限公司</w:t>
            </w:r>
            <w:r>
              <w:rPr>
                <w:rFonts w:hint="default"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不饱和树脂流散设施不符合规范要求。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毛集实验区管委会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焦岗湖国家湿地公园管理处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1.焦岗湖景区现有快艇49艘，仅18艘有检验证且均过有效期。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2.部分画舫游船无营运许可证。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3.焦岗湖景区现无水路运输许可证。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2019.10.30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田家庵区政府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"http://www.so.com/link?m=apTBak7WtibaDNRyA3VqD7/VSu7jpXl0OOjS9GXdjjZLQvNCuIjuE4pmF0sFGoJWR3idn9e1dUkUp0Fp338A86FVFibpL57sAlLiR7s85I0fnhZyTXx8ToQBi2RCCr53liIlDlNifGqJn4iaYGJuA/HhLBjc=" </w:instrText>
            </w:r>
            <w:r>
              <w:rPr>
                <w:rFonts w:hint="default"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Calibri" w:hAnsi="Calibri" w:eastAsia="微软雅黑" w:cs="Calibri"/>
                <w:color w:val="333333"/>
                <w:sz w:val="21"/>
                <w:szCs w:val="21"/>
                <w:u w:val="none"/>
                <w:bdr w:val="none" w:color="auto" w:sz="0" w:space="0"/>
              </w:rPr>
              <w:t>淮南中燃城市燃气发展有限公司</w:t>
            </w:r>
            <w:r>
              <w:rPr>
                <w:rFonts w:hint="default" w:ascii="Calibri" w:hAnsi="Calibri" w:eastAsia="微软雅黑" w:cs="Calibri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安装处小区2390m、文明楼580m、公交公司家属楼2000m等3处共计4970m管道锈蚀严重，存在安全隐患。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2019.8.30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湖滨路公园南门至新星大酒店段210m、会战路淮舜分局至九十六菜市场段850m、学院路田寿路至龙湖中心段600m、水厂路一水厂调压器至田东小区段860m等4处2520m管道锈蚀严重，存在安全隐患。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2019.11.30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凤台县政府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淮南矿业集团张集煤矿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X024线康焦路张集至观音段（25KM-27KM）：道路两侧临水、斜坡。需在道路两侧增设防撞墩或波形防撞护栏。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凤台县政府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凤台县政府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X025线袁江路（11KM-12KM）：道路两侧邻水、斜坡。需在道路两侧增设防撞墩或波形防撞护栏。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谢家集区政府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市公路局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102省道杨公孤堆路段（4KM-23KM）标志标线及交通安全设施缺失。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谢家集区政府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十涧湖西路与沿矿路交叉口交通区划不合理，交通冲突点多，无照明设施。需对路口改造，完善交通安全设施建设，高压电线入地，增加照明设施。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田家庵区政府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市城市管理行政执法局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市自然资源和规划局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淮南新城吾悦房地产开发有限公司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新城吾悦广场越过规划红线，违规占用洞山东路北侧人行道和非机动车道，存在道路交通安全隐患。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2019.8.31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市公路管理局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1.S324K149+706-K208+335全路段视距不良交叉口处无凸面镜。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2.S324K152+530-K152+600左侧无安全设施，需增设波形梁护栏。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3.S324K158+580-K152+740左侧无安全设施，需增设波形梁护栏。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4.S324K162+256两侧无安全设施，需增设波形梁护栏。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5.S324K149+706-K208+335部分道口标注缺失，需增设间距为2m的道口标注。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2019.9.20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寿县炎刘镇政府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S324（原X024）道路寿县炎刘镇连塘路口段：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1.南侧支路连接处坡度过大。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2.路段北侧无防护设施（紧邻水渠）。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3.周边广告牌、行道树遮挡驾驶员视线，安全视距不足。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2019.8.31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潘集区政府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市水利局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潘集区水利局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芦集镇董圩村董圩桥年久失修，桥面及砌石挡墙损坏严重，挡墙错位倾斜开裂达30cm，存在安全隐患。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2019.10.31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高新区（山南新区）管委会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市消防救援支队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三和镇养老服务中心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消防设施不完善（2018年4月安全生产月排查月通报在册隐患，超期未改）。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2019.8.31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潘集区政府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市消防救援支队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市粮食和物资储备局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市市场监管局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淮南市春风粮油食品有限公司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消防设施未经竣工验收消防备案（2018年10月安全生产月排查月通报在册隐患，超期未改）。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2019.8.31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656C8"/>
    <w:rsid w:val="0FD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333333"/>
      <w:sz w:val="21"/>
      <w:szCs w:val="21"/>
      <w:bdr w:val="single" w:color="999999" w:sz="6" w:space="0"/>
      <w:shd w:val="clear" w:fill="FFFFFF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tit14"/>
    <w:basedOn w:val="5"/>
    <w:uiPriority w:val="0"/>
  </w:style>
  <w:style w:type="character" w:customStyle="1" w:styleId="16">
    <w:name w:val="spl"/>
    <w:basedOn w:val="5"/>
    <w:uiPriority w:val="0"/>
  </w:style>
  <w:style w:type="character" w:customStyle="1" w:styleId="17">
    <w:name w:val="spr"/>
    <w:basedOn w:val="5"/>
    <w:uiPriority w:val="0"/>
  </w:style>
  <w:style w:type="character" w:customStyle="1" w:styleId="18">
    <w:name w:val="tit1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2020-07-07T11:50:00Z</dcterms:created>
  <dc:creator>蒋丫丫</dc:creator>
  <cp:lastModifiedBy>蒋丫丫</cp:lastModifiedBy>
  <dcterms:modified xsi:type="dcterms:W3CDTF">2020-07-07T11:52:10Z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