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6350</wp:posOffset>
                </wp:positionV>
                <wp:extent cx="2159000" cy="533400"/>
                <wp:effectExtent l="4445" t="4445" r="825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1054" w:hanging="1054" w:hangingChars="500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十七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届人大常委会第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三十五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次</w:t>
                            </w:r>
                          </w:p>
                          <w:p>
                            <w:pPr>
                              <w:ind w:left="1054" w:hanging="1054" w:hangingChars="5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会议材料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0.5pt;height:42pt;width:170pt;z-index:251658240;mso-width-relative:page;mso-height-relative:page;" fillcolor="#FFFFFF" filled="t" stroked="t" coordsize="21600,21600" o:gfxdata="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TyK3HWAAAABwEAAA8AAAAAAAAAAQAgAAAAIgAAAGRycy9kb3ducmV2LnhtbFBLAQIU&#10;ABQAAAAIAIdO4kDWO7dW9QEAAPYDAAAOAAAAAAAAAAEAIAAAACU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054" w:hanging="1054" w:hangingChars="500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县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十七</w:t>
                      </w:r>
                      <w:r>
                        <w:rPr>
                          <w:rFonts w:hint="eastAsia"/>
                          <w:b/>
                        </w:rPr>
                        <w:t>届人大常委会第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三十五</w:t>
                      </w:r>
                      <w:r>
                        <w:rPr>
                          <w:rFonts w:hint="eastAsia"/>
                          <w:b/>
                        </w:rPr>
                        <w:t>次</w:t>
                      </w:r>
                    </w:p>
                    <w:p>
                      <w:pPr>
                        <w:ind w:left="1054" w:hanging="1054" w:hangingChars="50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会议材料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关于凤台县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201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年财政决算（草案）的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报   告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县财政局局长   陈贵刚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Times New Roman" w:hAnsi="Times New Roman" w:eastAsia="楷体" w:cs="楷体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</w:rPr>
        <w:t xml:space="preserve">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主任、副主任、各位委员：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受县政府委托，我向县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仿宋"/>
          <w:sz w:val="32"/>
          <w:szCs w:val="32"/>
        </w:rPr>
        <w:t>届人大常委会第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三十五</w:t>
      </w:r>
      <w:r>
        <w:rPr>
          <w:rFonts w:hint="eastAsia" w:ascii="仿宋" w:hAnsi="仿宋" w:eastAsia="仿宋" w:cs="仿宋"/>
          <w:sz w:val="32"/>
          <w:szCs w:val="32"/>
        </w:rPr>
        <w:t>次会议报告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全县财政决算情况，请予审议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并请列席会议的同志提出意见或建议。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年，县财税部门在县委、县政府的正确领导下，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认真学习</w:t>
      </w:r>
      <w:r>
        <w:rPr>
          <w:rFonts w:hint="eastAsia" w:ascii="仿宋" w:hAnsi="仿宋" w:eastAsia="仿宋" w:cs="仿宋"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全面贯彻党的十九大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十九届二中、三中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、四中</w:t>
      </w:r>
      <w:r>
        <w:rPr>
          <w:rFonts w:hint="eastAsia" w:ascii="仿宋" w:hAnsi="仿宋" w:eastAsia="仿宋" w:cs="仿宋"/>
          <w:sz w:val="32"/>
          <w:szCs w:val="32"/>
        </w:rPr>
        <w:t>全会精神，积极应对国外环境复杂多变、国内经济持续下行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严峻形势，在全面落实减税降费政策的同时，挖掘财政增收潜力，紧抓收入组织工作，优化财政支出结构，凝心聚力，真抓实干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经过一年的不懈努力，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较好地完成</w:t>
      </w:r>
      <w:r>
        <w:rPr>
          <w:rFonts w:hint="eastAsia" w:ascii="Times New Roman" w:hAnsi="Times New Roman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年度预算执行任务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一般公共预算</w:t>
      </w:r>
      <w:r>
        <w:rPr>
          <w:rFonts w:hint="eastAsia" w:ascii="黑体" w:hAnsi="黑体" w:eastAsia="黑体" w:cs="黑体"/>
          <w:sz w:val="32"/>
          <w:szCs w:val="32"/>
        </w:rPr>
        <w:t>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（一）全县财政预算执行情况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财政收支情况：</w:t>
      </w:r>
      <w:r>
        <w:rPr>
          <w:rFonts w:hint="eastAsia" w:ascii="仿宋" w:hAnsi="仿宋" w:eastAsia="仿宋" w:cs="仿宋"/>
          <w:sz w:val="32"/>
          <w:szCs w:val="32"/>
        </w:rPr>
        <w:t>全县财政收入完成</w:t>
      </w:r>
      <w:r>
        <w:rPr>
          <w:rFonts w:hint="eastAsia" w:ascii="Times New Roman" w:hAnsi="Times New Roman" w:eastAsia="仿宋" w:cs="仿宋"/>
          <w:snapToGrid w:val="0"/>
          <w:color w:val="333333"/>
          <w:kern w:val="0"/>
          <w:sz w:val="32"/>
          <w:szCs w:val="32"/>
          <w:lang w:val="en-US" w:eastAsia="zh-CN"/>
        </w:rPr>
        <w:t>424430</w:t>
      </w:r>
      <w:r>
        <w:rPr>
          <w:rFonts w:hint="eastAsia" w:ascii="仿宋" w:hAnsi="仿宋" w:eastAsia="仿宋" w:cs="仿宋"/>
          <w:sz w:val="32"/>
          <w:szCs w:val="32"/>
        </w:rPr>
        <w:t>万元，为调整预算（下同）的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%，增长</w:t>
      </w:r>
      <w:r>
        <w:rPr>
          <w:rFonts w:hint="eastAsia" w:ascii="Times New Roman" w:hAnsi="Times New Roman" w:eastAsia="仿宋" w:cs="仿宋"/>
          <w:snapToGrid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napToGrid w:val="0"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napToGrid w:val="0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%。其中：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Times New Roman" w:hAnsi="Times New Roman" w:eastAsia="仿宋" w:cs="仿宋"/>
          <w:snapToGrid w:val="0"/>
          <w:color w:val="333333"/>
          <w:kern w:val="0"/>
          <w:sz w:val="32"/>
          <w:szCs w:val="32"/>
          <w:lang w:val="en-US" w:eastAsia="zh-CN"/>
        </w:rPr>
        <w:t>271134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%,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%；上</w:t>
      </w:r>
      <w:r>
        <w:rPr>
          <w:rFonts w:hint="eastAsia" w:ascii="仿宋" w:hAnsi="仿宋" w:eastAsia="仿宋" w:cs="仿宋"/>
          <w:sz w:val="32"/>
          <w:szCs w:val="32"/>
        </w:rPr>
        <w:t>划中央收入完成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143933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%。全县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支出完成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407227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含</w:t>
      </w:r>
      <w:r>
        <w:rPr>
          <w:rFonts w:hint="eastAsia" w:ascii="仿宋" w:hAnsi="仿宋" w:eastAsia="仿宋" w:cs="仿宋"/>
          <w:sz w:val="32"/>
          <w:szCs w:val="32"/>
        </w:rPr>
        <w:t>煤电上解列支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亿元</w:t>
      </w:r>
      <w:r>
        <w:rPr>
          <w:rFonts w:hint="eastAsia" w:ascii="仿宋" w:hAnsi="仿宋" w:eastAsia="仿宋" w:cs="仿宋"/>
          <w:sz w:val="32"/>
          <w:szCs w:val="32"/>
        </w:rPr>
        <w:t>），为预算的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与去年基本持平。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财政平衡情况：</w:t>
      </w:r>
      <w:r>
        <w:rPr>
          <w:rFonts w:hint="eastAsia" w:ascii="仿宋" w:hAnsi="仿宋" w:eastAsia="仿宋" w:cs="仿宋"/>
          <w:sz w:val="32"/>
          <w:szCs w:val="32"/>
        </w:rPr>
        <w:t>按现行财政管理体制，公共财政收入总计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461391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Times New Roman" w:hAnsi="Times New Roman" w:eastAsia="仿宋" w:cs="仿宋"/>
          <w:snapToGrid w:val="0"/>
          <w:color w:val="333333"/>
          <w:kern w:val="0"/>
          <w:sz w:val="32"/>
          <w:szCs w:val="32"/>
          <w:lang w:val="en-US" w:eastAsia="zh-CN"/>
        </w:rPr>
        <w:t>271134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</w:t>
      </w:r>
      <w:r>
        <w:rPr>
          <w:rFonts w:hint="eastAsia" w:ascii="仿宋" w:hAnsi="仿宋" w:eastAsia="仿宋" w:cs="仿宋"/>
          <w:sz w:val="32"/>
          <w:szCs w:val="32"/>
        </w:rPr>
        <w:t>元，上级补助收入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133569</w:t>
      </w:r>
      <w:r>
        <w:rPr>
          <w:rFonts w:hint="eastAsia" w:ascii="仿宋" w:hAnsi="仿宋" w:eastAsia="仿宋" w:cs="仿宋"/>
          <w:sz w:val="32"/>
          <w:szCs w:val="32"/>
        </w:rPr>
        <w:t>万元，债务(转贷)收入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14757</w:t>
      </w:r>
      <w:r>
        <w:rPr>
          <w:rFonts w:hint="eastAsia" w:ascii="仿宋" w:hAnsi="仿宋" w:eastAsia="仿宋" w:cs="仿宋"/>
          <w:sz w:val="32"/>
          <w:szCs w:val="32"/>
        </w:rPr>
        <w:t>万元，上年滚存结余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1960</w:t>
      </w:r>
      <w:r>
        <w:rPr>
          <w:rFonts w:hint="eastAsia" w:ascii="仿宋" w:hAnsi="仿宋" w:eastAsia="仿宋" w:cs="仿宋"/>
          <w:sz w:val="32"/>
          <w:szCs w:val="32"/>
        </w:rPr>
        <w:t>万元，调入资金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39971</w:t>
      </w:r>
      <w:r>
        <w:rPr>
          <w:rFonts w:hint="eastAsia" w:ascii="仿宋" w:hAnsi="仿宋" w:eastAsia="仿宋" w:cs="仿宋"/>
          <w:sz w:val="32"/>
          <w:szCs w:val="32"/>
        </w:rPr>
        <w:t>万元）；公共财政支出总计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459431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407227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上解省市支出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4462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，债务还本支出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13434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万元，安排预算稳定调节基金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34308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）；收支相抵后，年终一般预算滚存结余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1960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bCs/>
          <w:sz w:val="32"/>
          <w:szCs w:val="32"/>
        </w:rPr>
        <w:t>（二）县本级财政预算执行情况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财政收支情况：</w:t>
      </w:r>
      <w:r>
        <w:rPr>
          <w:rFonts w:hint="eastAsia" w:ascii="仿宋" w:hAnsi="仿宋" w:eastAsia="仿宋" w:cs="仿宋"/>
          <w:sz w:val="32"/>
          <w:szCs w:val="32"/>
        </w:rPr>
        <w:t>县本级财政总收入完成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357827</w:t>
      </w:r>
      <w:r>
        <w:rPr>
          <w:rFonts w:hint="eastAsia" w:ascii="仿宋" w:hAnsi="仿宋" w:eastAsia="仿宋" w:cs="仿宋"/>
          <w:sz w:val="32"/>
          <w:szCs w:val="32"/>
        </w:rPr>
        <w:t>万元，为预算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%，其中：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238016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%；上划中央收入完成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110448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%。县本级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支出完成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387371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万元，为预</w:t>
      </w:r>
      <w:r>
        <w:rPr>
          <w:rFonts w:hint="eastAsia" w:ascii="仿宋" w:hAnsi="仿宋" w:eastAsia="仿宋" w:cs="仿宋"/>
          <w:sz w:val="32"/>
          <w:szCs w:val="32"/>
        </w:rPr>
        <w:t>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财政平衡情况：</w:t>
      </w:r>
      <w:r>
        <w:rPr>
          <w:rFonts w:hint="eastAsia" w:ascii="仿宋" w:hAnsi="仿宋" w:eastAsia="仿宋" w:cs="仿宋"/>
          <w:sz w:val="32"/>
          <w:szCs w:val="32"/>
        </w:rPr>
        <w:t>按现行财政管理体制，公共财政收入总计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446727</w:t>
      </w:r>
      <w:r>
        <w:rPr>
          <w:rFonts w:hint="eastAsia" w:ascii="仿宋" w:hAnsi="仿宋" w:eastAsia="仿宋" w:cs="仿宋"/>
          <w:sz w:val="32"/>
          <w:szCs w:val="32"/>
        </w:rPr>
        <w:t>万元（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238016</w:t>
      </w:r>
      <w:r>
        <w:rPr>
          <w:rFonts w:hint="eastAsia" w:ascii="仿宋" w:hAnsi="仿宋" w:eastAsia="仿宋" w:cs="仿宋"/>
          <w:sz w:val="32"/>
          <w:szCs w:val="32"/>
        </w:rPr>
        <w:t>万元，上级补助收入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133569</w:t>
      </w:r>
      <w:r>
        <w:rPr>
          <w:rFonts w:hint="eastAsia" w:ascii="仿宋" w:hAnsi="仿宋" w:eastAsia="仿宋" w:cs="仿宋"/>
          <w:sz w:val="32"/>
          <w:szCs w:val="32"/>
        </w:rPr>
        <w:t>万元，债务(转贷)收入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14757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上年滚存结余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690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调入资金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39630</w:t>
      </w:r>
      <w:r>
        <w:rPr>
          <w:rFonts w:hint="eastAsia" w:ascii="仿宋" w:hAnsi="仿宋" w:eastAsia="仿宋" w:cs="仿宋"/>
          <w:sz w:val="32"/>
          <w:szCs w:val="32"/>
        </w:rPr>
        <w:t>万元，下级上解收入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20065</w:t>
      </w:r>
      <w:r>
        <w:rPr>
          <w:rFonts w:hint="eastAsia" w:ascii="仿宋" w:hAnsi="仿宋" w:eastAsia="仿宋" w:cs="仿宋"/>
          <w:sz w:val="32"/>
          <w:szCs w:val="32"/>
        </w:rPr>
        <w:t>万元）；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公共财政支出总计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444937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支出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387371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万元，上解省市支出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债务还本支出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13434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万元，安排预算稳定调节基金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32108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补助乡镇支出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7562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万元）；收支相抵后，年终一般预算滚存结余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1790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县本级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收入主要项目完成情况为：</w:t>
      </w:r>
      <w:r>
        <w:rPr>
          <w:rFonts w:hint="eastAsia" w:ascii="仿宋" w:hAnsi="仿宋" w:eastAsia="仿宋" w:cs="仿宋"/>
          <w:sz w:val="32"/>
          <w:szCs w:val="32"/>
        </w:rPr>
        <w:t>税收收入完成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144996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%，其中：增值税(地方部分)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95066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企业所得税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2435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%，下降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%；个人所得税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1662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%，下降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。非税收入完成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93020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187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%，其中：专项收入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12155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%，下降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%；行政事业性收费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37849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%；罚没收入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4328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%；国有资产有偿使用收入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38252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783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县本级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b/>
          <w:sz w:val="32"/>
          <w:szCs w:val="32"/>
        </w:rPr>
        <w:t>支出主要项目完成情况：</w:t>
      </w:r>
      <w:r>
        <w:rPr>
          <w:rFonts w:hint="eastAsia" w:ascii="仿宋" w:hAnsi="仿宋" w:eastAsia="仿宋" w:cs="仿宋"/>
          <w:sz w:val="32"/>
          <w:szCs w:val="32"/>
        </w:rPr>
        <w:t>一般公共服务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37204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%；教育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77428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%；科学技术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5667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%；文化体育与传媒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2432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%；社会保障与就业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62282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%；医疗卫生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48088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节能环保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6134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%；城乡社区事务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58488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%；</w:t>
      </w:r>
      <w:r>
        <w:rPr>
          <w:rFonts w:hint="eastAsia" w:ascii="仿宋" w:hAnsi="仿宋" w:eastAsia="仿宋" w:cs="仿宋"/>
          <w:sz w:val="32"/>
          <w:szCs w:val="32"/>
        </w:rPr>
        <w:t>农林水事务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44857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%；交通运输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5597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%；资源勘探电力信息等事务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729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%；住房保障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6953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%；粮油物资储备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489</w:t>
      </w:r>
      <w:r>
        <w:rPr>
          <w:rFonts w:hint="eastAsia" w:ascii="仿宋" w:hAnsi="仿宋" w:eastAsia="仿宋" w:cs="仿宋"/>
          <w:sz w:val="32"/>
          <w:szCs w:val="32"/>
        </w:rPr>
        <w:t>万元，为预算的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%，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二、基金及国有资本经营预算执行情况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（一）政府性基金预算执行情况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，全县政府性基金收入完成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83287</w:t>
      </w:r>
      <w:r>
        <w:rPr>
          <w:rFonts w:hint="eastAsia" w:ascii="仿宋" w:hAnsi="仿宋" w:eastAsia="仿宋" w:cs="仿宋"/>
          <w:sz w:val="32"/>
          <w:szCs w:val="32"/>
        </w:rPr>
        <w:t>万元,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%，上级补助收入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3165</w:t>
      </w:r>
      <w:r>
        <w:rPr>
          <w:rFonts w:hint="eastAsia" w:ascii="仿宋" w:hAnsi="仿宋" w:eastAsia="仿宋" w:cs="仿宋"/>
          <w:sz w:val="32"/>
          <w:szCs w:val="32"/>
        </w:rPr>
        <w:t>万元，债务(转贷)收入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29500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调入资金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万元；基金支出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109543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%，调出资金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6409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，年终结余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主要项目情况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国有土地使用权出让收入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71672</w:t>
      </w:r>
      <w:r>
        <w:rPr>
          <w:rFonts w:hint="eastAsia" w:ascii="仿宋" w:hAnsi="仿宋" w:eastAsia="仿宋" w:cs="仿宋"/>
          <w:sz w:val="32"/>
          <w:szCs w:val="32"/>
        </w:rPr>
        <w:t>万元,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上级补助收入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1190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，债务(转贷)收入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18000</w:t>
      </w:r>
      <w:r>
        <w:rPr>
          <w:rFonts w:hint="eastAsia" w:ascii="仿宋" w:hAnsi="仿宋" w:eastAsia="仿宋" w:cs="仿宋"/>
          <w:sz w:val="32"/>
          <w:szCs w:val="32"/>
        </w:rPr>
        <w:t>万元；支出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90753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调出资金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万元，年终结余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国有土地收益基金收入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5076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万元；支出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万元，调出资金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农业土地开发资金收入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516</w:t>
      </w:r>
      <w:r>
        <w:rPr>
          <w:rFonts w:hint="eastAsia" w:ascii="仿宋" w:hAnsi="仿宋" w:eastAsia="仿宋" w:cs="仿宋"/>
          <w:sz w:val="32"/>
          <w:szCs w:val="32"/>
        </w:rPr>
        <w:t>万元，上级补助收入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1152</w:t>
      </w:r>
      <w:r>
        <w:rPr>
          <w:rFonts w:hint="eastAsia" w:ascii="仿宋" w:hAnsi="仿宋" w:eastAsia="仿宋" w:cs="仿宋"/>
          <w:sz w:val="32"/>
          <w:szCs w:val="32"/>
        </w:rPr>
        <w:t>万元；支出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1152</w:t>
      </w:r>
      <w:r>
        <w:rPr>
          <w:rFonts w:hint="eastAsia" w:ascii="仿宋" w:hAnsi="仿宋" w:eastAsia="仿宋" w:cs="仿宋"/>
          <w:sz w:val="32"/>
          <w:szCs w:val="32"/>
        </w:rPr>
        <w:t>万元，调出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516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城市基础设施配套费收入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3723</w:t>
      </w:r>
      <w:r>
        <w:rPr>
          <w:rFonts w:hint="eastAsia" w:ascii="仿宋" w:hAnsi="仿宋" w:eastAsia="仿宋" w:cs="仿宋"/>
          <w:sz w:val="32"/>
          <w:szCs w:val="32"/>
        </w:rPr>
        <w:t>万元；支出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299</w:t>
      </w:r>
      <w:r>
        <w:rPr>
          <w:rFonts w:hint="eastAsia" w:ascii="仿宋" w:hAnsi="仿宋" w:eastAsia="仿宋" w:cs="仿宋"/>
          <w:sz w:val="32"/>
          <w:szCs w:val="32"/>
        </w:rPr>
        <w:t>万元，调出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3424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车辆通行费相关收入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万元；调出资金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2300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（二）社会保险基金预算执行情况（上划市级统筹管理）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年，全县社会保险基金收入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59737</w:t>
      </w:r>
      <w:r>
        <w:rPr>
          <w:rFonts w:hint="eastAsia" w:ascii="仿宋" w:hAnsi="仿宋" w:eastAsia="仿宋" w:cs="仿宋"/>
          <w:sz w:val="32"/>
          <w:szCs w:val="32"/>
        </w:rPr>
        <w:t>万元，全年支出</w:t>
      </w:r>
      <w:r>
        <w:rPr>
          <w:rFonts w:hint="eastAsia" w:ascii="Times New Roman" w:hAnsi="Times New Roman" w:eastAsia="仿宋" w:cs="仿宋"/>
          <w:sz w:val="32"/>
          <w:szCs w:val="32"/>
        </w:rPr>
        <w:t>55259</w:t>
      </w:r>
      <w:r>
        <w:rPr>
          <w:rFonts w:hint="eastAsia" w:ascii="仿宋" w:hAnsi="仿宋" w:eastAsia="仿宋" w:cs="仿宋"/>
          <w:sz w:val="32"/>
          <w:szCs w:val="32"/>
        </w:rPr>
        <w:t>万元，年终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滚存</w:t>
      </w:r>
      <w:r>
        <w:rPr>
          <w:rFonts w:hint="eastAsia" w:ascii="仿宋" w:hAnsi="仿宋" w:eastAsia="仿宋" w:cs="仿宋"/>
          <w:sz w:val="32"/>
          <w:szCs w:val="32"/>
        </w:rPr>
        <w:t>结余</w:t>
      </w:r>
      <w:r>
        <w:rPr>
          <w:rFonts w:hint="eastAsia" w:ascii="Times New Roman" w:hAnsi="Times New Roman" w:eastAsia="仿宋" w:cs="仿宋"/>
          <w:sz w:val="32"/>
          <w:szCs w:val="32"/>
        </w:rPr>
        <w:t>10173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万元。其中主要项目收支完成情况：城乡居民基本医疗保险基金收入（含城镇居民医保）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39412</w:t>
      </w:r>
      <w:r>
        <w:rPr>
          <w:rFonts w:hint="eastAsia" w:ascii="仿宋" w:hAnsi="仿宋" w:eastAsia="仿宋" w:cs="仿宋"/>
          <w:sz w:val="32"/>
          <w:szCs w:val="32"/>
        </w:rPr>
        <w:t>万元，支出</w:t>
      </w:r>
      <w:r>
        <w:rPr>
          <w:rFonts w:hint="eastAsia" w:ascii="Times New Roman" w:hAnsi="Times New Roman" w:eastAsia="仿宋" w:cs="仿宋"/>
          <w:sz w:val="32"/>
          <w:szCs w:val="32"/>
        </w:rPr>
        <w:t>4187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万元；城乡居民社会养老保险基金收入</w:t>
      </w:r>
      <w:r>
        <w:rPr>
          <w:rFonts w:hint="eastAsia" w:ascii="Times New Roman" w:hAnsi="Times New Roman" w:eastAsia="仿宋" w:cs="仿宋"/>
          <w:sz w:val="32"/>
          <w:szCs w:val="32"/>
        </w:rPr>
        <w:t>20325</w:t>
      </w:r>
      <w:r>
        <w:rPr>
          <w:rFonts w:hint="eastAsia" w:ascii="仿宋" w:hAnsi="仿宋" w:eastAsia="仿宋" w:cs="仿宋"/>
          <w:sz w:val="32"/>
          <w:szCs w:val="32"/>
        </w:rPr>
        <w:t>万元，支出</w:t>
      </w:r>
      <w:r>
        <w:rPr>
          <w:rFonts w:hint="eastAsia" w:ascii="Times New Roman" w:hAnsi="Times New Roman" w:eastAsia="仿宋" w:cs="仿宋"/>
          <w:sz w:val="32"/>
          <w:szCs w:val="32"/>
        </w:rPr>
        <w:t>1338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 xml:space="preserve">    （三）国有资本经营预算执行情况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仿宋"/>
          <w:bCs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</w:rPr>
        <w:t>，全县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国有资本经营收入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9067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元，全年支出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，调出资金</w:t>
      </w:r>
      <w:r>
        <w:rPr>
          <w:rFonts w:hint="eastAsia" w:ascii="Times New Roman" w:hAnsi="Times New Roman" w:eastAsia="仿宋" w:cs="仿宋"/>
          <w:color w:val="000000"/>
          <w:sz w:val="32"/>
          <w:szCs w:val="32"/>
          <w:lang w:val="en-US" w:eastAsia="zh-CN"/>
        </w:rPr>
        <w:t>8907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三、完成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2019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sz w:val="32"/>
          <w:szCs w:val="32"/>
        </w:rPr>
        <w:t>财政预算的主要措施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 w:cs="仿宋"/>
          <w:sz w:val="32"/>
          <w:szCs w:val="32"/>
        </w:rPr>
        <w:t>面对宏观经济下滑趋势及收支矛盾突出等不利因素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，县财税部门</w:t>
      </w:r>
      <w:r>
        <w:rPr>
          <w:rFonts w:hint="eastAsia" w:ascii="仿宋" w:hAnsi="仿宋" w:eastAsia="仿宋" w:cs="仿宋"/>
          <w:sz w:val="32"/>
          <w:szCs w:val="32"/>
        </w:rPr>
        <w:t>紧紧围绕全县中心工作和财政目标任务，专注发展定力，切实保障改善民生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助推凤台经济社会持续平稳发展。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坚持科学理财，狠抓增收节支。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在收入方面，</w:t>
      </w:r>
      <w:r>
        <w:rPr>
          <w:rFonts w:hint="eastAsia" w:ascii="仿宋" w:hAnsi="仿宋" w:eastAsia="仿宋" w:cs="仿宋"/>
          <w:sz w:val="32"/>
          <w:szCs w:val="32"/>
        </w:rPr>
        <w:t>强化重点环节监控，突出抓好煤电、房地产等重点行业，增值税、所得税等重点税种的有效监控，堵塞征管漏洞，努力挖潜增收，确保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各项税收应收尽收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强化非税收入征管，处置行政事业单位资产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加大土地出让收益、国有资源有偿使用、政府性基金等征管清收力度，拓宽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增收渠道。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在支出方面，严格按照“保增长、保民生、保稳定”的要求，突出重点，保压并举，优化支出结构，保证了社会保障、民生工程等刚性支出的需要。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（二）坚持强基固本，夯实财源基础。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充分发挥财政资金的杠杆和引导作用，在扩大总量、优化存量、提升质量上下功夫。</w:t>
      </w:r>
      <w:r>
        <w:rPr>
          <w:rFonts w:hint="eastAsia" w:ascii="仿宋" w:hAnsi="仿宋" w:eastAsia="仿宋" w:cs="仿宋"/>
          <w:sz w:val="32"/>
          <w:szCs w:val="32"/>
        </w:rPr>
        <w:t>狠抓实体经济，大力厚植税源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一手抓存量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变革，一手抓增量崛起；强化政策扶持，继续</w:t>
      </w:r>
      <w:r>
        <w:rPr>
          <w:rFonts w:hint="eastAsia" w:ascii="仿宋" w:hAnsi="仿宋" w:eastAsia="仿宋" w:cs="仿宋"/>
          <w:sz w:val="32"/>
          <w:szCs w:val="32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减税降费政策措施</w:t>
      </w:r>
      <w:r>
        <w:rPr>
          <w:rFonts w:hint="eastAsia" w:ascii="仿宋" w:hAnsi="仿宋" w:eastAsia="仿宋" w:cs="仿宋"/>
          <w:sz w:val="32"/>
          <w:szCs w:val="32"/>
        </w:rPr>
        <w:t>，加大帮扶力度，解决企业的问题、困难，把企业出产达效作为首要任务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；注重绩效评价，实施绩效监控，实现财政资金从注重资金投入转向注重对支出效果的管理。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（三）坚持提质增效，发挥监督职能。</w:t>
      </w:r>
      <w:r>
        <w:rPr>
          <w:rFonts w:hint="eastAsia" w:ascii="仿宋" w:hAnsi="仿宋" w:eastAsia="仿宋" w:cs="仿宋"/>
          <w:sz w:val="32"/>
          <w:szCs w:val="32"/>
        </w:rPr>
        <w:t>为维护广大群众根本利益，切实提高资金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使用绩效，严格执行新《预算法》《会计法》等法律法规，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切实落实上级各项决策部署，</w:t>
      </w:r>
      <w:r>
        <w:rPr>
          <w:rFonts w:hint="eastAsia" w:ascii="仿宋" w:hAnsi="仿宋" w:eastAsia="仿宋" w:cs="仿宋"/>
          <w:sz w:val="32"/>
          <w:szCs w:val="32"/>
        </w:rPr>
        <w:t>加大对各专项资金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监管及跟踪，重点开展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财政政策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惠民政策落实情况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专项检查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；为提高财政部门工作效率，不断完善并严格执行内部控制制度，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预算收支、专项资金、会计信息质量的内部监督，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实现内控的现代化、</w:t>
      </w:r>
      <w:r>
        <w:rPr>
          <w:rFonts w:hint="eastAsia" w:ascii="仿宋" w:hAnsi="仿宋" w:eastAsia="仿宋" w:cs="仿宋"/>
          <w:sz w:val="32"/>
          <w:szCs w:val="32"/>
        </w:rPr>
        <w:t>常态化、多元化；加大财政监督检查和依法处置力度，重点检查“三公”经费和专项资金使用情况，严肃查处违反财政纪律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行为，确保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财政资金安全有序运行。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主任、各位副主任、各位委员，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年财政工作任务艰巨、责任重大，</w:t>
      </w:r>
      <w:r>
        <w:rPr>
          <w:rFonts w:hint="eastAsia" w:ascii="仿宋" w:hAnsi="仿宋" w:eastAsia="仿宋" w:cs="仿宋"/>
          <w:sz w:val="32"/>
          <w:szCs w:val="32"/>
        </w:rPr>
        <w:t>我们将在县委的正确领导下，按照县委对财政经济工作的各项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部署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振奋精神，攻坚克难，</w:t>
      </w:r>
      <w:r>
        <w:rPr>
          <w:rFonts w:hint="eastAsia" w:ascii="仿宋" w:hAnsi="仿宋" w:eastAsia="仿宋" w:cs="仿宋"/>
          <w:sz w:val="32"/>
          <w:szCs w:val="32"/>
        </w:rPr>
        <w:t>以更开阔的思路、更有效的举措、更务实的作风，为促进全县经济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发展做出新贡献。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4CF7"/>
    <w:rsid w:val="1D944328"/>
    <w:rsid w:val="1FC01DBA"/>
    <w:rsid w:val="34B10651"/>
    <w:rsid w:val="38A94CF7"/>
    <w:rsid w:val="3ED865A2"/>
    <w:rsid w:val="4D632804"/>
    <w:rsid w:val="66B82236"/>
    <w:rsid w:val="77C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2020-05-28T01:08:00Z</dcterms:created>
  <dc:creator>Administrator</dc:creator>
  <cp:lastModifiedBy>Administrator</cp:lastModifiedBy>
  <cp:lastPrinted>2020-06-04T02:02:00Z</cp:lastPrinted>
  <dcterms:modified xsi:type="dcterms:W3CDTF">2020-06-16T05:36:33Z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