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bookmarkStart w:id="0" w:name="_GoBack"/>
      <w:r>
        <w:rPr>
          <w:rFonts w:ascii="方正小标宋简体" w:hAnsi="方正小标宋简体" w:eastAsia="方正小标宋简体" w:cs="方正小标宋简体"/>
          <w:sz w:val="44"/>
          <w:szCs w:val="44"/>
        </w:rPr>
        <w:t>淮南市残联</w:t>
      </w:r>
      <w:r>
        <w:rPr>
          <w:rFonts w:hint="eastAsia" w:ascii="方正小标宋简体" w:hAnsi="方正小标宋简体" w:eastAsia="方正小标宋简体" w:cs="方正小标宋简体"/>
          <w:sz w:val="44"/>
          <w:szCs w:val="44"/>
        </w:rPr>
        <w:t>2019年政府信息公开工作年度报告</w:t>
      </w:r>
    </w:p>
    <w:bookmarkEnd w:id="0"/>
    <w:p>
      <w:pPr>
        <w:pStyle w:val="2"/>
        <w:keepNext w:val="0"/>
        <w:keepLines w:val="0"/>
        <w:widowControl/>
        <w:suppressLineNumbers w:val="0"/>
        <w:spacing w:before="0" w:beforeAutospacing="0" w:after="0" w:afterAutospacing="0" w:line="578" w:lineRule="atLeast"/>
        <w:ind w:left="0" w:right="0" w:firstLine="720"/>
        <w:jc w:val="both"/>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spacing w:before="0" w:beforeAutospacing="0" w:after="0" w:afterAutospacing="0" w:line="578" w:lineRule="atLeast"/>
        <w:ind w:left="0" w:right="0" w:firstLine="640"/>
        <w:jc w:val="both"/>
        <w:rPr>
          <w:rFonts w:hint="default" w:ascii="Times New Roman" w:hAnsi="Times New Roman" w:cs="Times New Roman"/>
          <w:sz w:val="21"/>
          <w:szCs w:val="21"/>
        </w:rPr>
      </w:pPr>
      <w:r>
        <w:rPr>
          <w:rFonts w:ascii="仿宋" w:hAnsi="仿宋" w:eastAsia="仿宋" w:cs="仿宋"/>
          <w:i w:val="0"/>
          <w:caps w:val="0"/>
          <w:color w:val="333333"/>
          <w:spacing w:val="0"/>
          <w:sz w:val="32"/>
          <w:szCs w:val="32"/>
          <w:shd w:val="clear" w:fill="FFFFFF"/>
        </w:rPr>
        <w:t>本报告依据《中华人民共和国政府信息公开条例》（国务院令第</w:t>
      </w:r>
      <w:r>
        <w:rPr>
          <w:rFonts w:hint="eastAsia" w:ascii="仿宋" w:hAnsi="仿宋" w:eastAsia="仿宋" w:cs="仿宋"/>
          <w:i w:val="0"/>
          <w:caps w:val="0"/>
          <w:color w:val="333333"/>
          <w:spacing w:val="0"/>
          <w:sz w:val="32"/>
          <w:szCs w:val="32"/>
          <w:shd w:val="clear" w:fill="FFFFFF"/>
        </w:rPr>
        <w:t>711号）、《国务院办公厅政府信息与政务公开办公室关于政府信息公开工作年度报告有关事项的通知》（国办公开办函〔2019〕60号）及</w:t>
      </w:r>
      <w:r>
        <w:rPr>
          <w:rFonts w:hint="eastAsia" w:ascii="仿宋" w:hAnsi="仿宋" w:eastAsia="仿宋" w:cs="仿宋"/>
          <w:color w:val="333333"/>
          <w:sz w:val="32"/>
          <w:szCs w:val="32"/>
          <w:shd w:val="clear" w:fill="FFFFFF"/>
        </w:rPr>
        <w:t>《安徽省人民政府办公厅关于做好2019年度政府信息公开工作年度报告及统计数据报送有关工作的通知》（皖政务办秘〔2019〕43号）</w:t>
      </w:r>
      <w:r>
        <w:rPr>
          <w:rFonts w:hint="eastAsia" w:ascii="仿宋" w:hAnsi="仿宋" w:eastAsia="仿宋" w:cs="仿宋"/>
          <w:i w:val="0"/>
          <w:caps w:val="0"/>
          <w:color w:val="333333"/>
          <w:spacing w:val="0"/>
          <w:sz w:val="32"/>
          <w:szCs w:val="32"/>
          <w:shd w:val="clear" w:fill="FFFFFF"/>
        </w:rPr>
        <w:t>要求，结合我会信息公开工作有关统计数据撰写。报告主要包括：总体情况、主动公开政府信息情况、收到和处理政府信息公开申请情况、因政府信息公开被申请行政复议和提起行政诉讼情况、政府信息公开工作存在主要问题及改进情况和其他需要报告事项。本报告中使用数据统计期限为2019年1月1日至12月31日。如对本报告有任何疑问，请与淮南市残疾人联合会办公室联系（地址：淮南市田家庵区洞山中路财金大厦11楼，电话0554-2671391，邮编：232000）。</w:t>
      </w:r>
    </w:p>
    <w:p>
      <w:pPr>
        <w:pStyle w:val="2"/>
        <w:keepNext w:val="0"/>
        <w:keepLines w:val="0"/>
        <w:widowControl/>
        <w:suppressLineNumbers w:val="0"/>
        <w:spacing w:before="0" w:beforeAutospacing="0" w:after="0" w:afterAutospacing="0" w:line="578" w:lineRule="atLeast"/>
        <w:ind w:left="0" w:right="0" w:firstLine="480"/>
        <w:jc w:val="both"/>
        <w:rPr>
          <w:rFonts w:hint="default" w:ascii="Times New Roman" w:hAnsi="Times New Roman" w:cs="Times New Roman"/>
          <w:sz w:val="21"/>
          <w:szCs w:val="21"/>
        </w:rPr>
      </w:pPr>
      <w:r>
        <w:rPr>
          <w:rFonts w:ascii="黑体" w:hAnsi="宋体" w:eastAsia="黑体" w:cs="黑体"/>
          <w:sz w:val="32"/>
          <w:szCs w:val="32"/>
        </w:rPr>
        <w:t>一、总体情况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20"/>
        <w:jc w:val="both"/>
        <w:rPr>
          <w:rFonts w:hint="default" w:ascii="Times New Roman" w:hAnsi="Times New Roman" w:cs="Times New Roman"/>
          <w:sz w:val="24"/>
          <w:szCs w:val="24"/>
        </w:rPr>
      </w:pPr>
      <w:r>
        <w:rPr>
          <w:rFonts w:hint="eastAsia" w:ascii="仿宋" w:hAnsi="仿宋" w:eastAsia="仿宋" w:cs="仿宋"/>
          <w:i w:val="0"/>
          <w:caps w:val="0"/>
          <w:color w:val="333333"/>
          <w:spacing w:val="0"/>
          <w:sz w:val="32"/>
          <w:szCs w:val="32"/>
          <w:bdr w:val="none" w:color="auto" w:sz="0" w:space="0"/>
        </w:rPr>
        <w:t>2019年以来，我会坚持 "以公开为常态、不公开为例外"，认真贯彻落实新修订的《政府信息公开条例》，建立健全信息公开制度，切实加强政策解读，积极回应社会关切，不断完善制度机制，各项工作取得显著成效。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20"/>
        <w:jc w:val="both"/>
        <w:rPr>
          <w:rFonts w:hint="default" w:ascii="Times New Roman" w:hAnsi="Times New Roman" w:cs="Times New Roman"/>
          <w:sz w:val="24"/>
          <w:szCs w:val="24"/>
        </w:rPr>
      </w:pPr>
      <w:r>
        <w:rPr>
          <w:rFonts w:hint="eastAsia" w:ascii="仿宋" w:hAnsi="仿宋" w:eastAsia="仿宋" w:cs="仿宋"/>
          <w:i w:val="0"/>
          <w:caps w:val="0"/>
          <w:color w:val="333333"/>
          <w:spacing w:val="0"/>
          <w:sz w:val="32"/>
          <w:szCs w:val="32"/>
          <w:bdr w:val="none" w:color="auto" w:sz="0" w:space="0"/>
        </w:rPr>
        <w:t>（一）主动公开情况。2019年，淮南市残疾人联合会门户网站累计发布各类政府信息271条，点击量为4203</w:t>
      </w:r>
      <w:r>
        <w:rPr>
          <w:rFonts w:hint="eastAsia" w:ascii="仿宋" w:hAnsi="仿宋" w:eastAsia="仿宋" w:cs="仿宋"/>
          <w:sz w:val="24"/>
          <w:szCs w:val="24"/>
          <w:bdr w:val="none" w:color="auto" w:sz="0" w:space="0"/>
        </w:rPr>
        <w:t>次，其</w:t>
      </w:r>
      <w:r>
        <w:rPr>
          <w:rFonts w:hint="eastAsia" w:ascii="仿宋" w:hAnsi="仿宋" w:eastAsia="仿宋" w:cs="仿宋"/>
          <w:sz w:val="32"/>
          <w:szCs w:val="32"/>
          <w:bdr w:val="none" w:color="auto" w:sz="0" w:space="0"/>
        </w:rPr>
        <w:t>中政策法规</w:t>
      </w:r>
      <w:r>
        <w:rPr>
          <w:rFonts w:hint="default" w:ascii="Times New Roman" w:hAnsi="Times New Roman" w:cs="Times New Roman"/>
          <w:sz w:val="32"/>
          <w:szCs w:val="32"/>
          <w:bdr w:val="none" w:color="auto" w:sz="0" w:space="0"/>
        </w:rPr>
        <w:t>23</w:t>
      </w:r>
      <w:r>
        <w:rPr>
          <w:rFonts w:hint="eastAsia" w:ascii="仿宋" w:hAnsi="仿宋" w:eastAsia="仿宋" w:cs="仿宋"/>
          <w:sz w:val="32"/>
          <w:szCs w:val="32"/>
          <w:bdr w:val="none" w:color="auto" w:sz="0" w:space="0"/>
        </w:rPr>
        <w:t>条，政策解读</w:t>
      </w:r>
      <w:r>
        <w:rPr>
          <w:rFonts w:hint="default" w:ascii="Times New Roman" w:hAnsi="Times New Roman" w:cs="Times New Roman"/>
          <w:sz w:val="32"/>
          <w:szCs w:val="32"/>
          <w:bdr w:val="none" w:color="auto" w:sz="0" w:space="0"/>
        </w:rPr>
        <w:t>18</w:t>
      </w:r>
      <w:r>
        <w:rPr>
          <w:rFonts w:hint="eastAsia" w:ascii="仿宋" w:hAnsi="仿宋" w:eastAsia="仿宋" w:cs="仿宋"/>
          <w:sz w:val="32"/>
          <w:szCs w:val="32"/>
          <w:bdr w:val="none" w:color="auto" w:sz="0" w:space="0"/>
        </w:rPr>
        <w:t>条，部门工作</w:t>
      </w:r>
      <w:r>
        <w:rPr>
          <w:rFonts w:hint="default" w:ascii="Times New Roman" w:hAnsi="Times New Roman" w:cs="Times New Roman"/>
          <w:sz w:val="32"/>
          <w:szCs w:val="32"/>
          <w:bdr w:val="none" w:color="auto" w:sz="0" w:space="0"/>
        </w:rPr>
        <w:t>222</w:t>
      </w:r>
      <w:r>
        <w:rPr>
          <w:rFonts w:hint="eastAsia" w:ascii="仿宋" w:hAnsi="仿宋" w:eastAsia="仿宋" w:cs="仿宋"/>
          <w:sz w:val="32"/>
          <w:szCs w:val="32"/>
          <w:bdr w:val="none" w:color="auto" w:sz="0" w:space="0"/>
        </w:rPr>
        <w:t>条等。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20"/>
        <w:jc w:val="both"/>
        <w:rPr>
          <w:sz w:val="24"/>
          <w:szCs w:val="24"/>
        </w:rPr>
      </w:pPr>
      <w:r>
        <w:rPr>
          <w:rFonts w:hint="eastAsia" w:ascii="仿宋" w:hAnsi="仿宋" w:eastAsia="仿宋" w:cs="仿宋"/>
          <w:caps w:val="0"/>
          <w:color w:val="333333"/>
          <w:spacing w:val="0"/>
          <w:sz w:val="30"/>
          <w:szCs w:val="30"/>
          <w:bdr w:val="none" w:color="auto" w:sz="0" w:space="0"/>
          <w:shd w:val="clear" w:fill="FFFFFF"/>
        </w:rPr>
        <w:t> </w:t>
      </w:r>
      <w:r>
        <w:rPr>
          <w:rFonts w:hint="eastAsia" w:ascii="仿宋" w:hAnsi="仿宋" w:eastAsia="仿宋" w:cs="仿宋"/>
          <w:i w:val="0"/>
          <w:caps w:val="0"/>
          <w:color w:val="000000"/>
          <w:spacing w:val="0"/>
          <w:sz w:val="32"/>
          <w:szCs w:val="32"/>
          <w:bdr w:val="none" w:color="auto" w:sz="0" w:space="0"/>
          <w:shd w:val="clear" w:fill="FFFFFF"/>
        </w:rPr>
        <w:t>深化重点领域公开。</w:t>
      </w:r>
      <w:r>
        <w:rPr>
          <w:rFonts w:hint="eastAsia" w:ascii="仿宋" w:hAnsi="仿宋" w:eastAsia="仿宋" w:cs="仿宋"/>
          <w:caps w:val="0"/>
          <w:color w:val="333333"/>
          <w:spacing w:val="0"/>
          <w:sz w:val="32"/>
          <w:szCs w:val="32"/>
          <w:bdr w:val="none" w:color="auto" w:sz="0" w:space="0"/>
          <w:shd w:val="clear" w:fill="FFFFFF"/>
        </w:rPr>
        <w:t>推进精准扶贫信息公开，推进财政信息公开，做好重点民生领域信息公开工作。</w:t>
      </w:r>
      <w:r>
        <w:rPr>
          <w:rFonts w:hint="eastAsia" w:ascii="仿宋" w:hAnsi="仿宋" w:eastAsia="仿宋" w:cs="仿宋"/>
          <w:caps w:val="0"/>
          <w:color w:val="000000"/>
          <w:spacing w:val="0"/>
          <w:sz w:val="32"/>
          <w:szCs w:val="32"/>
          <w:bdr w:val="none" w:color="auto" w:sz="0" w:space="0"/>
          <w:shd w:val="clear" w:fill="FFFFFF"/>
        </w:rPr>
        <w:t>严格按照政务公开重点工作任务和重点领域公开规定，在财政资金栏目中及时公开年度</w:t>
      </w:r>
      <w:r>
        <w:rPr>
          <w:rFonts w:hint="eastAsia" w:ascii="仿宋" w:hAnsi="仿宋" w:eastAsia="仿宋" w:cs="仿宋"/>
          <w:caps w:val="0"/>
          <w:color w:val="333333"/>
          <w:spacing w:val="0"/>
          <w:sz w:val="32"/>
          <w:szCs w:val="32"/>
          <w:bdr w:val="none" w:color="auto" w:sz="0" w:space="0"/>
          <w:shd w:val="clear" w:fill="FFFFFF"/>
        </w:rPr>
        <w:t>发布部门预决算、“三公”经费、部门资产、专项资金管理制度和使用情况、招标采购信息13次，各类应急预案3</w:t>
      </w:r>
      <w:r>
        <w:rPr>
          <w:rFonts w:hint="eastAsia" w:ascii="仿宋" w:hAnsi="仿宋" w:eastAsia="仿宋" w:cs="仿宋"/>
          <w:sz w:val="32"/>
          <w:szCs w:val="32"/>
          <w:bdr w:val="none" w:color="auto" w:sz="0" w:space="0"/>
        </w:rPr>
        <w:t>件次。办理人大代表建议和政协委员提案 3件。</w:t>
      </w:r>
      <w:r>
        <w:rPr>
          <w:rFonts w:hint="eastAsia" w:ascii="仿宋" w:hAnsi="仿宋" w:eastAsia="仿宋" w:cs="仿宋"/>
          <w:color w:val="000000"/>
          <w:sz w:val="32"/>
          <w:szCs w:val="32"/>
          <w:bdr w:val="none" w:color="auto" w:sz="0" w:space="0"/>
        </w:rPr>
        <w:t>在精准扶贫栏目中主动公开扶贫信息5条；在行政权力运行栏目中及时公开行政给付、行政奖励、行政确认等信息14条。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20"/>
        <w:jc w:val="both"/>
        <w:rPr>
          <w:rFonts w:hint="default" w:ascii="Times New Roman" w:hAnsi="Times New Roman" w:cs="Times New Roman"/>
          <w:sz w:val="24"/>
          <w:szCs w:val="24"/>
        </w:rPr>
      </w:pPr>
      <w:r>
        <w:rPr>
          <w:rFonts w:hint="eastAsia" w:ascii="仿宋" w:hAnsi="仿宋" w:eastAsia="仿宋" w:cs="仿宋"/>
          <w:i w:val="0"/>
          <w:caps w:val="0"/>
          <w:color w:val="333333"/>
          <w:spacing w:val="0"/>
          <w:sz w:val="32"/>
          <w:szCs w:val="32"/>
          <w:bdr w:val="none" w:color="auto" w:sz="0" w:space="0"/>
        </w:rPr>
        <w:t>（二）依申请公开情况。2019年，我会未收到依申请公开申请。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20"/>
        <w:jc w:val="both"/>
        <w:rPr>
          <w:rFonts w:hint="default" w:ascii="Times New Roman" w:hAnsi="Times New Roman" w:cs="Times New Roman"/>
          <w:sz w:val="24"/>
          <w:szCs w:val="24"/>
        </w:rPr>
      </w:pPr>
      <w:r>
        <w:rPr>
          <w:rFonts w:hint="eastAsia" w:ascii="仿宋" w:hAnsi="仿宋" w:eastAsia="仿宋" w:cs="仿宋"/>
          <w:i w:val="0"/>
          <w:caps w:val="0"/>
          <w:color w:val="333333"/>
          <w:spacing w:val="0"/>
          <w:sz w:val="32"/>
          <w:szCs w:val="32"/>
          <w:bdr w:val="none" w:color="auto" w:sz="0" w:space="0"/>
        </w:rPr>
        <w:t>（三）政府信息管理。一是做好政府信息公开审查工作，保障信息公开工作各个环节都有人负责、有人把关，保证提供的政府信息内容合法、完整、准确、及时。二是建立健全政府信息发布机制，将主动公开的政府信息通过政府网站或者其他互联网政务媒体、新闻发布会以及广播等途径予以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20"/>
        <w:jc w:val="both"/>
        <w:rPr>
          <w:rFonts w:hint="default" w:ascii="Times New Roman" w:hAnsi="Times New Roman" w:cs="Times New Roman"/>
          <w:sz w:val="24"/>
          <w:szCs w:val="24"/>
        </w:rPr>
      </w:pPr>
      <w:r>
        <w:rPr>
          <w:rFonts w:hint="eastAsia" w:ascii="仿宋" w:hAnsi="仿宋" w:eastAsia="仿宋" w:cs="仿宋"/>
          <w:i w:val="0"/>
          <w:caps w:val="0"/>
          <w:color w:val="333333"/>
          <w:spacing w:val="0"/>
          <w:sz w:val="32"/>
          <w:szCs w:val="32"/>
          <w:bdr w:val="none" w:color="auto" w:sz="0" w:space="0"/>
        </w:rPr>
        <w:t>（四）公开平台建设。按照市政务公开办要求，进一步优化网站功能、栏目设置，设立政策解读、回应关切、新闻发布、民生工程、精准脱贫等栏目，扩大政府信息公开范围，拓宽社会公众获取政府信息渠道。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20"/>
        <w:jc w:val="both"/>
        <w:rPr>
          <w:rFonts w:hint="default" w:ascii="Times New Roman" w:hAnsi="Times New Roman" w:cs="Times New Roman"/>
          <w:sz w:val="24"/>
          <w:szCs w:val="24"/>
        </w:rPr>
      </w:pPr>
      <w:r>
        <w:rPr>
          <w:rFonts w:hint="eastAsia" w:ascii="仿宋" w:hAnsi="仿宋" w:eastAsia="仿宋" w:cs="仿宋"/>
          <w:i w:val="0"/>
          <w:caps w:val="0"/>
          <w:color w:val="333333"/>
          <w:spacing w:val="0"/>
          <w:sz w:val="32"/>
          <w:szCs w:val="32"/>
          <w:bdr w:val="none" w:color="auto" w:sz="0" w:space="0"/>
        </w:rPr>
        <w:t>（五）监督保障。一是加强政府信息监管。我会切实加强对政府网站和其他信息公开载体发布政府信息的监管，信息发布按照规范流程进行，杜绝政治错误、内容差错、技术故障，市残联办公室负责对门户网站进行日常工作监督检查，对于发现的问题及时纠正，切实采取有效措施，加强薄弱环节的管理。</w:t>
      </w:r>
      <w:r>
        <w:rPr>
          <w:rFonts w:hint="eastAsia" w:ascii="仿宋" w:hAnsi="仿宋" w:eastAsia="仿宋" w:cs="仿宋"/>
          <w:b/>
          <w:i w:val="0"/>
          <w:caps w:val="0"/>
          <w:color w:val="333333"/>
          <w:spacing w:val="0"/>
          <w:sz w:val="32"/>
          <w:szCs w:val="32"/>
          <w:bdr w:val="none" w:color="auto" w:sz="0" w:space="0"/>
        </w:rPr>
        <w:t>二是加强考核监督。</w:t>
      </w:r>
      <w:r>
        <w:rPr>
          <w:rFonts w:hint="eastAsia" w:ascii="仿宋" w:hAnsi="仿宋" w:eastAsia="仿宋" w:cs="仿宋"/>
          <w:i w:val="0"/>
          <w:caps w:val="0"/>
          <w:color w:val="333333"/>
          <w:spacing w:val="0"/>
          <w:sz w:val="32"/>
          <w:szCs w:val="32"/>
          <w:bdr w:val="none" w:color="auto" w:sz="0" w:space="0"/>
        </w:rPr>
        <w:t>制定《关于印发2019年淮南市残联政务公开工作要点任务分工的通知》，各科室均按照职能要求有所分工，按照《淮南市残联政务公开工作考评制度》年底对各科室给予评分，分出优秀、合格、不合格三个等次，按照文件要求给予奖励和批评。</w:t>
      </w:r>
      <w:r>
        <w:rPr>
          <w:rFonts w:hint="eastAsia" w:ascii="仿宋" w:hAnsi="仿宋" w:eastAsia="仿宋" w:cs="仿宋"/>
          <w:b/>
          <w:i w:val="0"/>
          <w:caps w:val="0"/>
          <w:color w:val="333333"/>
          <w:spacing w:val="0"/>
          <w:sz w:val="32"/>
          <w:szCs w:val="32"/>
          <w:bdr w:val="none" w:color="auto" w:sz="0" w:space="0"/>
        </w:rPr>
        <w:t>三是加强社会评议。</w:t>
      </w:r>
      <w:r>
        <w:rPr>
          <w:rFonts w:hint="eastAsia" w:ascii="仿宋" w:hAnsi="仿宋" w:eastAsia="仿宋" w:cs="仿宋"/>
          <w:i w:val="0"/>
          <w:caps w:val="0"/>
          <w:color w:val="333333"/>
          <w:spacing w:val="0"/>
          <w:sz w:val="32"/>
          <w:szCs w:val="32"/>
          <w:bdr w:val="none" w:color="auto" w:sz="0" w:space="0"/>
        </w:rPr>
        <w:t>邀请政务公开领域专业人员等社会各界人士对我会的政务公开领导体制和工作机制、公开目录、公开内容、公开的形式、公开的程序等方面进行社会评议，及时听取意见建议，完善政务公开体制。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20"/>
        <w:jc w:val="both"/>
        <w:rPr>
          <w:rFonts w:hint="default" w:ascii="Times New Roman" w:hAnsi="Times New Roman" w:cs="Times New Roman"/>
          <w:sz w:val="24"/>
          <w:szCs w:val="24"/>
        </w:rPr>
      </w:pPr>
      <w:r>
        <w:rPr>
          <w:rFonts w:hint="eastAsia" w:ascii="仿宋" w:hAnsi="仿宋" w:eastAsia="仿宋" w:cs="仿宋"/>
          <w:i w:val="0"/>
          <w:caps w:val="0"/>
          <w:color w:val="333333"/>
          <w:spacing w:val="0"/>
          <w:sz w:val="32"/>
          <w:szCs w:val="32"/>
          <w:bdr w:val="none" w:color="auto" w:sz="0" w:space="0"/>
        </w:rPr>
        <w:t>（六）贯彻落实新条例情况。一是及时传达《政府信息公开条例》内容，充分利用新媒体等政务公开平台对新《条例》进行宣传解读；二是扎实做好主动公开工作，全面梳理应当主动公开的政府工作信息，已公开的进一步做好信息发布，提高信息公开质量，未公开的及时向社会公开；三是做好依申请公开工作，按照新《条例》要求进一步规范依申请公开办理工作。</w:t>
      </w:r>
    </w:p>
    <w:p>
      <w:pPr>
        <w:pStyle w:val="2"/>
        <w:keepNext w:val="0"/>
        <w:keepLines w:val="0"/>
        <w:widowControl/>
        <w:suppressLineNumbers w:val="0"/>
        <w:spacing w:before="0" w:beforeAutospacing="0" w:after="0" w:afterAutospacing="0" w:line="578" w:lineRule="atLeast"/>
        <w:ind w:left="0" w:right="0" w:firstLine="480"/>
        <w:jc w:val="both"/>
        <w:rPr>
          <w:rFonts w:hint="default" w:ascii="Times New Roman" w:hAnsi="Times New Roman" w:cs="Times New Roman"/>
          <w:sz w:val="21"/>
          <w:szCs w:val="21"/>
        </w:rPr>
      </w:pPr>
      <w:r>
        <w:rPr>
          <w:rFonts w:hint="default" w:ascii="Times New Roman" w:hAnsi="Times New Roman" w:cs="Times New Roman"/>
          <w:sz w:val="21"/>
          <w:szCs w:val="21"/>
        </w:rPr>
        <w:t> </w:t>
      </w:r>
      <w:r>
        <w:rPr>
          <w:rFonts w:hint="eastAsia" w:ascii="黑体" w:hAnsi="宋体" w:eastAsia="黑体" w:cs="黑体"/>
          <w:sz w:val="32"/>
          <w:szCs w:val="32"/>
        </w:rPr>
        <w:t>二、主动公开政府信息情况</w:t>
      </w:r>
    </w:p>
    <w:tbl>
      <w:tblPr>
        <w:tblW w:w="9310" w:type="dxa"/>
        <w:tblInd w:w="132" w:type="dxa"/>
        <w:shd w:val="clear"/>
        <w:tblLayout w:type="fixed"/>
        <w:tblCellMar>
          <w:top w:w="15" w:type="dxa"/>
          <w:left w:w="15" w:type="dxa"/>
          <w:bottom w:w="15" w:type="dxa"/>
          <w:right w:w="15" w:type="dxa"/>
        </w:tblCellMar>
      </w:tblPr>
      <w:tblGrid>
        <w:gridCol w:w="3723"/>
        <w:gridCol w:w="2369"/>
        <w:gridCol w:w="1533"/>
        <w:gridCol w:w="1685"/>
      </w:tblGrid>
      <w:tr>
        <w:tblPrEx>
          <w:shd w:val="clear"/>
          <w:tblLayout w:type="fixed"/>
          <w:tblCellMar>
            <w:top w:w="15" w:type="dxa"/>
            <w:left w:w="15" w:type="dxa"/>
            <w:bottom w:w="15" w:type="dxa"/>
            <w:right w:w="15" w:type="dxa"/>
          </w:tblCellMar>
        </w:tblPrEx>
        <w:trPr>
          <w:trHeight w:val="495" w:hRule="atLeast"/>
        </w:trPr>
        <w:tc>
          <w:tcPr>
            <w:tcW w:w="9310" w:type="dxa"/>
            <w:gridSpan w:val="4"/>
            <w:tcBorders>
              <w:top w:val="single" w:color="auto" w:sz="8" w:space="0"/>
              <w:left w:val="single" w:color="auto" w:sz="8" w:space="0"/>
              <w:bottom w:val="single" w:color="auto" w:sz="8" w:space="0"/>
              <w:right w:val="single" w:color="auto" w:sz="8" w:space="0"/>
            </w:tcBorders>
            <w:shd w:val="clear" w:color="auto" w:fill="C6D9F1"/>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第二十条第（一）项</w:t>
            </w:r>
          </w:p>
        </w:tc>
      </w:tr>
      <w:tr>
        <w:tblPrEx>
          <w:tblLayout w:type="fixed"/>
          <w:tblCellMar>
            <w:top w:w="15" w:type="dxa"/>
            <w:left w:w="15" w:type="dxa"/>
            <w:bottom w:w="15" w:type="dxa"/>
            <w:right w:w="15" w:type="dxa"/>
          </w:tblCellMar>
        </w:tblPrEx>
        <w:trPr>
          <w:trHeight w:val="882" w:hRule="atLeast"/>
        </w:trPr>
        <w:tc>
          <w:tcPr>
            <w:tcW w:w="372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信息内容</w:t>
            </w:r>
          </w:p>
        </w:tc>
        <w:tc>
          <w:tcPr>
            <w:tcW w:w="2369"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本年新</w:t>
            </w:r>
            <w:r>
              <w:rPr>
                <w:rFonts w:hint="eastAsia" w:ascii="宋体" w:hAnsi="宋体" w:eastAsia="宋体" w:cs="宋体"/>
                <w:sz w:val="20"/>
                <w:szCs w:val="20"/>
              </w:rPr>
              <w:br w:type="textWrapping"/>
            </w:r>
            <w:r>
              <w:rPr>
                <w:rFonts w:hint="eastAsia" w:ascii="宋体" w:hAnsi="宋体" w:eastAsia="宋体" w:cs="宋体"/>
                <w:sz w:val="20"/>
                <w:szCs w:val="20"/>
              </w:rPr>
              <w:t>制作数量</w:t>
            </w:r>
          </w:p>
        </w:tc>
        <w:tc>
          <w:tcPr>
            <w:tcW w:w="1533"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本年新</w:t>
            </w:r>
            <w:r>
              <w:rPr>
                <w:rFonts w:hint="eastAsia" w:ascii="宋体" w:hAnsi="宋体" w:eastAsia="宋体" w:cs="宋体"/>
                <w:sz w:val="20"/>
                <w:szCs w:val="20"/>
              </w:rPr>
              <w:br w:type="textWrapping"/>
            </w:r>
            <w:r>
              <w:rPr>
                <w:rFonts w:hint="eastAsia" w:ascii="宋体" w:hAnsi="宋体" w:eastAsia="宋体" w:cs="宋体"/>
                <w:sz w:val="20"/>
                <w:szCs w:val="20"/>
              </w:rPr>
              <w:t>公开数量</w:t>
            </w:r>
          </w:p>
        </w:tc>
        <w:tc>
          <w:tcPr>
            <w:tcW w:w="168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对外公开总数量</w:t>
            </w:r>
          </w:p>
        </w:tc>
      </w:tr>
      <w:tr>
        <w:tblPrEx>
          <w:tblLayout w:type="fixed"/>
          <w:tblCellMar>
            <w:top w:w="15" w:type="dxa"/>
            <w:left w:w="15" w:type="dxa"/>
            <w:bottom w:w="15" w:type="dxa"/>
            <w:right w:w="15" w:type="dxa"/>
          </w:tblCellMar>
        </w:tblPrEx>
        <w:trPr>
          <w:trHeight w:val="523" w:hRule="atLeast"/>
        </w:trPr>
        <w:tc>
          <w:tcPr>
            <w:tcW w:w="372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规章</w:t>
            </w:r>
          </w:p>
        </w:tc>
        <w:tc>
          <w:tcPr>
            <w:tcW w:w="236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4"/>
                <w:szCs w:val="24"/>
              </w:rPr>
              <w:t>0</w:t>
            </w:r>
          </w:p>
        </w:tc>
        <w:tc>
          <w:tcPr>
            <w:tcW w:w="153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4"/>
                <w:szCs w:val="24"/>
              </w:rPr>
              <w:t>0</w:t>
            </w:r>
          </w:p>
        </w:tc>
        <w:tc>
          <w:tcPr>
            <w:tcW w:w="168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4"/>
                <w:szCs w:val="24"/>
              </w:rPr>
              <w:t>0</w:t>
            </w:r>
          </w:p>
        </w:tc>
      </w:tr>
      <w:tr>
        <w:tblPrEx>
          <w:tblLayout w:type="fixed"/>
          <w:tblCellMar>
            <w:top w:w="15" w:type="dxa"/>
            <w:left w:w="15" w:type="dxa"/>
            <w:bottom w:w="15" w:type="dxa"/>
            <w:right w:w="15" w:type="dxa"/>
          </w:tblCellMar>
        </w:tblPrEx>
        <w:trPr>
          <w:trHeight w:val="471" w:hRule="atLeast"/>
        </w:trPr>
        <w:tc>
          <w:tcPr>
            <w:tcW w:w="372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规范性文件</w:t>
            </w:r>
          </w:p>
        </w:tc>
        <w:tc>
          <w:tcPr>
            <w:tcW w:w="236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4"/>
                <w:szCs w:val="24"/>
              </w:rPr>
              <w:t>2</w:t>
            </w:r>
          </w:p>
        </w:tc>
        <w:tc>
          <w:tcPr>
            <w:tcW w:w="153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4"/>
                <w:szCs w:val="24"/>
              </w:rPr>
              <w:t>2</w:t>
            </w:r>
          </w:p>
        </w:tc>
        <w:tc>
          <w:tcPr>
            <w:tcW w:w="168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4"/>
                <w:szCs w:val="24"/>
              </w:rPr>
              <w:t>2</w:t>
            </w:r>
          </w:p>
        </w:tc>
      </w:tr>
      <w:tr>
        <w:tblPrEx>
          <w:tblLayout w:type="fixed"/>
          <w:tblCellMar>
            <w:top w:w="15" w:type="dxa"/>
            <w:left w:w="15" w:type="dxa"/>
            <w:bottom w:w="15" w:type="dxa"/>
            <w:right w:w="15" w:type="dxa"/>
          </w:tblCellMar>
        </w:tblPrEx>
        <w:trPr>
          <w:trHeight w:val="480" w:hRule="atLeast"/>
        </w:trPr>
        <w:tc>
          <w:tcPr>
            <w:tcW w:w="9310" w:type="dxa"/>
            <w:gridSpan w:val="4"/>
            <w:tcBorders>
              <w:top w:val="nil"/>
              <w:left w:val="single" w:color="auto" w:sz="8" w:space="0"/>
              <w:bottom w:val="single" w:color="auto" w:sz="8" w:space="0"/>
              <w:right w:val="single" w:color="auto" w:sz="8" w:space="0"/>
            </w:tcBorders>
            <w:shd w:val="clear" w:color="auto" w:fill="C6D9F1"/>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第二十条第（五）项</w:t>
            </w:r>
          </w:p>
        </w:tc>
      </w:tr>
      <w:tr>
        <w:tblPrEx>
          <w:tblLayout w:type="fixed"/>
          <w:tblCellMar>
            <w:top w:w="15" w:type="dxa"/>
            <w:left w:w="15" w:type="dxa"/>
            <w:bottom w:w="15" w:type="dxa"/>
            <w:right w:w="15" w:type="dxa"/>
          </w:tblCellMar>
        </w:tblPrEx>
        <w:trPr>
          <w:trHeight w:val="634" w:hRule="atLeast"/>
        </w:trPr>
        <w:tc>
          <w:tcPr>
            <w:tcW w:w="372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信息内容</w:t>
            </w:r>
          </w:p>
        </w:tc>
        <w:tc>
          <w:tcPr>
            <w:tcW w:w="2369"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上一年项目数量</w:t>
            </w:r>
          </w:p>
        </w:tc>
        <w:tc>
          <w:tcPr>
            <w:tcW w:w="1533"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本年增/减</w:t>
            </w:r>
          </w:p>
        </w:tc>
        <w:tc>
          <w:tcPr>
            <w:tcW w:w="168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处理决定数量</w:t>
            </w:r>
          </w:p>
        </w:tc>
      </w:tr>
      <w:tr>
        <w:tblPrEx>
          <w:tblLayout w:type="fixed"/>
          <w:tblCellMar>
            <w:top w:w="15" w:type="dxa"/>
            <w:left w:w="15" w:type="dxa"/>
            <w:bottom w:w="15" w:type="dxa"/>
            <w:right w:w="15" w:type="dxa"/>
          </w:tblCellMar>
        </w:tblPrEx>
        <w:trPr>
          <w:trHeight w:val="528" w:hRule="atLeast"/>
        </w:trPr>
        <w:tc>
          <w:tcPr>
            <w:tcW w:w="3723"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行政许可</w:t>
            </w:r>
          </w:p>
        </w:tc>
        <w:tc>
          <w:tcPr>
            <w:tcW w:w="2369"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4"/>
                <w:szCs w:val="24"/>
              </w:rPr>
              <w:t>0</w:t>
            </w:r>
          </w:p>
        </w:tc>
        <w:tc>
          <w:tcPr>
            <w:tcW w:w="153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4"/>
                <w:szCs w:val="24"/>
              </w:rPr>
              <w:t>0</w:t>
            </w:r>
          </w:p>
        </w:tc>
        <w:tc>
          <w:tcPr>
            <w:tcW w:w="168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4"/>
                <w:szCs w:val="24"/>
              </w:rPr>
              <w:t>0</w:t>
            </w:r>
          </w:p>
        </w:tc>
      </w:tr>
      <w:tr>
        <w:tblPrEx>
          <w:tblLayout w:type="fixed"/>
          <w:tblCellMar>
            <w:top w:w="15" w:type="dxa"/>
            <w:left w:w="15" w:type="dxa"/>
            <w:bottom w:w="15" w:type="dxa"/>
            <w:right w:w="15" w:type="dxa"/>
          </w:tblCellMar>
        </w:tblPrEx>
        <w:trPr>
          <w:trHeight w:val="550" w:hRule="atLeast"/>
        </w:trPr>
        <w:tc>
          <w:tcPr>
            <w:tcW w:w="3723"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其他对外管理服务事项（除行政许可外的其他行政权力）</w:t>
            </w:r>
          </w:p>
        </w:tc>
        <w:tc>
          <w:tcPr>
            <w:tcW w:w="2369"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4"/>
                <w:szCs w:val="24"/>
              </w:rPr>
              <w:t>0</w:t>
            </w:r>
          </w:p>
        </w:tc>
        <w:tc>
          <w:tcPr>
            <w:tcW w:w="153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4"/>
                <w:szCs w:val="24"/>
              </w:rPr>
              <w:t>0</w:t>
            </w:r>
          </w:p>
        </w:tc>
        <w:tc>
          <w:tcPr>
            <w:tcW w:w="168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4"/>
                <w:szCs w:val="24"/>
              </w:rPr>
              <w:t>0</w:t>
            </w:r>
          </w:p>
        </w:tc>
      </w:tr>
      <w:tr>
        <w:tblPrEx>
          <w:tblLayout w:type="fixed"/>
          <w:tblCellMar>
            <w:top w:w="15" w:type="dxa"/>
            <w:left w:w="15" w:type="dxa"/>
            <w:bottom w:w="15" w:type="dxa"/>
            <w:right w:w="15" w:type="dxa"/>
          </w:tblCellMar>
        </w:tblPrEx>
        <w:trPr>
          <w:trHeight w:val="406" w:hRule="atLeast"/>
        </w:trPr>
        <w:tc>
          <w:tcPr>
            <w:tcW w:w="9310" w:type="dxa"/>
            <w:gridSpan w:val="4"/>
            <w:tcBorders>
              <w:top w:val="nil"/>
              <w:left w:val="single" w:color="auto" w:sz="8" w:space="0"/>
              <w:bottom w:val="single" w:color="auto" w:sz="8" w:space="0"/>
              <w:right w:val="single" w:color="auto" w:sz="8" w:space="0"/>
            </w:tcBorders>
            <w:shd w:val="clear" w:color="auto" w:fill="C6D9F1"/>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第二十条第（六）项</w:t>
            </w:r>
          </w:p>
        </w:tc>
      </w:tr>
      <w:tr>
        <w:tblPrEx>
          <w:tblLayout w:type="fixed"/>
          <w:tblCellMar>
            <w:top w:w="15" w:type="dxa"/>
            <w:left w:w="15" w:type="dxa"/>
            <w:bottom w:w="15" w:type="dxa"/>
            <w:right w:w="15" w:type="dxa"/>
          </w:tblCellMar>
        </w:tblPrEx>
        <w:trPr>
          <w:trHeight w:val="634" w:hRule="atLeast"/>
        </w:trPr>
        <w:tc>
          <w:tcPr>
            <w:tcW w:w="372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信息内容</w:t>
            </w:r>
          </w:p>
        </w:tc>
        <w:tc>
          <w:tcPr>
            <w:tcW w:w="2369"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上一年项目数量</w:t>
            </w:r>
          </w:p>
        </w:tc>
        <w:tc>
          <w:tcPr>
            <w:tcW w:w="1533"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本年增/减</w:t>
            </w:r>
          </w:p>
        </w:tc>
        <w:tc>
          <w:tcPr>
            <w:tcW w:w="168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处理决定数量</w:t>
            </w:r>
          </w:p>
        </w:tc>
      </w:tr>
      <w:tr>
        <w:tblPrEx>
          <w:tblLayout w:type="fixed"/>
          <w:tblCellMar>
            <w:top w:w="15" w:type="dxa"/>
            <w:left w:w="15" w:type="dxa"/>
            <w:bottom w:w="15" w:type="dxa"/>
            <w:right w:w="15" w:type="dxa"/>
          </w:tblCellMar>
        </w:tblPrEx>
        <w:trPr>
          <w:trHeight w:val="430" w:hRule="atLeast"/>
        </w:trPr>
        <w:tc>
          <w:tcPr>
            <w:tcW w:w="3723"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行政处罚</w:t>
            </w:r>
          </w:p>
        </w:tc>
        <w:tc>
          <w:tcPr>
            <w:tcW w:w="2369"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4"/>
                <w:szCs w:val="24"/>
              </w:rPr>
              <w:t>0</w:t>
            </w:r>
          </w:p>
        </w:tc>
        <w:tc>
          <w:tcPr>
            <w:tcW w:w="153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4"/>
                <w:szCs w:val="24"/>
              </w:rPr>
              <w:t>0</w:t>
            </w:r>
          </w:p>
        </w:tc>
        <w:tc>
          <w:tcPr>
            <w:tcW w:w="168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4"/>
                <w:szCs w:val="24"/>
              </w:rPr>
              <w:t>0</w:t>
            </w:r>
          </w:p>
        </w:tc>
      </w:tr>
      <w:tr>
        <w:tblPrEx>
          <w:tblLayout w:type="fixed"/>
          <w:tblCellMar>
            <w:top w:w="15" w:type="dxa"/>
            <w:left w:w="15" w:type="dxa"/>
            <w:bottom w:w="15" w:type="dxa"/>
            <w:right w:w="15" w:type="dxa"/>
          </w:tblCellMar>
        </w:tblPrEx>
        <w:trPr>
          <w:trHeight w:val="409" w:hRule="atLeast"/>
        </w:trPr>
        <w:tc>
          <w:tcPr>
            <w:tcW w:w="3723"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行政强制</w:t>
            </w:r>
          </w:p>
        </w:tc>
        <w:tc>
          <w:tcPr>
            <w:tcW w:w="2369"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4"/>
                <w:szCs w:val="24"/>
              </w:rPr>
              <w:t>0</w:t>
            </w:r>
          </w:p>
        </w:tc>
        <w:tc>
          <w:tcPr>
            <w:tcW w:w="153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4"/>
                <w:szCs w:val="24"/>
              </w:rPr>
              <w:t>0</w:t>
            </w:r>
          </w:p>
        </w:tc>
        <w:tc>
          <w:tcPr>
            <w:tcW w:w="168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4"/>
                <w:szCs w:val="24"/>
              </w:rPr>
              <w:t>0</w:t>
            </w:r>
          </w:p>
        </w:tc>
      </w:tr>
      <w:tr>
        <w:tblPrEx>
          <w:tblLayout w:type="fixed"/>
          <w:tblCellMar>
            <w:top w:w="15" w:type="dxa"/>
            <w:left w:w="15" w:type="dxa"/>
            <w:bottom w:w="15" w:type="dxa"/>
            <w:right w:w="15" w:type="dxa"/>
          </w:tblCellMar>
        </w:tblPrEx>
        <w:trPr>
          <w:trHeight w:val="474" w:hRule="atLeast"/>
        </w:trPr>
        <w:tc>
          <w:tcPr>
            <w:tcW w:w="9310" w:type="dxa"/>
            <w:gridSpan w:val="4"/>
            <w:tcBorders>
              <w:top w:val="nil"/>
              <w:left w:val="single" w:color="auto" w:sz="8" w:space="0"/>
              <w:bottom w:val="single" w:color="auto" w:sz="8" w:space="0"/>
              <w:right w:val="single" w:color="auto" w:sz="8" w:space="0"/>
            </w:tcBorders>
            <w:shd w:val="clear" w:color="auto" w:fill="C6D9F1"/>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第二十条第（八）项</w:t>
            </w:r>
          </w:p>
        </w:tc>
      </w:tr>
      <w:tr>
        <w:tblPrEx>
          <w:tblLayout w:type="fixed"/>
          <w:tblCellMar>
            <w:top w:w="15" w:type="dxa"/>
            <w:left w:w="15" w:type="dxa"/>
            <w:bottom w:w="15" w:type="dxa"/>
            <w:right w:w="15" w:type="dxa"/>
          </w:tblCellMar>
        </w:tblPrEx>
        <w:trPr>
          <w:trHeight w:val="270" w:hRule="atLeast"/>
        </w:trPr>
        <w:tc>
          <w:tcPr>
            <w:tcW w:w="372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信息内容</w:t>
            </w:r>
          </w:p>
        </w:tc>
        <w:tc>
          <w:tcPr>
            <w:tcW w:w="236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上一年项目数量</w:t>
            </w:r>
          </w:p>
        </w:tc>
        <w:tc>
          <w:tcPr>
            <w:tcW w:w="3218" w:type="dxa"/>
            <w:gridSpan w:val="2"/>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本年增/减</w:t>
            </w:r>
          </w:p>
        </w:tc>
      </w:tr>
      <w:tr>
        <w:tblPrEx>
          <w:tblLayout w:type="fixed"/>
          <w:tblCellMar>
            <w:top w:w="15" w:type="dxa"/>
            <w:left w:w="15" w:type="dxa"/>
            <w:bottom w:w="15" w:type="dxa"/>
            <w:right w:w="15" w:type="dxa"/>
          </w:tblCellMar>
        </w:tblPrEx>
        <w:trPr>
          <w:trHeight w:val="551" w:hRule="atLeast"/>
        </w:trPr>
        <w:tc>
          <w:tcPr>
            <w:tcW w:w="372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行政事业性收费</w:t>
            </w:r>
          </w:p>
        </w:tc>
        <w:tc>
          <w:tcPr>
            <w:tcW w:w="236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4"/>
                <w:szCs w:val="24"/>
              </w:rPr>
              <w:t>0</w:t>
            </w:r>
          </w:p>
        </w:tc>
        <w:tc>
          <w:tcPr>
            <w:tcW w:w="3218"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4"/>
                <w:szCs w:val="24"/>
              </w:rPr>
              <w:t>0</w:t>
            </w:r>
          </w:p>
        </w:tc>
      </w:tr>
      <w:tr>
        <w:tblPrEx>
          <w:tblLayout w:type="fixed"/>
          <w:tblCellMar>
            <w:top w:w="15" w:type="dxa"/>
            <w:left w:w="15" w:type="dxa"/>
            <w:bottom w:w="15" w:type="dxa"/>
            <w:right w:w="15" w:type="dxa"/>
          </w:tblCellMar>
        </w:tblPrEx>
        <w:trPr>
          <w:trHeight w:val="476" w:hRule="atLeast"/>
        </w:trPr>
        <w:tc>
          <w:tcPr>
            <w:tcW w:w="9310" w:type="dxa"/>
            <w:gridSpan w:val="4"/>
            <w:tcBorders>
              <w:top w:val="nil"/>
              <w:left w:val="single" w:color="auto" w:sz="8" w:space="0"/>
              <w:bottom w:val="single" w:color="auto" w:sz="8" w:space="0"/>
              <w:right w:val="single" w:color="auto" w:sz="8" w:space="0"/>
            </w:tcBorders>
            <w:shd w:val="clear" w:color="auto" w:fill="C6D9F1"/>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第二十条第（九）项</w:t>
            </w:r>
          </w:p>
        </w:tc>
      </w:tr>
      <w:tr>
        <w:tblPrEx>
          <w:tblLayout w:type="fixed"/>
          <w:tblCellMar>
            <w:top w:w="15" w:type="dxa"/>
            <w:left w:w="15" w:type="dxa"/>
            <w:bottom w:w="15" w:type="dxa"/>
            <w:right w:w="15" w:type="dxa"/>
          </w:tblCellMar>
        </w:tblPrEx>
        <w:trPr>
          <w:trHeight w:val="585" w:hRule="atLeast"/>
        </w:trPr>
        <w:tc>
          <w:tcPr>
            <w:tcW w:w="372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信息内容</w:t>
            </w:r>
          </w:p>
        </w:tc>
        <w:tc>
          <w:tcPr>
            <w:tcW w:w="236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采购项目数量</w:t>
            </w:r>
          </w:p>
        </w:tc>
        <w:tc>
          <w:tcPr>
            <w:tcW w:w="3218" w:type="dxa"/>
            <w:gridSpan w:val="2"/>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采购总金额</w:t>
            </w:r>
          </w:p>
        </w:tc>
      </w:tr>
      <w:tr>
        <w:tblPrEx>
          <w:tblLayout w:type="fixed"/>
          <w:tblCellMar>
            <w:top w:w="15" w:type="dxa"/>
            <w:left w:w="15" w:type="dxa"/>
            <w:bottom w:w="15" w:type="dxa"/>
            <w:right w:w="15" w:type="dxa"/>
          </w:tblCellMar>
        </w:tblPrEx>
        <w:trPr>
          <w:trHeight w:val="539" w:hRule="atLeast"/>
        </w:trPr>
        <w:tc>
          <w:tcPr>
            <w:tcW w:w="372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政府集中采购</w:t>
            </w:r>
          </w:p>
        </w:tc>
        <w:tc>
          <w:tcPr>
            <w:tcW w:w="236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4"/>
                <w:szCs w:val="24"/>
              </w:rPr>
              <w:t>2</w:t>
            </w:r>
          </w:p>
        </w:tc>
        <w:tc>
          <w:tcPr>
            <w:tcW w:w="3218"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4"/>
                <w:szCs w:val="24"/>
              </w:rPr>
              <w:t>34万</w:t>
            </w:r>
          </w:p>
        </w:tc>
      </w:tr>
    </w:tbl>
    <w:p>
      <w:pPr>
        <w:pStyle w:val="2"/>
        <w:keepNext w:val="0"/>
        <w:keepLines w:val="0"/>
        <w:widowControl/>
        <w:suppressLineNumbers w:val="0"/>
        <w:spacing w:before="0" w:beforeAutospacing="0" w:after="240" w:afterAutospacing="0" w:line="578" w:lineRule="atLeast"/>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spacing w:before="0" w:beforeAutospacing="0" w:after="240" w:afterAutospacing="0" w:line="578" w:lineRule="atLeast"/>
        <w:ind w:left="0" w:right="0"/>
        <w:jc w:val="both"/>
        <w:rPr>
          <w:rFonts w:hint="default" w:ascii="Times New Roman" w:hAnsi="Times New Roman" w:cs="Times New Roman"/>
          <w:sz w:val="21"/>
          <w:szCs w:val="21"/>
        </w:rPr>
      </w:pPr>
      <w:r>
        <w:rPr>
          <w:rFonts w:hint="eastAsia" w:ascii="黑体" w:hAnsi="宋体" w:eastAsia="黑体" w:cs="黑体"/>
          <w:sz w:val="32"/>
          <w:szCs w:val="32"/>
        </w:rPr>
        <w:t>三、收到和处理政府信息公开申请情况</w:t>
      </w:r>
    </w:p>
    <w:tbl>
      <w:tblPr>
        <w:tblW w:w="9354" w:type="dxa"/>
        <w:tblInd w:w="132" w:type="dxa"/>
        <w:shd w:val="clear"/>
        <w:tblLayout w:type="fixed"/>
        <w:tblCellMar>
          <w:top w:w="15" w:type="dxa"/>
          <w:left w:w="15" w:type="dxa"/>
          <w:bottom w:w="15" w:type="dxa"/>
          <w:right w:w="15" w:type="dxa"/>
        </w:tblCellMar>
      </w:tblPr>
      <w:tblGrid>
        <w:gridCol w:w="1053"/>
        <w:gridCol w:w="855"/>
        <w:gridCol w:w="1919"/>
        <w:gridCol w:w="850"/>
        <w:gridCol w:w="709"/>
        <w:gridCol w:w="850"/>
        <w:gridCol w:w="850"/>
        <w:gridCol w:w="850"/>
        <w:gridCol w:w="709"/>
        <w:gridCol w:w="709"/>
      </w:tblGrid>
      <w:tr>
        <w:tblPrEx>
          <w:shd w:val="clear"/>
          <w:tblLayout w:type="fixed"/>
          <w:tblCellMar>
            <w:top w:w="15" w:type="dxa"/>
            <w:left w:w="15" w:type="dxa"/>
            <w:bottom w:w="15" w:type="dxa"/>
            <w:right w:w="15" w:type="dxa"/>
          </w:tblCellMar>
        </w:tblPrEx>
        <w:tc>
          <w:tcPr>
            <w:tcW w:w="3827" w:type="dxa"/>
            <w:gridSpan w:val="3"/>
            <w:vMerge w:val="restart"/>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（本列数据的勾稽关系为：第一项加第二项之和，等于第三项加第四项之和）</w:t>
            </w:r>
          </w:p>
        </w:tc>
        <w:tc>
          <w:tcPr>
            <w:tcW w:w="5527" w:type="dxa"/>
            <w:gridSpan w:val="7"/>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申请人情况</w:t>
            </w:r>
          </w:p>
        </w:tc>
      </w:tr>
      <w:tr>
        <w:tblPrEx>
          <w:tblLayout w:type="fixed"/>
          <w:tblCellMar>
            <w:top w:w="15" w:type="dxa"/>
            <w:left w:w="15" w:type="dxa"/>
            <w:bottom w:w="15" w:type="dxa"/>
            <w:right w:w="15" w:type="dxa"/>
          </w:tblCellMar>
        </w:tblPrEx>
        <w:tc>
          <w:tcPr>
            <w:tcW w:w="3827" w:type="dxa"/>
            <w:gridSpan w:val="3"/>
            <w:vMerge w:val="continue"/>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default" w:ascii="Times New Roman" w:hAnsi="Times New Roman" w:cs="Times New Roman"/>
                <w:sz w:val="20"/>
                <w:szCs w:val="20"/>
              </w:rPr>
            </w:pPr>
          </w:p>
        </w:tc>
        <w:tc>
          <w:tcPr>
            <w:tcW w:w="850"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自然人</w:t>
            </w:r>
          </w:p>
        </w:tc>
        <w:tc>
          <w:tcPr>
            <w:tcW w:w="3968" w:type="dxa"/>
            <w:gridSpan w:val="5"/>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法人或其他组织</w:t>
            </w:r>
          </w:p>
        </w:tc>
        <w:tc>
          <w:tcPr>
            <w:tcW w:w="709" w:type="dxa"/>
            <w:vMerge w:val="restart"/>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总计</w:t>
            </w:r>
          </w:p>
        </w:tc>
      </w:tr>
      <w:tr>
        <w:tblPrEx>
          <w:tblLayout w:type="fixed"/>
          <w:tblCellMar>
            <w:top w:w="15" w:type="dxa"/>
            <w:left w:w="15" w:type="dxa"/>
            <w:bottom w:w="15" w:type="dxa"/>
            <w:right w:w="15" w:type="dxa"/>
          </w:tblCellMar>
        </w:tblPrEx>
        <w:tc>
          <w:tcPr>
            <w:tcW w:w="3827" w:type="dxa"/>
            <w:gridSpan w:val="3"/>
            <w:vMerge w:val="continue"/>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default" w:ascii="Times New Roman" w:hAnsi="Times New Roman" w:cs="Times New Roman"/>
                <w:sz w:val="20"/>
                <w:szCs w:val="20"/>
              </w:rPr>
            </w:pPr>
          </w:p>
        </w:tc>
        <w:tc>
          <w:tcPr>
            <w:tcW w:w="850"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default" w:ascii="Times New Roman" w:hAnsi="Times New Roman" w:cs="Times New Roman"/>
                <w:sz w:val="20"/>
                <w:szCs w:val="20"/>
              </w:rPr>
            </w:pP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商业企业</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科研机构</w:t>
            </w:r>
          </w:p>
        </w:tc>
        <w:tc>
          <w:tcPr>
            <w:tcW w:w="850"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社会公益组织</w:t>
            </w:r>
          </w:p>
        </w:tc>
        <w:tc>
          <w:tcPr>
            <w:tcW w:w="850"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法律服务机构</w:t>
            </w:r>
          </w:p>
        </w:tc>
        <w:tc>
          <w:tcPr>
            <w:tcW w:w="709"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其他</w:t>
            </w:r>
          </w:p>
        </w:tc>
        <w:tc>
          <w:tcPr>
            <w:tcW w:w="709"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rPr>
                <w:rFonts w:hint="default" w:ascii="Times New Roman" w:hAnsi="Times New Roman" w:cs="Times New Roman"/>
                <w:sz w:val="20"/>
                <w:szCs w:val="20"/>
              </w:rPr>
            </w:pPr>
          </w:p>
        </w:tc>
      </w:tr>
      <w:tr>
        <w:tblPrEx>
          <w:tblLayout w:type="fixed"/>
          <w:tblCellMar>
            <w:top w:w="15" w:type="dxa"/>
            <w:left w:w="15" w:type="dxa"/>
            <w:bottom w:w="15" w:type="dxa"/>
            <w:right w:w="15" w:type="dxa"/>
          </w:tblCellMar>
        </w:tblPrEx>
        <w:tc>
          <w:tcPr>
            <w:tcW w:w="3827" w:type="dxa"/>
            <w:gridSpan w:val="3"/>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578" w:lineRule="atLeast"/>
              <w:ind w:left="0" w:right="0"/>
              <w:jc w:val="left"/>
              <w:rPr>
                <w:rFonts w:hint="default" w:ascii="Times New Roman" w:hAnsi="Times New Roman" w:cs="Times New Roman"/>
                <w:sz w:val="21"/>
                <w:szCs w:val="21"/>
              </w:rPr>
            </w:pPr>
            <w:r>
              <w:rPr>
                <w:rFonts w:hint="eastAsia" w:ascii="宋体" w:hAnsi="宋体" w:eastAsia="宋体" w:cs="宋体"/>
                <w:sz w:val="20"/>
                <w:szCs w:val="20"/>
              </w:rPr>
              <w:t>一、本年新收政府信息公开申请数量</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ascii="Calibri" w:hAnsi="Calibri" w:cs="Calibri"/>
                <w:sz w:val="20"/>
                <w:szCs w:val="20"/>
              </w:rPr>
              <w:t> </w:t>
            </w:r>
            <w:r>
              <w:rPr>
                <w:rFonts w:hint="eastAsia" w:ascii="宋体" w:hAnsi="宋体" w:eastAsia="宋体" w:cs="宋体"/>
                <w:sz w:val="20"/>
                <w:szCs w:val="20"/>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w:t>
            </w:r>
            <w:r>
              <w:rPr>
                <w:rFonts w:hint="eastAsia" w:ascii="宋体" w:hAnsi="宋体" w:eastAsia="宋体" w:cs="宋体"/>
                <w:sz w:val="20"/>
                <w:szCs w:val="20"/>
              </w:rPr>
              <w:t>0</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w:t>
            </w:r>
            <w:r>
              <w:rPr>
                <w:rFonts w:hint="eastAsia" w:ascii="宋体" w:hAnsi="宋体" w:eastAsia="宋体" w:cs="宋体"/>
                <w:sz w:val="20"/>
                <w:szCs w:val="20"/>
              </w:rPr>
              <w:t>0</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w:t>
            </w:r>
            <w:r>
              <w:rPr>
                <w:rFonts w:hint="eastAsia" w:ascii="宋体" w:hAnsi="宋体" w:eastAsia="宋体" w:cs="宋体"/>
                <w:sz w:val="20"/>
                <w:szCs w:val="20"/>
              </w:rPr>
              <w:t>0</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w:t>
            </w:r>
            <w:r>
              <w:rPr>
                <w:rFonts w:hint="eastAsia" w:ascii="宋体" w:hAnsi="宋体" w:eastAsia="宋体" w:cs="宋体"/>
                <w:sz w:val="20"/>
                <w:szCs w:val="20"/>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w:t>
            </w:r>
            <w:r>
              <w:rPr>
                <w:rFonts w:hint="eastAsia" w:ascii="宋体" w:hAnsi="宋体" w:eastAsia="宋体" w:cs="宋体"/>
                <w:sz w:val="20"/>
                <w:szCs w:val="20"/>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w:t>
            </w:r>
            <w:r>
              <w:rPr>
                <w:rFonts w:hint="eastAsia" w:ascii="宋体" w:hAnsi="宋体" w:eastAsia="宋体" w:cs="宋体"/>
                <w:sz w:val="20"/>
                <w:szCs w:val="20"/>
              </w:rPr>
              <w:t>0</w:t>
            </w:r>
          </w:p>
        </w:tc>
      </w:tr>
      <w:tr>
        <w:tblPrEx>
          <w:tblLayout w:type="fixed"/>
          <w:tblCellMar>
            <w:top w:w="15" w:type="dxa"/>
            <w:left w:w="15" w:type="dxa"/>
            <w:bottom w:w="15" w:type="dxa"/>
            <w:right w:w="15" w:type="dxa"/>
          </w:tblCellMar>
        </w:tblPrEx>
        <w:tc>
          <w:tcPr>
            <w:tcW w:w="3827" w:type="dxa"/>
            <w:gridSpan w:val="3"/>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578" w:lineRule="atLeast"/>
              <w:ind w:left="0" w:right="0"/>
              <w:jc w:val="left"/>
              <w:rPr>
                <w:rFonts w:hint="default" w:ascii="Times New Roman" w:hAnsi="Times New Roman" w:cs="Times New Roman"/>
                <w:sz w:val="21"/>
                <w:szCs w:val="21"/>
              </w:rPr>
            </w:pPr>
            <w:r>
              <w:rPr>
                <w:rFonts w:hint="eastAsia" w:ascii="宋体" w:hAnsi="宋体" w:eastAsia="宋体" w:cs="宋体"/>
                <w:sz w:val="20"/>
                <w:szCs w:val="20"/>
              </w:rPr>
              <w:t>二、上年结转政府信息公开申请数量</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w:t>
            </w:r>
            <w:r>
              <w:rPr>
                <w:rFonts w:hint="eastAsia" w:ascii="宋体" w:hAnsi="宋体" w:eastAsia="宋体" w:cs="宋体"/>
                <w:sz w:val="20"/>
                <w:szCs w:val="20"/>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w:t>
            </w:r>
            <w:r>
              <w:rPr>
                <w:rFonts w:hint="eastAsia" w:ascii="宋体" w:hAnsi="宋体" w:eastAsia="宋体" w:cs="宋体"/>
                <w:sz w:val="20"/>
                <w:szCs w:val="20"/>
              </w:rPr>
              <w:t>0</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w:t>
            </w:r>
            <w:r>
              <w:rPr>
                <w:rFonts w:hint="eastAsia" w:ascii="宋体" w:hAnsi="宋体" w:eastAsia="宋体" w:cs="宋体"/>
                <w:sz w:val="20"/>
                <w:szCs w:val="20"/>
              </w:rPr>
              <w:t>0</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w:t>
            </w:r>
            <w:r>
              <w:rPr>
                <w:rFonts w:hint="eastAsia" w:ascii="宋体" w:hAnsi="宋体" w:eastAsia="宋体" w:cs="宋体"/>
                <w:sz w:val="20"/>
                <w:szCs w:val="20"/>
              </w:rPr>
              <w:t>0</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w:t>
            </w:r>
            <w:r>
              <w:rPr>
                <w:rFonts w:hint="eastAsia" w:ascii="宋体" w:hAnsi="宋体" w:eastAsia="宋体" w:cs="宋体"/>
                <w:sz w:val="20"/>
                <w:szCs w:val="20"/>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w:t>
            </w:r>
            <w:r>
              <w:rPr>
                <w:rFonts w:hint="eastAsia" w:ascii="宋体" w:hAnsi="宋体" w:eastAsia="宋体" w:cs="宋体"/>
                <w:sz w:val="20"/>
                <w:szCs w:val="20"/>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w:t>
            </w:r>
            <w:r>
              <w:rPr>
                <w:rFonts w:hint="eastAsia" w:ascii="宋体" w:hAnsi="宋体" w:eastAsia="宋体" w:cs="宋体"/>
                <w:sz w:val="20"/>
                <w:szCs w:val="20"/>
              </w:rPr>
              <w:t>0</w:t>
            </w:r>
          </w:p>
        </w:tc>
      </w:tr>
      <w:tr>
        <w:tblPrEx>
          <w:tblLayout w:type="fixed"/>
          <w:tblCellMar>
            <w:top w:w="15" w:type="dxa"/>
            <w:left w:w="15" w:type="dxa"/>
            <w:bottom w:w="15" w:type="dxa"/>
            <w:right w:w="15" w:type="dxa"/>
          </w:tblCellMar>
        </w:tblPrEx>
        <w:tc>
          <w:tcPr>
            <w:tcW w:w="1053" w:type="dxa"/>
            <w:vMerge w:val="restart"/>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三、本年度办理结果</w:t>
            </w:r>
          </w:p>
        </w:tc>
        <w:tc>
          <w:tcPr>
            <w:tcW w:w="2774" w:type="dxa"/>
            <w:gridSpan w:val="2"/>
            <w:tcBorders>
              <w:top w:val="nil"/>
              <w:left w:val="nil"/>
              <w:bottom w:val="single" w:color="auto" w:sz="8" w:space="0"/>
              <w:right w:val="single" w:color="auto" w:sz="8" w:space="0"/>
            </w:tcBorders>
            <w:shd w:val="clear"/>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578" w:lineRule="atLeast"/>
              <w:ind w:left="0" w:right="0"/>
              <w:jc w:val="left"/>
              <w:rPr>
                <w:rFonts w:hint="default" w:ascii="Times New Roman" w:hAnsi="Times New Roman" w:cs="Times New Roman"/>
                <w:sz w:val="21"/>
                <w:szCs w:val="21"/>
              </w:rPr>
            </w:pPr>
            <w:r>
              <w:rPr>
                <w:rFonts w:ascii="楷体" w:hAnsi="楷体" w:eastAsia="楷体" w:cs="楷体"/>
                <w:sz w:val="20"/>
                <w:szCs w:val="20"/>
              </w:rPr>
              <w:t>（一）予以公开</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w:t>
            </w:r>
            <w:r>
              <w:rPr>
                <w:rFonts w:hint="eastAsia" w:ascii="宋体" w:hAnsi="宋体" w:eastAsia="宋体" w:cs="宋体"/>
                <w:sz w:val="20"/>
                <w:szCs w:val="20"/>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w:t>
            </w:r>
            <w:r>
              <w:rPr>
                <w:rFonts w:hint="eastAsia" w:ascii="宋体" w:hAnsi="宋体" w:eastAsia="宋体" w:cs="宋体"/>
                <w:sz w:val="20"/>
                <w:szCs w:val="20"/>
              </w:rPr>
              <w:t>0</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w:t>
            </w:r>
            <w:r>
              <w:rPr>
                <w:rFonts w:hint="eastAsia" w:ascii="宋体" w:hAnsi="宋体" w:eastAsia="宋体" w:cs="宋体"/>
                <w:sz w:val="20"/>
                <w:szCs w:val="20"/>
              </w:rPr>
              <w:t>0</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w:t>
            </w:r>
            <w:r>
              <w:rPr>
                <w:rFonts w:hint="eastAsia" w:ascii="宋体" w:hAnsi="宋体" w:eastAsia="宋体" w:cs="宋体"/>
                <w:sz w:val="20"/>
                <w:szCs w:val="20"/>
              </w:rPr>
              <w:t>0</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w:t>
            </w:r>
            <w:r>
              <w:rPr>
                <w:rFonts w:hint="eastAsia" w:ascii="宋体" w:hAnsi="宋体" w:eastAsia="宋体" w:cs="宋体"/>
                <w:sz w:val="20"/>
                <w:szCs w:val="20"/>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w:t>
            </w:r>
            <w:r>
              <w:rPr>
                <w:rFonts w:hint="eastAsia" w:ascii="宋体" w:hAnsi="宋体" w:eastAsia="宋体" w:cs="宋体"/>
                <w:sz w:val="20"/>
                <w:szCs w:val="20"/>
              </w:rPr>
              <w:t>0</w:t>
            </w:r>
          </w:p>
        </w:tc>
        <w:tc>
          <w:tcPr>
            <w:tcW w:w="709"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w:t>
            </w:r>
            <w:r>
              <w:rPr>
                <w:rFonts w:hint="eastAsia" w:ascii="宋体" w:hAnsi="宋体" w:eastAsia="宋体" w:cs="宋体"/>
                <w:sz w:val="20"/>
                <w:szCs w:val="20"/>
              </w:rPr>
              <w:t>0</w:t>
            </w:r>
          </w:p>
        </w:tc>
      </w:tr>
      <w:tr>
        <w:tblPrEx>
          <w:tblLayout w:type="fixed"/>
          <w:tblCellMar>
            <w:top w:w="15" w:type="dxa"/>
            <w:left w:w="15" w:type="dxa"/>
            <w:bottom w:w="15" w:type="dxa"/>
            <w:right w:w="15" w:type="dxa"/>
          </w:tblCellMar>
        </w:tblPrEx>
        <w:tc>
          <w:tcPr>
            <w:tcW w:w="1053"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pPr>
              <w:rPr>
                <w:rFonts w:hint="default" w:ascii="Times New Roman" w:hAnsi="Times New Roman" w:cs="Times New Roman"/>
                <w:sz w:val="20"/>
                <w:szCs w:val="20"/>
              </w:rPr>
            </w:pPr>
          </w:p>
        </w:tc>
        <w:tc>
          <w:tcPr>
            <w:tcW w:w="2774" w:type="dxa"/>
            <w:gridSpan w:val="2"/>
            <w:tcBorders>
              <w:top w:val="nil"/>
              <w:left w:val="nil"/>
              <w:bottom w:val="single" w:color="auto" w:sz="8" w:space="0"/>
              <w:right w:val="single" w:color="auto" w:sz="8" w:space="0"/>
            </w:tcBorders>
            <w:shd w:val="clear"/>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578" w:lineRule="atLeast"/>
              <w:ind w:left="0" w:right="0"/>
              <w:jc w:val="left"/>
              <w:rPr>
                <w:rFonts w:hint="default" w:ascii="Times New Roman" w:hAnsi="Times New Roman" w:cs="Times New Roman"/>
                <w:sz w:val="21"/>
                <w:szCs w:val="21"/>
              </w:rPr>
            </w:pPr>
            <w:r>
              <w:rPr>
                <w:rFonts w:hint="eastAsia" w:ascii="楷体" w:hAnsi="楷体" w:eastAsia="楷体" w:cs="楷体"/>
                <w:sz w:val="20"/>
                <w:szCs w:val="20"/>
              </w:rPr>
              <w:t>（二）部分公开（区分处理的，只计这一情形，不计其他情形）</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w:t>
            </w:r>
            <w:r>
              <w:rPr>
                <w:rFonts w:hint="eastAsia" w:ascii="宋体" w:hAnsi="宋体" w:eastAsia="宋体" w:cs="宋体"/>
                <w:sz w:val="20"/>
                <w:szCs w:val="20"/>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w:t>
            </w:r>
            <w:r>
              <w:rPr>
                <w:rFonts w:hint="eastAsia" w:ascii="宋体" w:hAnsi="宋体" w:eastAsia="宋体" w:cs="宋体"/>
                <w:sz w:val="20"/>
                <w:szCs w:val="20"/>
              </w:rPr>
              <w:t>0</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w:t>
            </w:r>
            <w:r>
              <w:rPr>
                <w:rFonts w:hint="eastAsia" w:ascii="宋体" w:hAnsi="宋体" w:eastAsia="宋体" w:cs="宋体"/>
                <w:sz w:val="20"/>
                <w:szCs w:val="20"/>
              </w:rPr>
              <w:t>0</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w:t>
            </w:r>
            <w:r>
              <w:rPr>
                <w:rFonts w:hint="eastAsia" w:ascii="宋体" w:hAnsi="宋体" w:eastAsia="宋体" w:cs="宋体"/>
                <w:sz w:val="20"/>
                <w:szCs w:val="20"/>
              </w:rPr>
              <w:t>0</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w:t>
            </w:r>
            <w:r>
              <w:rPr>
                <w:rFonts w:hint="eastAsia" w:ascii="宋体" w:hAnsi="宋体" w:eastAsia="宋体" w:cs="宋体"/>
                <w:sz w:val="20"/>
                <w:szCs w:val="20"/>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w:t>
            </w:r>
            <w:r>
              <w:rPr>
                <w:rFonts w:hint="eastAsia" w:ascii="宋体" w:hAnsi="宋体" w:eastAsia="宋体" w:cs="宋体"/>
                <w:sz w:val="20"/>
                <w:szCs w:val="20"/>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w:t>
            </w:r>
            <w:r>
              <w:rPr>
                <w:rFonts w:hint="eastAsia" w:ascii="宋体" w:hAnsi="宋体" w:eastAsia="宋体" w:cs="宋体"/>
                <w:sz w:val="20"/>
                <w:szCs w:val="20"/>
              </w:rPr>
              <w:t>0</w:t>
            </w:r>
          </w:p>
        </w:tc>
      </w:tr>
      <w:tr>
        <w:tblPrEx>
          <w:tblLayout w:type="fixed"/>
          <w:tblCellMar>
            <w:top w:w="15" w:type="dxa"/>
            <w:left w:w="15" w:type="dxa"/>
            <w:bottom w:w="15" w:type="dxa"/>
            <w:right w:w="15" w:type="dxa"/>
          </w:tblCellMar>
        </w:tblPrEx>
        <w:tc>
          <w:tcPr>
            <w:tcW w:w="1053"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pPr>
              <w:rPr>
                <w:rFonts w:hint="default" w:ascii="Times New Roman" w:hAnsi="Times New Roman" w:cs="Times New Roman"/>
                <w:sz w:val="20"/>
                <w:szCs w:val="20"/>
              </w:rPr>
            </w:pPr>
          </w:p>
        </w:tc>
        <w:tc>
          <w:tcPr>
            <w:tcW w:w="855"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left"/>
              <w:rPr>
                <w:rFonts w:hint="default" w:ascii="Times New Roman" w:hAnsi="Times New Roman" w:cs="Times New Roman"/>
                <w:sz w:val="21"/>
                <w:szCs w:val="21"/>
              </w:rPr>
            </w:pPr>
            <w:r>
              <w:rPr>
                <w:rFonts w:hint="eastAsia" w:ascii="楷体" w:hAnsi="楷体" w:eastAsia="楷体" w:cs="楷体"/>
                <w:sz w:val="20"/>
                <w:szCs w:val="20"/>
              </w:rPr>
              <w:t>（三）不予公开</w:t>
            </w:r>
          </w:p>
        </w:tc>
        <w:tc>
          <w:tcPr>
            <w:tcW w:w="191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left"/>
              <w:rPr>
                <w:rFonts w:hint="default" w:ascii="Times New Roman" w:hAnsi="Times New Roman" w:cs="Times New Roman"/>
                <w:sz w:val="21"/>
                <w:szCs w:val="21"/>
              </w:rPr>
            </w:pPr>
            <w:r>
              <w:rPr>
                <w:rFonts w:hint="eastAsia" w:ascii="楷体" w:hAnsi="楷体" w:eastAsia="楷体" w:cs="楷体"/>
                <w:sz w:val="20"/>
                <w:szCs w:val="20"/>
              </w:rPr>
              <w:t>1.属于国家秘密</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w:t>
            </w:r>
            <w:r>
              <w:rPr>
                <w:rFonts w:hint="eastAsia" w:ascii="宋体" w:hAnsi="宋体" w:eastAsia="宋体" w:cs="宋体"/>
                <w:sz w:val="20"/>
                <w:szCs w:val="20"/>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w:t>
            </w:r>
            <w:r>
              <w:rPr>
                <w:rFonts w:hint="eastAsia" w:ascii="宋体" w:hAnsi="宋体" w:eastAsia="宋体" w:cs="宋体"/>
                <w:sz w:val="20"/>
                <w:szCs w:val="20"/>
              </w:rPr>
              <w:t>0</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w:t>
            </w:r>
            <w:r>
              <w:rPr>
                <w:rFonts w:hint="eastAsia" w:ascii="宋体" w:hAnsi="宋体" w:eastAsia="宋体" w:cs="宋体"/>
                <w:sz w:val="20"/>
                <w:szCs w:val="20"/>
              </w:rPr>
              <w:t>0</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w:t>
            </w:r>
            <w:r>
              <w:rPr>
                <w:rFonts w:hint="eastAsia" w:ascii="宋体" w:hAnsi="宋体" w:eastAsia="宋体" w:cs="宋体"/>
                <w:sz w:val="20"/>
                <w:szCs w:val="20"/>
              </w:rPr>
              <w:t>0</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w:t>
            </w:r>
            <w:r>
              <w:rPr>
                <w:rFonts w:hint="eastAsia" w:ascii="宋体" w:hAnsi="宋体" w:eastAsia="宋体" w:cs="宋体"/>
                <w:sz w:val="20"/>
                <w:szCs w:val="20"/>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w:t>
            </w:r>
            <w:r>
              <w:rPr>
                <w:rFonts w:hint="eastAsia" w:ascii="宋体" w:hAnsi="宋体" w:eastAsia="宋体" w:cs="宋体"/>
                <w:sz w:val="20"/>
                <w:szCs w:val="20"/>
              </w:rPr>
              <w:t>0</w:t>
            </w:r>
          </w:p>
        </w:tc>
        <w:tc>
          <w:tcPr>
            <w:tcW w:w="709"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w:t>
            </w:r>
            <w:r>
              <w:rPr>
                <w:rFonts w:hint="eastAsia" w:ascii="宋体" w:hAnsi="宋体" w:eastAsia="宋体" w:cs="宋体"/>
                <w:sz w:val="20"/>
                <w:szCs w:val="20"/>
              </w:rPr>
              <w:t>0</w:t>
            </w:r>
          </w:p>
        </w:tc>
      </w:tr>
      <w:tr>
        <w:tblPrEx>
          <w:tblLayout w:type="fixed"/>
          <w:tblCellMar>
            <w:top w:w="15" w:type="dxa"/>
            <w:left w:w="15" w:type="dxa"/>
            <w:bottom w:w="15" w:type="dxa"/>
            <w:right w:w="15" w:type="dxa"/>
          </w:tblCellMar>
        </w:tblPrEx>
        <w:tc>
          <w:tcPr>
            <w:tcW w:w="1053"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pPr>
              <w:rPr>
                <w:rFonts w:hint="default" w:ascii="Times New Roman" w:hAnsi="Times New Roman" w:cs="Times New Roman"/>
                <w:sz w:val="20"/>
                <w:szCs w:val="20"/>
              </w:rPr>
            </w:pPr>
          </w:p>
        </w:tc>
        <w:tc>
          <w:tcPr>
            <w:tcW w:w="855"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default" w:ascii="Times New Roman" w:hAnsi="Times New Roman" w:cs="Times New Roman"/>
                <w:sz w:val="20"/>
                <w:szCs w:val="20"/>
              </w:rPr>
            </w:pPr>
          </w:p>
        </w:tc>
        <w:tc>
          <w:tcPr>
            <w:tcW w:w="191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left"/>
              <w:rPr>
                <w:rFonts w:hint="default" w:ascii="Times New Roman" w:hAnsi="Times New Roman" w:cs="Times New Roman"/>
                <w:sz w:val="21"/>
                <w:szCs w:val="21"/>
              </w:rPr>
            </w:pPr>
            <w:r>
              <w:rPr>
                <w:rFonts w:hint="eastAsia" w:ascii="楷体" w:hAnsi="楷体" w:eastAsia="楷体" w:cs="楷体"/>
                <w:sz w:val="20"/>
                <w:szCs w:val="20"/>
              </w:rPr>
              <w:t>2.其他法律行政法规禁止公开</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w:t>
            </w:r>
            <w:r>
              <w:rPr>
                <w:rFonts w:hint="eastAsia" w:ascii="宋体" w:hAnsi="宋体" w:eastAsia="宋体" w:cs="宋体"/>
                <w:sz w:val="20"/>
                <w:szCs w:val="20"/>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w:t>
            </w:r>
            <w:r>
              <w:rPr>
                <w:rFonts w:hint="eastAsia" w:ascii="宋体" w:hAnsi="宋体" w:eastAsia="宋体" w:cs="宋体"/>
                <w:sz w:val="20"/>
                <w:szCs w:val="20"/>
              </w:rPr>
              <w:t>0</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w:t>
            </w:r>
            <w:r>
              <w:rPr>
                <w:rFonts w:hint="eastAsia" w:ascii="宋体" w:hAnsi="宋体" w:eastAsia="宋体" w:cs="宋体"/>
                <w:sz w:val="20"/>
                <w:szCs w:val="20"/>
              </w:rPr>
              <w:t>0</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w:t>
            </w:r>
            <w:r>
              <w:rPr>
                <w:rFonts w:hint="eastAsia" w:ascii="宋体" w:hAnsi="宋体" w:eastAsia="宋体" w:cs="宋体"/>
                <w:sz w:val="20"/>
                <w:szCs w:val="20"/>
              </w:rPr>
              <w:t>0</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w:t>
            </w:r>
            <w:r>
              <w:rPr>
                <w:rFonts w:hint="eastAsia" w:ascii="宋体" w:hAnsi="宋体" w:eastAsia="宋体" w:cs="宋体"/>
                <w:sz w:val="20"/>
                <w:szCs w:val="20"/>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w:t>
            </w:r>
            <w:r>
              <w:rPr>
                <w:rFonts w:hint="eastAsia" w:ascii="宋体" w:hAnsi="宋体" w:eastAsia="宋体" w:cs="宋体"/>
                <w:sz w:val="20"/>
                <w:szCs w:val="20"/>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w:t>
            </w:r>
            <w:r>
              <w:rPr>
                <w:rFonts w:hint="eastAsia" w:ascii="宋体" w:hAnsi="宋体" w:eastAsia="宋体" w:cs="宋体"/>
                <w:sz w:val="20"/>
                <w:szCs w:val="20"/>
              </w:rPr>
              <w:t>0</w:t>
            </w:r>
          </w:p>
        </w:tc>
      </w:tr>
      <w:tr>
        <w:tblPrEx>
          <w:tblLayout w:type="fixed"/>
          <w:tblCellMar>
            <w:top w:w="15" w:type="dxa"/>
            <w:left w:w="15" w:type="dxa"/>
            <w:bottom w:w="15" w:type="dxa"/>
            <w:right w:w="15" w:type="dxa"/>
          </w:tblCellMar>
        </w:tblPrEx>
        <w:tc>
          <w:tcPr>
            <w:tcW w:w="1053"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pPr>
              <w:rPr>
                <w:rFonts w:hint="default" w:ascii="Times New Roman" w:hAnsi="Times New Roman" w:cs="Times New Roman"/>
                <w:sz w:val="20"/>
                <w:szCs w:val="20"/>
              </w:rPr>
            </w:pPr>
          </w:p>
        </w:tc>
        <w:tc>
          <w:tcPr>
            <w:tcW w:w="855"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default" w:ascii="Times New Roman" w:hAnsi="Times New Roman" w:cs="Times New Roman"/>
                <w:sz w:val="20"/>
                <w:szCs w:val="20"/>
              </w:rPr>
            </w:pPr>
          </w:p>
        </w:tc>
        <w:tc>
          <w:tcPr>
            <w:tcW w:w="191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left"/>
              <w:rPr>
                <w:rFonts w:hint="default" w:ascii="Times New Roman" w:hAnsi="Times New Roman" w:cs="Times New Roman"/>
                <w:sz w:val="21"/>
                <w:szCs w:val="21"/>
              </w:rPr>
            </w:pPr>
            <w:r>
              <w:rPr>
                <w:rFonts w:hint="eastAsia" w:ascii="楷体" w:hAnsi="楷体" w:eastAsia="楷体" w:cs="楷体"/>
                <w:sz w:val="20"/>
                <w:szCs w:val="20"/>
              </w:rPr>
              <w:t>3.危及“三安全一稳定”</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w:t>
            </w:r>
            <w:r>
              <w:rPr>
                <w:rFonts w:hint="eastAsia" w:ascii="宋体" w:hAnsi="宋体" w:eastAsia="宋体" w:cs="宋体"/>
                <w:sz w:val="20"/>
                <w:szCs w:val="20"/>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w:t>
            </w:r>
            <w:r>
              <w:rPr>
                <w:rFonts w:hint="eastAsia" w:ascii="宋体" w:hAnsi="宋体" w:eastAsia="宋体" w:cs="宋体"/>
                <w:sz w:val="20"/>
                <w:szCs w:val="20"/>
              </w:rPr>
              <w:t>0</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w:t>
            </w:r>
            <w:r>
              <w:rPr>
                <w:rFonts w:hint="eastAsia" w:ascii="宋体" w:hAnsi="宋体" w:eastAsia="宋体" w:cs="宋体"/>
                <w:sz w:val="20"/>
                <w:szCs w:val="20"/>
              </w:rPr>
              <w:t>0</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w:t>
            </w:r>
            <w:r>
              <w:rPr>
                <w:rFonts w:hint="eastAsia" w:ascii="宋体" w:hAnsi="宋体" w:eastAsia="宋体" w:cs="宋体"/>
                <w:sz w:val="20"/>
                <w:szCs w:val="20"/>
              </w:rPr>
              <w:t>0</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w:t>
            </w:r>
            <w:r>
              <w:rPr>
                <w:rFonts w:hint="eastAsia" w:ascii="宋体" w:hAnsi="宋体" w:eastAsia="宋体" w:cs="宋体"/>
                <w:sz w:val="20"/>
                <w:szCs w:val="20"/>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w:t>
            </w:r>
            <w:r>
              <w:rPr>
                <w:rFonts w:hint="eastAsia" w:ascii="宋体" w:hAnsi="宋体" w:eastAsia="宋体" w:cs="宋体"/>
                <w:sz w:val="20"/>
                <w:szCs w:val="20"/>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w:t>
            </w:r>
            <w:r>
              <w:rPr>
                <w:rFonts w:hint="eastAsia" w:ascii="宋体" w:hAnsi="宋体" w:eastAsia="宋体" w:cs="宋体"/>
                <w:sz w:val="20"/>
                <w:szCs w:val="20"/>
              </w:rPr>
              <w:t>0</w:t>
            </w:r>
          </w:p>
        </w:tc>
      </w:tr>
      <w:tr>
        <w:tblPrEx>
          <w:tblLayout w:type="fixed"/>
          <w:tblCellMar>
            <w:top w:w="15" w:type="dxa"/>
            <w:left w:w="15" w:type="dxa"/>
            <w:bottom w:w="15" w:type="dxa"/>
            <w:right w:w="15" w:type="dxa"/>
          </w:tblCellMar>
        </w:tblPrEx>
        <w:tc>
          <w:tcPr>
            <w:tcW w:w="1053"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pPr>
              <w:rPr>
                <w:rFonts w:hint="default" w:ascii="Times New Roman" w:hAnsi="Times New Roman" w:cs="Times New Roman"/>
                <w:sz w:val="20"/>
                <w:szCs w:val="20"/>
              </w:rPr>
            </w:pPr>
          </w:p>
        </w:tc>
        <w:tc>
          <w:tcPr>
            <w:tcW w:w="855"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default" w:ascii="Times New Roman" w:hAnsi="Times New Roman" w:cs="Times New Roman"/>
                <w:sz w:val="20"/>
                <w:szCs w:val="20"/>
              </w:rPr>
            </w:pPr>
          </w:p>
        </w:tc>
        <w:tc>
          <w:tcPr>
            <w:tcW w:w="191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left"/>
              <w:rPr>
                <w:rFonts w:hint="default" w:ascii="Times New Roman" w:hAnsi="Times New Roman" w:cs="Times New Roman"/>
                <w:sz w:val="21"/>
                <w:szCs w:val="21"/>
              </w:rPr>
            </w:pPr>
            <w:r>
              <w:rPr>
                <w:rFonts w:hint="eastAsia" w:ascii="楷体" w:hAnsi="楷体" w:eastAsia="楷体" w:cs="楷体"/>
                <w:sz w:val="20"/>
                <w:szCs w:val="20"/>
              </w:rPr>
              <w:t>4.保护第三方合法权益</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w:t>
            </w:r>
            <w:r>
              <w:rPr>
                <w:rFonts w:hint="eastAsia" w:ascii="宋体" w:hAnsi="宋体" w:eastAsia="宋体" w:cs="宋体"/>
                <w:sz w:val="20"/>
                <w:szCs w:val="20"/>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w:t>
            </w:r>
            <w:r>
              <w:rPr>
                <w:rFonts w:hint="eastAsia" w:ascii="宋体" w:hAnsi="宋体" w:eastAsia="宋体" w:cs="宋体"/>
                <w:sz w:val="20"/>
                <w:szCs w:val="20"/>
              </w:rPr>
              <w:t>0</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w:t>
            </w:r>
            <w:r>
              <w:rPr>
                <w:rFonts w:hint="eastAsia" w:ascii="宋体" w:hAnsi="宋体" w:eastAsia="宋体" w:cs="宋体"/>
                <w:sz w:val="20"/>
                <w:szCs w:val="20"/>
              </w:rPr>
              <w:t>0</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w:t>
            </w:r>
            <w:r>
              <w:rPr>
                <w:rFonts w:hint="eastAsia" w:ascii="宋体" w:hAnsi="宋体" w:eastAsia="宋体" w:cs="宋体"/>
                <w:sz w:val="20"/>
                <w:szCs w:val="20"/>
              </w:rPr>
              <w:t>0</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w:t>
            </w:r>
            <w:r>
              <w:rPr>
                <w:rFonts w:hint="eastAsia" w:ascii="宋体" w:hAnsi="宋体" w:eastAsia="宋体" w:cs="宋体"/>
                <w:sz w:val="20"/>
                <w:szCs w:val="20"/>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w:t>
            </w:r>
            <w:r>
              <w:rPr>
                <w:rFonts w:hint="eastAsia" w:ascii="宋体" w:hAnsi="宋体" w:eastAsia="宋体" w:cs="宋体"/>
                <w:sz w:val="20"/>
                <w:szCs w:val="20"/>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w:t>
            </w:r>
            <w:r>
              <w:rPr>
                <w:rFonts w:hint="eastAsia" w:ascii="宋体" w:hAnsi="宋体" w:eastAsia="宋体" w:cs="宋体"/>
                <w:sz w:val="20"/>
                <w:szCs w:val="20"/>
              </w:rPr>
              <w:t>0</w:t>
            </w:r>
          </w:p>
        </w:tc>
      </w:tr>
      <w:tr>
        <w:tblPrEx>
          <w:tblLayout w:type="fixed"/>
          <w:tblCellMar>
            <w:top w:w="15" w:type="dxa"/>
            <w:left w:w="15" w:type="dxa"/>
            <w:bottom w:w="15" w:type="dxa"/>
            <w:right w:w="15" w:type="dxa"/>
          </w:tblCellMar>
        </w:tblPrEx>
        <w:tc>
          <w:tcPr>
            <w:tcW w:w="1053"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pPr>
              <w:rPr>
                <w:rFonts w:hint="default" w:ascii="Times New Roman" w:hAnsi="Times New Roman" w:cs="Times New Roman"/>
                <w:sz w:val="20"/>
                <w:szCs w:val="20"/>
              </w:rPr>
            </w:pPr>
          </w:p>
        </w:tc>
        <w:tc>
          <w:tcPr>
            <w:tcW w:w="855"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default" w:ascii="Times New Roman" w:hAnsi="Times New Roman" w:cs="Times New Roman"/>
                <w:sz w:val="20"/>
                <w:szCs w:val="20"/>
              </w:rPr>
            </w:pPr>
          </w:p>
        </w:tc>
        <w:tc>
          <w:tcPr>
            <w:tcW w:w="191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left"/>
              <w:rPr>
                <w:rFonts w:hint="default" w:ascii="Times New Roman" w:hAnsi="Times New Roman" w:cs="Times New Roman"/>
                <w:sz w:val="21"/>
                <w:szCs w:val="21"/>
              </w:rPr>
            </w:pPr>
            <w:r>
              <w:rPr>
                <w:rFonts w:hint="eastAsia" w:ascii="楷体" w:hAnsi="楷体" w:eastAsia="楷体" w:cs="楷体"/>
                <w:sz w:val="20"/>
                <w:szCs w:val="20"/>
              </w:rPr>
              <w:t>5.属于三类内部事务信息</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w:t>
            </w:r>
            <w:r>
              <w:rPr>
                <w:rFonts w:hint="eastAsia" w:ascii="宋体" w:hAnsi="宋体" w:eastAsia="宋体" w:cs="宋体"/>
                <w:sz w:val="20"/>
                <w:szCs w:val="20"/>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w:t>
            </w:r>
            <w:r>
              <w:rPr>
                <w:rFonts w:hint="eastAsia" w:ascii="宋体" w:hAnsi="宋体" w:eastAsia="宋体" w:cs="宋体"/>
                <w:sz w:val="20"/>
                <w:szCs w:val="20"/>
              </w:rPr>
              <w:t>0</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0</w:t>
            </w:r>
            <w:r>
              <w:rPr>
                <w:rFonts w:hint="default" w:ascii="Calibri" w:hAnsi="Calibri" w:cs="Calibri"/>
                <w:sz w:val="20"/>
                <w:szCs w:val="20"/>
              </w:rPr>
              <w:t> </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w:t>
            </w:r>
            <w:r>
              <w:rPr>
                <w:rFonts w:hint="eastAsia" w:ascii="宋体" w:hAnsi="宋体" w:eastAsia="宋体" w:cs="宋体"/>
                <w:sz w:val="20"/>
                <w:szCs w:val="20"/>
              </w:rPr>
              <w:t>0</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0</w:t>
            </w:r>
            <w:r>
              <w:rPr>
                <w:rFonts w:hint="default" w:ascii="Calibri" w:hAnsi="Calibri" w:cs="Calibri"/>
                <w:sz w:val="20"/>
                <w:szCs w:val="20"/>
              </w:rPr>
              <w:t> </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0</w:t>
            </w:r>
            <w:r>
              <w:rPr>
                <w:rFonts w:hint="default" w:ascii="Calibri" w:hAnsi="Calibri" w:cs="Calibri"/>
                <w:sz w:val="20"/>
                <w:szCs w:val="20"/>
              </w:rPr>
              <w:t> </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w:t>
            </w:r>
            <w:r>
              <w:rPr>
                <w:rFonts w:hint="eastAsia" w:ascii="宋体" w:hAnsi="宋体" w:eastAsia="宋体" w:cs="宋体"/>
                <w:sz w:val="20"/>
                <w:szCs w:val="20"/>
              </w:rPr>
              <w:t>0</w:t>
            </w:r>
          </w:p>
        </w:tc>
      </w:tr>
      <w:tr>
        <w:tblPrEx>
          <w:tblLayout w:type="fixed"/>
          <w:tblCellMar>
            <w:top w:w="15" w:type="dxa"/>
            <w:left w:w="15" w:type="dxa"/>
            <w:bottom w:w="15" w:type="dxa"/>
            <w:right w:w="15" w:type="dxa"/>
          </w:tblCellMar>
        </w:tblPrEx>
        <w:tc>
          <w:tcPr>
            <w:tcW w:w="1053"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pPr>
              <w:rPr>
                <w:rFonts w:hint="default" w:ascii="Times New Roman" w:hAnsi="Times New Roman" w:cs="Times New Roman"/>
                <w:sz w:val="20"/>
                <w:szCs w:val="20"/>
              </w:rPr>
            </w:pPr>
          </w:p>
        </w:tc>
        <w:tc>
          <w:tcPr>
            <w:tcW w:w="855"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default" w:ascii="Times New Roman" w:hAnsi="Times New Roman" w:cs="Times New Roman"/>
                <w:sz w:val="20"/>
                <w:szCs w:val="20"/>
              </w:rPr>
            </w:pPr>
          </w:p>
        </w:tc>
        <w:tc>
          <w:tcPr>
            <w:tcW w:w="191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left"/>
              <w:rPr>
                <w:rFonts w:hint="default" w:ascii="Times New Roman" w:hAnsi="Times New Roman" w:cs="Times New Roman"/>
                <w:sz w:val="21"/>
                <w:szCs w:val="21"/>
              </w:rPr>
            </w:pPr>
            <w:r>
              <w:rPr>
                <w:rFonts w:hint="eastAsia" w:ascii="楷体" w:hAnsi="楷体" w:eastAsia="楷体" w:cs="楷体"/>
                <w:sz w:val="20"/>
                <w:szCs w:val="20"/>
              </w:rPr>
              <w:t>6.属于四类过程性信息</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w:t>
            </w:r>
            <w:r>
              <w:rPr>
                <w:rFonts w:hint="eastAsia" w:ascii="宋体" w:hAnsi="宋体" w:eastAsia="宋体" w:cs="宋体"/>
                <w:sz w:val="20"/>
                <w:szCs w:val="20"/>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w:t>
            </w:r>
            <w:r>
              <w:rPr>
                <w:rFonts w:hint="eastAsia" w:ascii="宋体" w:hAnsi="宋体" w:eastAsia="宋体" w:cs="宋体"/>
                <w:sz w:val="20"/>
                <w:szCs w:val="20"/>
              </w:rPr>
              <w:t>0</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0</w:t>
            </w:r>
            <w:r>
              <w:rPr>
                <w:rFonts w:hint="default" w:ascii="Calibri" w:hAnsi="Calibri" w:cs="Calibri"/>
                <w:sz w:val="20"/>
                <w:szCs w:val="20"/>
              </w:rPr>
              <w:t> </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w:t>
            </w:r>
            <w:r>
              <w:rPr>
                <w:rFonts w:hint="eastAsia" w:ascii="宋体" w:hAnsi="宋体" w:eastAsia="宋体" w:cs="宋体"/>
                <w:sz w:val="20"/>
                <w:szCs w:val="20"/>
              </w:rPr>
              <w:t>0</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0</w:t>
            </w:r>
            <w:r>
              <w:rPr>
                <w:rFonts w:hint="default" w:ascii="Calibri" w:hAnsi="Calibri" w:cs="Calibri"/>
                <w:sz w:val="20"/>
                <w:szCs w:val="20"/>
              </w:rPr>
              <w:t> </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0</w:t>
            </w:r>
            <w:r>
              <w:rPr>
                <w:rFonts w:hint="default" w:ascii="Calibri" w:hAnsi="Calibri" w:cs="Calibri"/>
                <w:sz w:val="20"/>
                <w:szCs w:val="20"/>
              </w:rPr>
              <w:t> </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w:t>
            </w:r>
            <w:r>
              <w:rPr>
                <w:rFonts w:hint="eastAsia" w:ascii="宋体" w:hAnsi="宋体" w:eastAsia="宋体" w:cs="宋体"/>
                <w:sz w:val="20"/>
                <w:szCs w:val="20"/>
              </w:rPr>
              <w:t>0</w:t>
            </w:r>
          </w:p>
        </w:tc>
      </w:tr>
      <w:tr>
        <w:tblPrEx>
          <w:tblLayout w:type="fixed"/>
          <w:tblCellMar>
            <w:top w:w="15" w:type="dxa"/>
            <w:left w:w="15" w:type="dxa"/>
            <w:bottom w:w="15" w:type="dxa"/>
            <w:right w:w="15" w:type="dxa"/>
          </w:tblCellMar>
        </w:tblPrEx>
        <w:tc>
          <w:tcPr>
            <w:tcW w:w="1053"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pPr>
              <w:rPr>
                <w:rFonts w:hint="default" w:ascii="Times New Roman" w:hAnsi="Times New Roman" w:cs="Times New Roman"/>
                <w:sz w:val="20"/>
                <w:szCs w:val="20"/>
              </w:rPr>
            </w:pPr>
          </w:p>
        </w:tc>
        <w:tc>
          <w:tcPr>
            <w:tcW w:w="855"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default" w:ascii="Times New Roman" w:hAnsi="Times New Roman" w:cs="Times New Roman"/>
                <w:sz w:val="20"/>
                <w:szCs w:val="20"/>
              </w:rPr>
            </w:pPr>
          </w:p>
        </w:tc>
        <w:tc>
          <w:tcPr>
            <w:tcW w:w="191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left"/>
              <w:rPr>
                <w:rFonts w:hint="default" w:ascii="Times New Roman" w:hAnsi="Times New Roman" w:cs="Times New Roman"/>
                <w:sz w:val="21"/>
                <w:szCs w:val="21"/>
              </w:rPr>
            </w:pPr>
            <w:r>
              <w:rPr>
                <w:rFonts w:hint="eastAsia" w:ascii="楷体" w:hAnsi="楷体" w:eastAsia="楷体" w:cs="楷体"/>
                <w:sz w:val="20"/>
                <w:szCs w:val="20"/>
              </w:rPr>
              <w:t>7.属于行政执法案卷</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w:t>
            </w:r>
            <w:r>
              <w:rPr>
                <w:rFonts w:hint="eastAsia" w:ascii="宋体" w:hAnsi="宋体" w:eastAsia="宋体" w:cs="宋体"/>
                <w:sz w:val="20"/>
                <w:szCs w:val="20"/>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w:t>
            </w:r>
            <w:r>
              <w:rPr>
                <w:rFonts w:hint="eastAsia" w:ascii="宋体" w:hAnsi="宋体" w:eastAsia="宋体" w:cs="宋体"/>
                <w:sz w:val="20"/>
                <w:szCs w:val="20"/>
              </w:rPr>
              <w:t>0</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0</w:t>
            </w:r>
            <w:r>
              <w:rPr>
                <w:rFonts w:hint="default" w:ascii="Calibri" w:hAnsi="Calibri" w:cs="Calibri"/>
                <w:sz w:val="20"/>
                <w:szCs w:val="20"/>
              </w:rPr>
              <w:t> </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w:t>
            </w:r>
            <w:r>
              <w:rPr>
                <w:rFonts w:hint="eastAsia" w:ascii="宋体" w:hAnsi="宋体" w:eastAsia="宋体" w:cs="宋体"/>
                <w:sz w:val="20"/>
                <w:szCs w:val="20"/>
              </w:rPr>
              <w:t>0</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0</w:t>
            </w:r>
            <w:r>
              <w:rPr>
                <w:rFonts w:hint="default" w:ascii="Calibri" w:hAnsi="Calibri" w:cs="Calibri"/>
                <w:sz w:val="20"/>
                <w:szCs w:val="20"/>
              </w:rPr>
              <w:t> </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0</w:t>
            </w:r>
            <w:r>
              <w:rPr>
                <w:rFonts w:hint="default" w:ascii="Calibri" w:hAnsi="Calibri" w:cs="Calibri"/>
                <w:sz w:val="20"/>
                <w:szCs w:val="20"/>
              </w:rPr>
              <w:t> </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w:t>
            </w:r>
            <w:r>
              <w:rPr>
                <w:rFonts w:hint="eastAsia" w:ascii="宋体" w:hAnsi="宋体" w:eastAsia="宋体" w:cs="宋体"/>
                <w:sz w:val="20"/>
                <w:szCs w:val="20"/>
              </w:rPr>
              <w:t>0</w:t>
            </w:r>
          </w:p>
        </w:tc>
      </w:tr>
      <w:tr>
        <w:tblPrEx>
          <w:tblLayout w:type="fixed"/>
          <w:tblCellMar>
            <w:top w:w="15" w:type="dxa"/>
            <w:left w:w="15" w:type="dxa"/>
            <w:bottom w:w="15" w:type="dxa"/>
            <w:right w:w="15" w:type="dxa"/>
          </w:tblCellMar>
        </w:tblPrEx>
        <w:tc>
          <w:tcPr>
            <w:tcW w:w="1053"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pPr>
              <w:rPr>
                <w:rFonts w:hint="default" w:ascii="Times New Roman" w:hAnsi="Times New Roman" w:cs="Times New Roman"/>
                <w:sz w:val="20"/>
                <w:szCs w:val="20"/>
              </w:rPr>
            </w:pPr>
          </w:p>
        </w:tc>
        <w:tc>
          <w:tcPr>
            <w:tcW w:w="855"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default" w:ascii="Times New Roman" w:hAnsi="Times New Roman" w:cs="Times New Roman"/>
                <w:sz w:val="20"/>
                <w:szCs w:val="20"/>
              </w:rPr>
            </w:pPr>
          </w:p>
        </w:tc>
        <w:tc>
          <w:tcPr>
            <w:tcW w:w="191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left"/>
              <w:rPr>
                <w:rFonts w:hint="default" w:ascii="Times New Roman" w:hAnsi="Times New Roman" w:cs="Times New Roman"/>
                <w:sz w:val="21"/>
                <w:szCs w:val="21"/>
              </w:rPr>
            </w:pPr>
            <w:r>
              <w:rPr>
                <w:rFonts w:hint="eastAsia" w:ascii="楷体" w:hAnsi="楷体" w:eastAsia="楷体" w:cs="楷体"/>
                <w:sz w:val="20"/>
                <w:szCs w:val="20"/>
              </w:rPr>
              <w:t>8.属于行政查询事项</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w:t>
            </w:r>
            <w:r>
              <w:rPr>
                <w:rFonts w:hint="eastAsia" w:ascii="宋体" w:hAnsi="宋体" w:eastAsia="宋体" w:cs="宋体"/>
                <w:sz w:val="20"/>
                <w:szCs w:val="20"/>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w:t>
            </w:r>
            <w:r>
              <w:rPr>
                <w:rFonts w:hint="eastAsia" w:ascii="宋体" w:hAnsi="宋体" w:eastAsia="宋体" w:cs="宋体"/>
                <w:sz w:val="20"/>
                <w:szCs w:val="20"/>
              </w:rPr>
              <w:t>0</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0</w:t>
            </w:r>
            <w:r>
              <w:rPr>
                <w:rFonts w:hint="default" w:ascii="Calibri" w:hAnsi="Calibri" w:cs="Calibri"/>
                <w:sz w:val="20"/>
                <w:szCs w:val="20"/>
              </w:rPr>
              <w:t> </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w:t>
            </w:r>
            <w:r>
              <w:rPr>
                <w:rFonts w:hint="eastAsia" w:ascii="宋体" w:hAnsi="宋体" w:eastAsia="宋体" w:cs="宋体"/>
                <w:sz w:val="20"/>
                <w:szCs w:val="20"/>
              </w:rPr>
              <w:t>0</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0</w:t>
            </w:r>
            <w:r>
              <w:rPr>
                <w:rFonts w:hint="default" w:ascii="Calibri" w:hAnsi="Calibri" w:cs="Calibri"/>
                <w:sz w:val="20"/>
                <w:szCs w:val="20"/>
              </w:rPr>
              <w:t> </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0</w:t>
            </w:r>
            <w:r>
              <w:rPr>
                <w:rFonts w:hint="default" w:ascii="Calibri" w:hAnsi="Calibri" w:cs="Calibri"/>
                <w:sz w:val="20"/>
                <w:szCs w:val="20"/>
              </w:rPr>
              <w:t> </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w:t>
            </w:r>
            <w:r>
              <w:rPr>
                <w:rFonts w:hint="eastAsia" w:ascii="宋体" w:hAnsi="宋体" w:eastAsia="宋体" w:cs="宋体"/>
                <w:sz w:val="20"/>
                <w:szCs w:val="20"/>
              </w:rPr>
              <w:t>0</w:t>
            </w:r>
          </w:p>
        </w:tc>
      </w:tr>
      <w:tr>
        <w:tblPrEx>
          <w:tblLayout w:type="fixed"/>
          <w:tblCellMar>
            <w:top w:w="15" w:type="dxa"/>
            <w:left w:w="15" w:type="dxa"/>
            <w:bottom w:w="15" w:type="dxa"/>
            <w:right w:w="15" w:type="dxa"/>
          </w:tblCellMar>
        </w:tblPrEx>
        <w:tc>
          <w:tcPr>
            <w:tcW w:w="1053"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pPr>
              <w:rPr>
                <w:rFonts w:hint="default" w:ascii="Times New Roman" w:hAnsi="Times New Roman" w:cs="Times New Roman"/>
                <w:sz w:val="20"/>
                <w:szCs w:val="20"/>
              </w:rPr>
            </w:pPr>
          </w:p>
        </w:tc>
        <w:tc>
          <w:tcPr>
            <w:tcW w:w="855"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left"/>
              <w:rPr>
                <w:rFonts w:hint="default" w:ascii="Times New Roman" w:hAnsi="Times New Roman" w:cs="Times New Roman"/>
                <w:sz w:val="21"/>
                <w:szCs w:val="21"/>
              </w:rPr>
            </w:pPr>
            <w:r>
              <w:rPr>
                <w:rFonts w:hint="eastAsia" w:ascii="楷体" w:hAnsi="楷体" w:eastAsia="楷体" w:cs="楷体"/>
                <w:sz w:val="20"/>
                <w:szCs w:val="20"/>
              </w:rPr>
              <w:t>（四）无法提供</w:t>
            </w:r>
          </w:p>
        </w:tc>
        <w:tc>
          <w:tcPr>
            <w:tcW w:w="191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left"/>
              <w:rPr>
                <w:rFonts w:hint="default" w:ascii="Times New Roman" w:hAnsi="Times New Roman" w:cs="Times New Roman"/>
                <w:sz w:val="21"/>
                <w:szCs w:val="21"/>
              </w:rPr>
            </w:pPr>
            <w:r>
              <w:rPr>
                <w:rFonts w:hint="eastAsia" w:ascii="楷体" w:hAnsi="楷体" w:eastAsia="楷体" w:cs="楷体"/>
                <w:sz w:val="20"/>
                <w:szCs w:val="20"/>
              </w:rPr>
              <w:t>1.本机关不掌握相关政府信息</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w:t>
            </w:r>
            <w:r>
              <w:rPr>
                <w:rFonts w:hint="eastAsia" w:ascii="宋体" w:hAnsi="宋体" w:eastAsia="宋体" w:cs="宋体"/>
                <w:sz w:val="20"/>
                <w:szCs w:val="20"/>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w:t>
            </w:r>
            <w:r>
              <w:rPr>
                <w:rFonts w:hint="eastAsia" w:ascii="宋体" w:hAnsi="宋体" w:eastAsia="宋体" w:cs="宋体"/>
                <w:sz w:val="20"/>
                <w:szCs w:val="20"/>
              </w:rPr>
              <w:t>0</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0</w:t>
            </w:r>
            <w:r>
              <w:rPr>
                <w:rFonts w:hint="default" w:ascii="Calibri" w:hAnsi="Calibri" w:cs="Calibri"/>
                <w:sz w:val="20"/>
                <w:szCs w:val="20"/>
              </w:rPr>
              <w:t> </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w:t>
            </w:r>
            <w:r>
              <w:rPr>
                <w:rFonts w:hint="eastAsia" w:ascii="宋体" w:hAnsi="宋体" w:eastAsia="宋体" w:cs="宋体"/>
                <w:sz w:val="20"/>
                <w:szCs w:val="20"/>
              </w:rPr>
              <w:t>0</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0</w:t>
            </w:r>
            <w:r>
              <w:rPr>
                <w:rFonts w:hint="default" w:ascii="Calibri" w:hAnsi="Calibri" w:cs="Calibri"/>
                <w:sz w:val="20"/>
                <w:szCs w:val="20"/>
              </w:rPr>
              <w:t> </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0</w:t>
            </w:r>
            <w:r>
              <w:rPr>
                <w:rFonts w:hint="default" w:ascii="Calibri" w:hAnsi="Calibri" w:cs="Calibri"/>
                <w:sz w:val="20"/>
                <w:szCs w:val="20"/>
              </w:rPr>
              <w:t> </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w:t>
            </w:r>
            <w:r>
              <w:rPr>
                <w:rFonts w:hint="eastAsia" w:ascii="宋体" w:hAnsi="宋体" w:eastAsia="宋体" w:cs="宋体"/>
                <w:sz w:val="20"/>
                <w:szCs w:val="20"/>
              </w:rPr>
              <w:t>0</w:t>
            </w:r>
          </w:p>
        </w:tc>
      </w:tr>
      <w:tr>
        <w:tblPrEx>
          <w:tblLayout w:type="fixed"/>
          <w:tblCellMar>
            <w:top w:w="15" w:type="dxa"/>
            <w:left w:w="15" w:type="dxa"/>
            <w:bottom w:w="15" w:type="dxa"/>
            <w:right w:w="15" w:type="dxa"/>
          </w:tblCellMar>
        </w:tblPrEx>
        <w:tc>
          <w:tcPr>
            <w:tcW w:w="1053"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pPr>
              <w:rPr>
                <w:rFonts w:hint="default" w:ascii="Times New Roman" w:hAnsi="Times New Roman" w:cs="Times New Roman"/>
                <w:sz w:val="20"/>
                <w:szCs w:val="20"/>
              </w:rPr>
            </w:pPr>
          </w:p>
        </w:tc>
        <w:tc>
          <w:tcPr>
            <w:tcW w:w="855"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default" w:ascii="Times New Roman" w:hAnsi="Times New Roman" w:cs="Times New Roman"/>
                <w:sz w:val="20"/>
                <w:szCs w:val="20"/>
              </w:rPr>
            </w:pPr>
          </w:p>
        </w:tc>
        <w:tc>
          <w:tcPr>
            <w:tcW w:w="191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left"/>
              <w:rPr>
                <w:rFonts w:hint="default" w:ascii="Times New Roman" w:hAnsi="Times New Roman" w:cs="Times New Roman"/>
                <w:sz w:val="21"/>
                <w:szCs w:val="21"/>
              </w:rPr>
            </w:pPr>
            <w:r>
              <w:rPr>
                <w:rFonts w:hint="eastAsia" w:ascii="楷体" w:hAnsi="楷体" w:eastAsia="楷体" w:cs="楷体"/>
                <w:sz w:val="20"/>
                <w:szCs w:val="20"/>
              </w:rPr>
              <w:t>2.没有现成信息需要另行制作</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w:t>
            </w:r>
            <w:r>
              <w:rPr>
                <w:rFonts w:hint="eastAsia" w:ascii="宋体" w:hAnsi="宋体" w:eastAsia="宋体" w:cs="宋体"/>
                <w:sz w:val="20"/>
                <w:szCs w:val="20"/>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w:t>
            </w:r>
            <w:r>
              <w:rPr>
                <w:rFonts w:hint="eastAsia" w:ascii="宋体" w:hAnsi="宋体" w:eastAsia="宋体" w:cs="宋体"/>
                <w:sz w:val="20"/>
                <w:szCs w:val="20"/>
              </w:rPr>
              <w:t>0</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0</w:t>
            </w:r>
            <w:r>
              <w:rPr>
                <w:rFonts w:hint="default" w:ascii="Calibri" w:hAnsi="Calibri" w:cs="Calibri"/>
                <w:sz w:val="20"/>
                <w:szCs w:val="20"/>
              </w:rPr>
              <w:t> </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w:t>
            </w:r>
            <w:r>
              <w:rPr>
                <w:rFonts w:hint="eastAsia" w:ascii="宋体" w:hAnsi="宋体" w:eastAsia="宋体" w:cs="宋体"/>
                <w:sz w:val="20"/>
                <w:szCs w:val="20"/>
              </w:rPr>
              <w:t>0</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0</w:t>
            </w:r>
            <w:r>
              <w:rPr>
                <w:rFonts w:hint="default" w:ascii="Calibri" w:hAnsi="Calibri" w:cs="Calibri"/>
                <w:sz w:val="20"/>
                <w:szCs w:val="20"/>
              </w:rPr>
              <w:t> </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0</w:t>
            </w:r>
            <w:r>
              <w:rPr>
                <w:rFonts w:hint="default" w:ascii="Calibri" w:hAnsi="Calibri" w:cs="Calibri"/>
                <w:sz w:val="20"/>
                <w:szCs w:val="20"/>
              </w:rPr>
              <w:t> </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w:t>
            </w:r>
            <w:r>
              <w:rPr>
                <w:rFonts w:hint="eastAsia" w:ascii="宋体" w:hAnsi="宋体" w:eastAsia="宋体" w:cs="宋体"/>
                <w:sz w:val="20"/>
                <w:szCs w:val="20"/>
              </w:rPr>
              <w:t>0</w:t>
            </w:r>
          </w:p>
        </w:tc>
      </w:tr>
      <w:tr>
        <w:tblPrEx>
          <w:tblLayout w:type="fixed"/>
          <w:tblCellMar>
            <w:top w:w="15" w:type="dxa"/>
            <w:left w:w="15" w:type="dxa"/>
            <w:bottom w:w="15" w:type="dxa"/>
            <w:right w:w="15" w:type="dxa"/>
          </w:tblCellMar>
        </w:tblPrEx>
        <w:tc>
          <w:tcPr>
            <w:tcW w:w="1053"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pPr>
              <w:rPr>
                <w:rFonts w:hint="default" w:ascii="Times New Roman" w:hAnsi="Times New Roman" w:cs="Times New Roman"/>
                <w:sz w:val="20"/>
                <w:szCs w:val="20"/>
              </w:rPr>
            </w:pPr>
          </w:p>
        </w:tc>
        <w:tc>
          <w:tcPr>
            <w:tcW w:w="855"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default" w:ascii="Times New Roman" w:hAnsi="Times New Roman" w:cs="Times New Roman"/>
                <w:sz w:val="20"/>
                <w:szCs w:val="20"/>
              </w:rPr>
            </w:pPr>
          </w:p>
        </w:tc>
        <w:tc>
          <w:tcPr>
            <w:tcW w:w="191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left"/>
              <w:rPr>
                <w:rFonts w:hint="default" w:ascii="Times New Roman" w:hAnsi="Times New Roman" w:cs="Times New Roman"/>
                <w:sz w:val="21"/>
                <w:szCs w:val="21"/>
              </w:rPr>
            </w:pPr>
            <w:r>
              <w:rPr>
                <w:rFonts w:hint="eastAsia" w:ascii="楷体" w:hAnsi="楷体" w:eastAsia="楷体" w:cs="楷体"/>
                <w:sz w:val="20"/>
                <w:szCs w:val="20"/>
              </w:rPr>
              <w:t>3.补正后申请内容仍不明确</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w:t>
            </w:r>
            <w:r>
              <w:rPr>
                <w:rFonts w:hint="eastAsia" w:ascii="宋体" w:hAnsi="宋体" w:eastAsia="宋体" w:cs="宋体"/>
                <w:sz w:val="20"/>
                <w:szCs w:val="20"/>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w:t>
            </w:r>
            <w:r>
              <w:rPr>
                <w:rFonts w:hint="eastAsia" w:ascii="宋体" w:hAnsi="宋体" w:eastAsia="宋体" w:cs="宋体"/>
                <w:sz w:val="20"/>
                <w:szCs w:val="20"/>
              </w:rPr>
              <w:t>0</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0</w:t>
            </w:r>
            <w:r>
              <w:rPr>
                <w:rFonts w:hint="default" w:ascii="Calibri" w:hAnsi="Calibri" w:cs="Calibri"/>
                <w:sz w:val="20"/>
                <w:szCs w:val="20"/>
              </w:rPr>
              <w:t> </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w:t>
            </w:r>
            <w:r>
              <w:rPr>
                <w:rFonts w:hint="eastAsia" w:ascii="宋体" w:hAnsi="宋体" w:eastAsia="宋体" w:cs="宋体"/>
                <w:sz w:val="20"/>
                <w:szCs w:val="20"/>
              </w:rPr>
              <w:t>0</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0</w:t>
            </w:r>
            <w:r>
              <w:rPr>
                <w:rFonts w:hint="default" w:ascii="Calibri" w:hAnsi="Calibri" w:cs="Calibri"/>
                <w:sz w:val="20"/>
                <w:szCs w:val="20"/>
              </w:rPr>
              <w:t> </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0</w:t>
            </w:r>
            <w:r>
              <w:rPr>
                <w:rFonts w:hint="default" w:ascii="Calibri" w:hAnsi="Calibri" w:cs="Calibri"/>
                <w:sz w:val="20"/>
                <w:szCs w:val="20"/>
              </w:rPr>
              <w:t> </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w:t>
            </w:r>
            <w:r>
              <w:rPr>
                <w:rFonts w:hint="eastAsia" w:ascii="宋体" w:hAnsi="宋体" w:eastAsia="宋体" w:cs="宋体"/>
                <w:sz w:val="20"/>
                <w:szCs w:val="20"/>
              </w:rPr>
              <w:t>0</w:t>
            </w:r>
          </w:p>
        </w:tc>
      </w:tr>
      <w:tr>
        <w:tblPrEx>
          <w:tblLayout w:type="fixed"/>
          <w:tblCellMar>
            <w:top w:w="15" w:type="dxa"/>
            <w:left w:w="15" w:type="dxa"/>
            <w:bottom w:w="15" w:type="dxa"/>
            <w:right w:w="15" w:type="dxa"/>
          </w:tblCellMar>
        </w:tblPrEx>
        <w:tc>
          <w:tcPr>
            <w:tcW w:w="1053"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pPr>
              <w:rPr>
                <w:rFonts w:hint="default" w:ascii="Times New Roman" w:hAnsi="Times New Roman" w:cs="Times New Roman"/>
                <w:sz w:val="20"/>
                <w:szCs w:val="20"/>
              </w:rPr>
            </w:pPr>
          </w:p>
        </w:tc>
        <w:tc>
          <w:tcPr>
            <w:tcW w:w="855"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left"/>
              <w:rPr>
                <w:rFonts w:hint="default" w:ascii="Times New Roman" w:hAnsi="Times New Roman" w:cs="Times New Roman"/>
                <w:sz w:val="21"/>
                <w:szCs w:val="21"/>
              </w:rPr>
            </w:pPr>
            <w:r>
              <w:rPr>
                <w:rFonts w:hint="eastAsia" w:ascii="楷体" w:hAnsi="楷体" w:eastAsia="楷体" w:cs="楷体"/>
                <w:sz w:val="20"/>
                <w:szCs w:val="20"/>
              </w:rPr>
              <w:t>（五）不予处理</w:t>
            </w:r>
          </w:p>
        </w:tc>
        <w:tc>
          <w:tcPr>
            <w:tcW w:w="191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left"/>
              <w:rPr>
                <w:rFonts w:hint="default" w:ascii="Times New Roman" w:hAnsi="Times New Roman" w:cs="Times New Roman"/>
                <w:sz w:val="21"/>
                <w:szCs w:val="21"/>
              </w:rPr>
            </w:pPr>
            <w:r>
              <w:rPr>
                <w:rFonts w:hint="eastAsia" w:ascii="楷体" w:hAnsi="楷体" w:eastAsia="楷体" w:cs="楷体"/>
                <w:sz w:val="20"/>
                <w:szCs w:val="20"/>
              </w:rPr>
              <w:t>1.信访举报投诉类申请</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w:t>
            </w:r>
            <w:r>
              <w:rPr>
                <w:rFonts w:hint="eastAsia" w:ascii="宋体" w:hAnsi="宋体" w:eastAsia="宋体" w:cs="宋体"/>
                <w:sz w:val="20"/>
                <w:szCs w:val="20"/>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w:t>
            </w:r>
            <w:r>
              <w:rPr>
                <w:rFonts w:hint="eastAsia" w:ascii="宋体" w:hAnsi="宋体" w:eastAsia="宋体" w:cs="宋体"/>
                <w:sz w:val="20"/>
                <w:szCs w:val="20"/>
              </w:rPr>
              <w:t>0</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0</w:t>
            </w:r>
            <w:r>
              <w:rPr>
                <w:rFonts w:hint="default" w:ascii="Calibri" w:hAnsi="Calibri" w:cs="Calibri"/>
                <w:sz w:val="20"/>
                <w:szCs w:val="20"/>
              </w:rPr>
              <w:t> </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w:t>
            </w:r>
            <w:r>
              <w:rPr>
                <w:rFonts w:hint="eastAsia" w:ascii="宋体" w:hAnsi="宋体" w:eastAsia="宋体" w:cs="宋体"/>
                <w:sz w:val="20"/>
                <w:szCs w:val="20"/>
              </w:rPr>
              <w:t>0</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0</w:t>
            </w:r>
            <w:r>
              <w:rPr>
                <w:rFonts w:hint="default" w:ascii="Calibri" w:hAnsi="Calibri" w:cs="Calibri"/>
                <w:sz w:val="20"/>
                <w:szCs w:val="20"/>
              </w:rPr>
              <w:t> </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0</w:t>
            </w:r>
            <w:r>
              <w:rPr>
                <w:rFonts w:hint="default" w:ascii="Calibri" w:hAnsi="Calibri" w:cs="Calibri"/>
                <w:sz w:val="20"/>
                <w:szCs w:val="20"/>
              </w:rPr>
              <w:t> </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w:t>
            </w:r>
            <w:r>
              <w:rPr>
                <w:rFonts w:hint="eastAsia" w:ascii="宋体" w:hAnsi="宋体" w:eastAsia="宋体" w:cs="宋体"/>
                <w:sz w:val="20"/>
                <w:szCs w:val="20"/>
              </w:rPr>
              <w:t>0</w:t>
            </w:r>
          </w:p>
        </w:tc>
      </w:tr>
      <w:tr>
        <w:tblPrEx>
          <w:tblLayout w:type="fixed"/>
          <w:tblCellMar>
            <w:top w:w="15" w:type="dxa"/>
            <w:left w:w="15" w:type="dxa"/>
            <w:bottom w:w="15" w:type="dxa"/>
            <w:right w:w="15" w:type="dxa"/>
          </w:tblCellMar>
        </w:tblPrEx>
        <w:tc>
          <w:tcPr>
            <w:tcW w:w="1053"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pPr>
              <w:rPr>
                <w:rFonts w:hint="default" w:ascii="Times New Roman" w:hAnsi="Times New Roman" w:cs="Times New Roman"/>
                <w:sz w:val="20"/>
                <w:szCs w:val="20"/>
              </w:rPr>
            </w:pPr>
          </w:p>
        </w:tc>
        <w:tc>
          <w:tcPr>
            <w:tcW w:w="855"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default" w:ascii="Times New Roman" w:hAnsi="Times New Roman" w:cs="Times New Roman"/>
                <w:sz w:val="20"/>
                <w:szCs w:val="20"/>
              </w:rPr>
            </w:pPr>
          </w:p>
        </w:tc>
        <w:tc>
          <w:tcPr>
            <w:tcW w:w="191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left"/>
              <w:rPr>
                <w:rFonts w:hint="default" w:ascii="Times New Roman" w:hAnsi="Times New Roman" w:cs="Times New Roman"/>
                <w:sz w:val="21"/>
                <w:szCs w:val="21"/>
              </w:rPr>
            </w:pPr>
            <w:r>
              <w:rPr>
                <w:rFonts w:hint="eastAsia" w:ascii="楷体" w:hAnsi="楷体" w:eastAsia="楷体" w:cs="楷体"/>
                <w:sz w:val="20"/>
                <w:szCs w:val="20"/>
              </w:rPr>
              <w:t>2.重复申请</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w:t>
            </w:r>
            <w:r>
              <w:rPr>
                <w:rFonts w:hint="eastAsia" w:ascii="宋体" w:hAnsi="宋体" w:eastAsia="宋体" w:cs="宋体"/>
                <w:sz w:val="20"/>
                <w:szCs w:val="20"/>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w:t>
            </w:r>
            <w:r>
              <w:rPr>
                <w:rFonts w:hint="eastAsia" w:ascii="宋体" w:hAnsi="宋体" w:eastAsia="宋体" w:cs="宋体"/>
                <w:sz w:val="20"/>
                <w:szCs w:val="20"/>
              </w:rPr>
              <w:t>0</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0</w:t>
            </w:r>
            <w:r>
              <w:rPr>
                <w:rFonts w:hint="default" w:ascii="Calibri" w:hAnsi="Calibri" w:cs="Calibri"/>
                <w:sz w:val="20"/>
                <w:szCs w:val="20"/>
              </w:rPr>
              <w:t> </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w:t>
            </w:r>
            <w:r>
              <w:rPr>
                <w:rFonts w:hint="eastAsia" w:ascii="宋体" w:hAnsi="宋体" w:eastAsia="宋体" w:cs="宋体"/>
                <w:sz w:val="20"/>
                <w:szCs w:val="20"/>
              </w:rPr>
              <w:t>0</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0</w:t>
            </w:r>
            <w:r>
              <w:rPr>
                <w:rFonts w:hint="default" w:ascii="Calibri" w:hAnsi="Calibri" w:cs="Calibri"/>
                <w:sz w:val="20"/>
                <w:szCs w:val="20"/>
              </w:rPr>
              <w:t> </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0</w:t>
            </w:r>
            <w:r>
              <w:rPr>
                <w:rFonts w:hint="default" w:ascii="Calibri" w:hAnsi="Calibri" w:cs="Calibri"/>
                <w:sz w:val="20"/>
                <w:szCs w:val="20"/>
              </w:rPr>
              <w:t> </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w:t>
            </w:r>
            <w:r>
              <w:rPr>
                <w:rFonts w:hint="eastAsia" w:ascii="宋体" w:hAnsi="宋体" w:eastAsia="宋体" w:cs="宋体"/>
                <w:sz w:val="20"/>
                <w:szCs w:val="20"/>
              </w:rPr>
              <w:t>0</w:t>
            </w:r>
          </w:p>
        </w:tc>
      </w:tr>
      <w:tr>
        <w:tblPrEx>
          <w:tblLayout w:type="fixed"/>
          <w:tblCellMar>
            <w:top w:w="15" w:type="dxa"/>
            <w:left w:w="15" w:type="dxa"/>
            <w:bottom w:w="15" w:type="dxa"/>
            <w:right w:w="15" w:type="dxa"/>
          </w:tblCellMar>
        </w:tblPrEx>
        <w:tc>
          <w:tcPr>
            <w:tcW w:w="1053"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pPr>
              <w:rPr>
                <w:rFonts w:hint="default" w:ascii="Times New Roman" w:hAnsi="Times New Roman" w:cs="Times New Roman"/>
                <w:sz w:val="20"/>
                <w:szCs w:val="20"/>
              </w:rPr>
            </w:pPr>
          </w:p>
        </w:tc>
        <w:tc>
          <w:tcPr>
            <w:tcW w:w="855"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default" w:ascii="Times New Roman" w:hAnsi="Times New Roman" w:cs="Times New Roman"/>
                <w:sz w:val="20"/>
                <w:szCs w:val="20"/>
              </w:rPr>
            </w:pPr>
          </w:p>
        </w:tc>
        <w:tc>
          <w:tcPr>
            <w:tcW w:w="191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left"/>
              <w:rPr>
                <w:rFonts w:hint="default" w:ascii="Times New Roman" w:hAnsi="Times New Roman" w:cs="Times New Roman"/>
                <w:sz w:val="21"/>
                <w:szCs w:val="21"/>
              </w:rPr>
            </w:pPr>
            <w:r>
              <w:rPr>
                <w:rFonts w:hint="eastAsia" w:ascii="楷体" w:hAnsi="楷体" w:eastAsia="楷体" w:cs="楷体"/>
                <w:sz w:val="20"/>
                <w:szCs w:val="20"/>
              </w:rPr>
              <w:t>3.要求提供公开出版物</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w:t>
            </w:r>
            <w:r>
              <w:rPr>
                <w:rFonts w:hint="eastAsia" w:ascii="宋体" w:hAnsi="宋体" w:eastAsia="宋体" w:cs="宋体"/>
                <w:sz w:val="20"/>
                <w:szCs w:val="20"/>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w:t>
            </w:r>
            <w:r>
              <w:rPr>
                <w:rFonts w:hint="eastAsia" w:ascii="宋体" w:hAnsi="宋体" w:eastAsia="宋体" w:cs="宋体"/>
                <w:sz w:val="20"/>
                <w:szCs w:val="20"/>
              </w:rPr>
              <w:t>0</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0</w:t>
            </w:r>
            <w:r>
              <w:rPr>
                <w:rFonts w:hint="default" w:ascii="Calibri" w:hAnsi="Calibri" w:cs="Calibri"/>
                <w:sz w:val="20"/>
                <w:szCs w:val="20"/>
              </w:rPr>
              <w:t> </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w:t>
            </w:r>
            <w:r>
              <w:rPr>
                <w:rFonts w:hint="eastAsia" w:ascii="宋体" w:hAnsi="宋体" w:eastAsia="宋体" w:cs="宋体"/>
                <w:sz w:val="20"/>
                <w:szCs w:val="20"/>
              </w:rPr>
              <w:t>0</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0</w:t>
            </w:r>
            <w:r>
              <w:rPr>
                <w:rFonts w:hint="default" w:ascii="Calibri" w:hAnsi="Calibri" w:cs="Calibri"/>
                <w:sz w:val="20"/>
                <w:szCs w:val="20"/>
              </w:rPr>
              <w:t> </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0</w:t>
            </w:r>
            <w:r>
              <w:rPr>
                <w:rFonts w:hint="default" w:ascii="Calibri" w:hAnsi="Calibri" w:cs="Calibri"/>
                <w:sz w:val="20"/>
                <w:szCs w:val="20"/>
              </w:rPr>
              <w:t> </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w:t>
            </w:r>
            <w:r>
              <w:rPr>
                <w:rFonts w:hint="eastAsia" w:ascii="宋体" w:hAnsi="宋体" w:eastAsia="宋体" w:cs="宋体"/>
                <w:sz w:val="20"/>
                <w:szCs w:val="20"/>
              </w:rPr>
              <w:t>0</w:t>
            </w:r>
          </w:p>
        </w:tc>
      </w:tr>
      <w:tr>
        <w:tblPrEx>
          <w:tblLayout w:type="fixed"/>
          <w:tblCellMar>
            <w:top w:w="15" w:type="dxa"/>
            <w:left w:w="15" w:type="dxa"/>
            <w:bottom w:w="15" w:type="dxa"/>
            <w:right w:w="15" w:type="dxa"/>
          </w:tblCellMar>
        </w:tblPrEx>
        <w:tc>
          <w:tcPr>
            <w:tcW w:w="1053"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pPr>
              <w:rPr>
                <w:rFonts w:hint="default" w:ascii="Times New Roman" w:hAnsi="Times New Roman" w:cs="Times New Roman"/>
                <w:sz w:val="20"/>
                <w:szCs w:val="20"/>
              </w:rPr>
            </w:pPr>
          </w:p>
        </w:tc>
        <w:tc>
          <w:tcPr>
            <w:tcW w:w="855"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default" w:ascii="Times New Roman" w:hAnsi="Times New Roman" w:cs="Times New Roman"/>
                <w:sz w:val="20"/>
                <w:szCs w:val="20"/>
              </w:rPr>
            </w:pPr>
          </w:p>
        </w:tc>
        <w:tc>
          <w:tcPr>
            <w:tcW w:w="191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left"/>
              <w:rPr>
                <w:rFonts w:hint="default" w:ascii="Times New Roman" w:hAnsi="Times New Roman" w:cs="Times New Roman"/>
                <w:sz w:val="21"/>
                <w:szCs w:val="21"/>
              </w:rPr>
            </w:pPr>
            <w:r>
              <w:rPr>
                <w:rFonts w:hint="eastAsia" w:ascii="楷体" w:hAnsi="楷体" w:eastAsia="楷体" w:cs="楷体"/>
                <w:sz w:val="20"/>
                <w:szCs w:val="20"/>
              </w:rPr>
              <w:t>4.无正当理由大量反复申请</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w:t>
            </w:r>
            <w:r>
              <w:rPr>
                <w:rFonts w:hint="eastAsia" w:ascii="宋体" w:hAnsi="宋体" w:eastAsia="宋体" w:cs="宋体"/>
                <w:sz w:val="20"/>
                <w:szCs w:val="20"/>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w:t>
            </w:r>
            <w:r>
              <w:rPr>
                <w:rFonts w:hint="eastAsia" w:ascii="宋体" w:hAnsi="宋体" w:eastAsia="宋体" w:cs="宋体"/>
                <w:sz w:val="20"/>
                <w:szCs w:val="20"/>
              </w:rPr>
              <w:t>0</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0</w:t>
            </w:r>
            <w:r>
              <w:rPr>
                <w:rFonts w:hint="default" w:ascii="Calibri" w:hAnsi="Calibri" w:cs="Calibri"/>
                <w:sz w:val="20"/>
                <w:szCs w:val="20"/>
              </w:rPr>
              <w:t> </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w:t>
            </w:r>
            <w:r>
              <w:rPr>
                <w:rFonts w:hint="eastAsia" w:ascii="宋体" w:hAnsi="宋体" w:eastAsia="宋体" w:cs="宋体"/>
                <w:sz w:val="20"/>
                <w:szCs w:val="20"/>
              </w:rPr>
              <w:t>0</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0</w:t>
            </w:r>
            <w:r>
              <w:rPr>
                <w:rFonts w:hint="default" w:ascii="Calibri" w:hAnsi="Calibri" w:cs="Calibri"/>
                <w:sz w:val="20"/>
                <w:szCs w:val="20"/>
              </w:rPr>
              <w:t> </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0</w:t>
            </w:r>
            <w:r>
              <w:rPr>
                <w:rFonts w:hint="default" w:ascii="Calibri" w:hAnsi="Calibri" w:cs="Calibri"/>
                <w:sz w:val="20"/>
                <w:szCs w:val="20"/>
              </w:rPr>
              <w:t> </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w:t>
            </w:r>
            <w:r>
              <w:rPr>
                <w:rFonts w:hint="eastAsia" w:ascii="宋体" w:hAnsi="宋体" w:eastAsia="宋体" w:cs="宋体"/>
                <w:sz w:val="20"/>
                <w:szCs w:val="20"/>
              </w:rPr>
              <w:t>0</w:t>
            </w:r>
          </w:p>
        </w:tc>
      </w:tr>
      <w:tr>
        <w:tblPrEx>
          <w:tblLayout w:type="fixed"/>
          <w:tblCellMar>
            <w:top w:w="15" w:type="dxa"/>
            <w:left w:w="15" w:type="dxa"/>
            <w:bottom w:w="15" w:type="dxa"/>
            <w:right w:w="15" w:type="dxa"/>
          </w:tblCellMar>
        </w:tblPrEx>
        <w:tc>
          <w:tcPr>
            <w:tcW w:w="1053"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pPr>
              <w:rPr>
                <w:rFonts w:hint="default" w:ascii="Times New Roman" w:hAnsi="Times New Roman" w:cs="Times New Roman"/>
                <w:sz w:val="20"/>
                <w:szCs w:val="20"/>
              </w:rPr>
            </w:pPr>
          </w:p>
        </w:tc>
        <w:tc>
          <w:tcPr>
            <w:tcW w:w="855"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default" w:ascii="Times New Roman" w:hAnsi="Times New Roman" w:cs="Times New Roman"/>
                <w:sz w:val="20"/>
                <w:szCs w:val="20"/>
              </w:rPr>
            </w:pPr>
          </w:p>
        </w:tc>
        <w:tc>
          <w:tcPr>
            <w:tcW w:w="191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left"/>
              <w:rPr>
                <w:rFonts w:hint="default" w:ascii="Times New Roman" w:hAnsi="Times New Roman" w:cs="Times New Roman"/>
                <w:sz w:val="21"/>
                <w:szCs w:val="21"/>
              </w:rPr>
            </w:pPr>
            <w:r>
              <w:rPr>
                <w:rFonts w:hint="eastAsia" w:ascii="楷体" w:hAnsi="楷体" w:eastAsia="楷体" w:cs="楷体"/>
                <w:sz w:val="20"/>
                <w:szCs w:val="20"/>
              </w:rPr>
              <w:t>5.要求行政机关确认或重新出具已获取信息</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w:t>
            </w:r>
            <w:r>
              <w:rPr>
                <w:rFonts w:hint="eastAsia" w:ascii="宋体" w:hAnsi="宋体" w:eastAsia="宋体" w:cs="宋体"/>
                <w:sz w:val="20"/>
                <w:szCs w:val="20"/>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w:t>
            </w:r>
            <w:r>
              <w:rPr>
                <w:rFonts w:hint="eastAsia" w:ascii="宋体" w:hAnsi="宋体" w:eastAsia="宋体" w:cs="宋体"/>
                <w:sz w:val="20"/>
                <w:szCs w:val="20"/>
              </w:rPr>
              <w:t>0</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0</w:t>
            </w:r>
            <w:r>
              <w:rPr>
                <w:rFonts w:hint="default" w:ascii="Calibri" w:hAnsi="Calibri" w:cs="Calibri"/>
                <w:sz w:val="20"/>
                <w:szCs w:val="20"/>
              </w:rPr>
              <w:t> </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w:t>
            </w:r>
            <w:r>
              <w:rPr>
                <w:rFonts w:hint="eastAsia" w:ascii="宋体" w:hAnsi="宋体" w:eastAsia="宋体" w:cs="宋体"/>
                <w:sz w:val="20"/>
                <w:szCs w:val="20"/>
              </w:rPr>
              <w:t>0</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0</w:t>
            </w:r>
            <w:r>
              <w:rPr>
                <w:rFonts w:hint="default" w:ascii="Calibri" w:hAnsi="Calibri" w:cs="Calibri"/>
                <w:sz w:val="20"/>
                <w:szCs w:val="20"/>
              </w:rPr>
              <w:t> </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0</w:t>
            </w:r>
            <w:r>
              <w:rPr>
                <w:rFonts w:hint="default" w:ascii="Calibri" w:hAnsi="Calibri" w:cs="Calibri"/>
                <w:sz w:val="20"/>
                <w:szCs w:val="20"/>
              </w:rPr>
              <w:t> </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w:t>
            </w:r>
            <w:r>
              <w:rPr>
                <w:rFonts w:hint="eastAsia" w:ascii="宋体" w:hAnsi="宋体" w:eastAsia="宋体" w:cs="宋体"/>
                <w:sz w:val="20"/>
                <w:szCs w:val="20"/>
              </w:rPr>
              <w:t>0</w:t>
            </w:r>
          </w:p>
        </w:tc>
      </w:tr>
      <w:tr>
        <w:tblPrEx>
          <w:tblLayout w:type="fixed"/>
          <w:tblCellMar>
            <w:top w:w="15" w:type="dxa"/>
            <w:left w:w="15" w:type="dxa"/>
            <w:bottom w:w="15" w:type="dxa"/>
            <w:right w:w="15" w:type="dxa"/>
          </w:tblCellMar>
        </w:tblPrEx>
        <w:tc>
          <w:tcPr>
            <w:tcW w:w="1053"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pPr>
              <w:rPr>
                <w:rFonts w:hint="default" w:ascii="Times New Roman" w:hAnsi="Times New Roman" w:cs="Times New Roman"/>
                <w:sz w:val="20"/>
                <w:szCs w:val="20"/>
              </w:rPr>
            </w:pPr>
          </w:p>
        </w:tc>
        <w:tc>
          <w:tcPr>
            <w:tcW w:w="2774" w:type="dxa"/>
            <w:gridSpan w:val="2"/>
            <w:tcBorders>
              <w:top w:val="nil"/>
              <w:left w:val="nil"/>
              <w:bottom w:val="single" w:color="auto" w:sz="8" w:space="0"/>
              <w:right w:val="single" w:color="auto" w:sz="8" w:space="0"/>
            </w:tcBorders>
            <w:shd w:val="clear"/>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578" w:lineRule="atLeast"/>
              <w:ind w:left="0" w:right="0"/>
              <w:jc w:val="left"/>
              <w:rPr>
                <w:rFonts w:hint="default" w:ascii="Times New Roman" w:hAnsi="Times New Roman" w:cs="Times New Roman"/>
                <w:sz w:val="21"/>
                <w:szCs w:val="21"/>
              </w:rPr>
            </w:pPr>
            <w:r>
              <w:rPr>
                <w:rFonts w:hint="eastAsia" w:ascii="楷体" w:hAnsi="楷体" w:eastAsia="楷体" w:cs="楷体"/>
                <w:sz w:val="20"/>
                <w:szCs w:val="20"/>
              </w:rPr>
              <w:t>（六）其他处理</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w:t>
            </w:r>
            <w:r>
              <w:rPr>
                <w:rFonts w:hint="eastAsia" w:ascii="宋体" w:hAnsi="宋体" w:eastAsia="宋体" w:cs="宋体"/>
                <w:sz w:val="20"/>
                <w:szCs w:val="20"/>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w:t>
            </w:r>
            <w:r>
              <w:rPr>
                <w:rFonts w:hint="eastAsia" w:ascii="宋体" w:hAnsi="宋体" w:eastAsia="宋体" w:cs="宋体"/>
                <w:sz w:val="20"/>
                <w:szCs w:val="20"/>
              </w:rPr>
              <w:t>0</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w:t>
            </w:r>
            <w:r>
              <w:rPr>
                <w:rFonts w:hint="eastAsia" w:ascii="宋体" w:hAnsi="宋体" w:eastAsia="宋体" w:cs="宋体"/>
                <w:sz w:val="20"/>
                <w:szCs w:val="20"/>
              </w:rPr>
              <w:t>0</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0</w:t>
            </w:r>
            <w:r>
              <w:rPr>
                <w:rFonts w:hint="default" w:ascii="Calibri" w:hAnsi="Calibri" w:cs="Calibri"/>
                <w:sz w:val="20"/>
                <w:szCs w:val="20"/>
              </w:rPr>
              <w:t> </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w:t>
            </w:r>
            <w:r>
              <w:rPr>
                <w:rFonts w:hint="eastAsia" w:ascii="宋体" w:hAnsi="宋体" w:eastAsia="宋体" w:cs="宋体"/>
                <w:sz w:val="20"/>
                <w:szCs w:val="20"/>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w:t>
            </w:r>
            <w:r>
              <w:rPr>
                <w:rFonts w:hint="eastAsia" w:ascii="宋体" w:hAnsi="宋体" w:eastAsia="宋体" w:cs="宋体"/>
                <w:sz w:val="20"/>
                <w:szCs w:val="20"/>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w:t>
            </w:r>
            <w:r>
              <w:rPr>
                <w:rFonts w:hint="eastAsia" w:ascii="宋体" w:hAnsi="宋体" w:eastAsia="宋体" w:cs="宋体"/>
                <w:sz w:val="20"/>
                <w:szCs w:val="20"/>
              </w:rPr>
              <w:t>0</w:t>
            </w:r>
          </w:p>
        </w:tc>
      </w:tr>
      <w:tr>
        <w:tblPrEx>
          <w:tblLayout w:type="fixed"/>
          <w:tblCellMar>
            <w:top w:w="15" w:type="dxa"/>
            <w:left w:w="15" w:type="dxa"/>
            <w:bottom w:w="15" w:type="dxa"/>
            <w:right w:w="15" w:type="dxa"/>
          </w:tblCellMar>
        </w:tblPrEx>
        <w:tc>
          <w:tcPr>
            <w:tcW w:w="1053"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pPr>
              <w:rPr>
                <w:rFonts w:hint="default" w:ascii="Times New Roman" w:hAnsi="Times New Roman" w:cs="Times New Roman"/>
                <w:sz w:val="20"/>
                <w:szCs w:val="20"/>
              </w:rPr>
            </w:pPr>
          </w:p>
        </w:tc>
        <w:tc>
          <w:tcPr>
            <w:tcW w:w="2774" w:type="dxa"/>
            <w:gridSpan w:val="2"/>
            <w:tcBorders>
              <w:top w:val="nil"/>
              <w:left w:val="nil"/>
              <w:bottom w:val="single" w:color="auto" w:sz="8" w:space="0"/>
              <w:right w:val="single" w:color="auto" w:sz="8" w:space="0"/>
            </w:tcBorders>
            <w:shd w:val="clear"/>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578" w:lineRule="atLeast"/>
              <w:ind w:left="0" w:right="0"/>
              <w:jc w:val="left"/>
              <w:rPr>
                <w:rFonts w:hint="default" w:ascii="Times New Roman" w:hAnsi="Times New Roman" w:cs="Times New Roman"/>
                <w:sz w:val="21"/>
                <w:szCs w:val="21"/>
              </w:rPr>
            </w:pPr>
            <w:r>
              <w:rPr>
                <w:rFonts w:hint="eastAsia" w:ascii="楷体" w:hAnsi="楷体" w:eastAsia="楷体" w:cs="楷体"/>
                <w:sz w:val="20"/>
                <w:szCs w:val="20"/>
              </w:rPr>
              <w:t>（七）总计</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w:t>
            </w:r>
            <w:r>
              <w:rPr>
                <w:rFonts w:hint="eastAsia" w:ascii="宋体" w:hAnsi="宋体" w:eastAsia="宋体" w:cs="宋体"/>
                <w:sz w:val="20"/>
                <w:szCs w:val="20"/>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w:t>
            </w:r>
            <w:r>
              <w:rPr>
                <w:rFonts w:hint="eastAsia" w:ascii="宋体" w:hAnsi="宋体" w:eastAsia="宋体" w:cs="宋体"/>
                <w:sz w:val="20"/>
                <w:szCs w:val="20"/>
              </w:rPr>
              <w:t>0</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w:t>
            </w:r>
            <w:r>
              <w:rPr>
                <w:rFonts w:hint="eastAsia" w:ascii="宋体" w:hAnsi="宋体" w:eastAsia="宋体" w:cs="宋体"/>
                <w:sz w:val="20"/>
                <w:szCs w:val="20"/>
              </w:rPr>
              <w:t>0</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0</w:t>
            </w:r>
            <w:r>
              <w:rPr>
                <w:rFonts w:hint="default" w:ascii="Calibri" w:hAnsi="Calibri" w:cs="Calibri"/>
                <w:sz w:val="20"/>
                <w:szCs w:val="20"/>
              </w:rPr>
              <w:t> </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w:t>
            </w:r>
            <w:r>
              <w:rPr>
                <w:rFonts w:hint="eastAsia" w:ascii="宋体" w:hAnsi="宋体" w:eastAsia="宋体" w:cs="宋体"/>
                <w:sz w:val="20"/>
                <w:szCs w:val="20"/>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w:t>
            </w:r>
            <w:r>
              <w:rPr>
                <w:rFonts w:hint="eastAsia" w:ascii="宋体" w:hAnsi="宋体" w:eastAsia="宋体" w:cs="宋体"/>
                <w:sz w:val="20"/>
                <w:szCs w:val="20"/>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w:t>
            </w:r>
            <w:r>
              <w:rPr>
                <w:rFonts w:hint="eastAsia" w:ascii="宋体" w:hAnsi="宋体" w:eastAsia="宋体" w:cs="宋体"/>
                <w:sz w:val="20"/>
                <w:szCs w:val="20"/>
              </w:rPr>
              <w:t>0</w:t>
            </w:r>
          </w:p>
        </w:tc>
      </w:tr>
      <w:tr>
        <w:tblPrEx>
          <w:tblLayout w:type="fixed"/>
          <w:tblCellMar>
            <w:top w:w="15" w:type="dxa"/>
            <w:left w:w="15" w:type="dxa"/>
            <w:bottom w:w="15" w:type="dxa"/>
            <w:right w:w="15" w:type="dxa"/>
          </w:tblCellMar>
        </w:tblPrEx>
        <w:tc>
          <w:tcPr>
            <w:tcW w:w="3827" w:type="dxa"/>
            <w:gridSpan w:val="3"/>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578" w:lineRule="atLeast"/>
              <w:ind w:left="0" w:right="0"/>
              <w:jc w:val="left"/>
              <w:rPr>
                <w:rFonts w:hint="default" w:ascii="Times New Roman" w:hAnsi="Times New Roman" w:cs="Times New Roman"/>
                <w:sz w:val="21"/>
                <w:szCs w:val="21"/>
              </w:rPr>
            </w:pPr>
            <w:r>
              <w:rPr>
                <w:rFonts w:hint="eastAsia" w:ascii="宋体" w:hAnsi="宋体" w:eastAsia="宋体" w:cs="宋体"/>
                <w:sz w:val="20"/>
                <w:szCs w:val="20"/>
              </w:rPr>
              <w:t>四、结转下年度继续办理</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w:t>
            </w:r>
            <w:r>
              <w:rPr>
                <w:rFonts w:hint="eastAsia" w:ascii="宋体" w:hAnsi="宋体" w:eastAsia="宋体" w:cs="宋体"/>
                <w:sz w:val="20"/>
                <w:szCs w:val="20"/>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w:t>
            </w:r>
            <w:r>
              <w:rPr>
                <w:rFonts w:hint="eastAsia" w:ascii="宋体" w:hAnsi="宋体" w:eastAsia="宋体" w:cs="宋体"/>
                <w:sz w:val="20"/>
                <w:szCs w:val="20"/>
              </w:rPr>
              <w:t>0</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w:t>
            </w:r>
            <w:r>
              <w:rPr>
                <w:rFonts w:hint="eastAsia" w:ascii="宋体" w:hAnsi="宋体" w:eastAsia="宋体" w:cs="宋体"/>
                <w:sz w:val="20"/>
                <w:szCs w:val="20"/>
              </w:rPr>
              <w:t>0</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0</w:t>
            </w:r>
            <w:r>
              <w:rPr>
                <w:rFonts w:hint="default" w:ascii="Calibri" w:hAnsi="Calibri" w:cs="Calibri"/>
                <w:sz w:val="20"/>
                <w:szCs w:val="20"/>
              </w:rPr>
              <w:t> </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w:t>
            </w:r>
            <w:r>
              <w:rPr>
                <w:rFonts w:hint="eastAsia" w:ascii="宋体" w:hAnsi="宋体" w:eastAsia="宋体" w:cs="宋体"/>
                <w:sz w:val="20"/>
                <w:szCs w:val="20"/>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w:t>
            </w:r>
            <w:r>
              <w:rPr>
                <w:rFonts w:hint="eastAsia" w:ascii="宋体" w:hAnsi="宋体" w:eastAsia="宋体" w:cs="宋体"/>
                <w:sz w:val="20"/>
                <w:szCs w:val="20"/>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w:t>
            </w:r>
            <w:r>
              <w:rPr>
                <w:rFonts w:hint="eastAsia" w:ascii="宋体" w:hAnsi="宋体" w:eastAsia="宋体" w:cs="宋体"/>
                <w:sz w:val="20"/>
                <w:szCs w:val="20"/>
              </w:rPr>
              <w:t>0</w:t>
            </w:r>
          </w:p>
        </w:tc>
      </w:tr>
    </w:tbl>
    <w:p>
      <w:pPr>
        <w:pStyle w:val="2"/>
        <w:keepNext w:val="0"/>
        <w:keepLines w:val="0"/>
        <w:widowControl/>
        <w:suppressLineNumbers w:val="0"/>
        <w:spacing w:before="0" w:beforeAutospacing="0" w:after="0" w:afterAutospacing="0" w:line="578" w:lineRule="atLeast"/>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spacing w:before="0" w:beforeAutospacing="0" w:after="0" w:afterAutospacing="0" w:line="578" w:lineRule="atLeast"/>
        <w:ind w:left="0" w:right="0"/>
        <w:jc w:val="both"/>
        <w:rPr>
          <w:rFonts w:hint="default" w:ascii="Times New Roman" w:hAnsi="Times New Roman" w:cs="Times New Roman"/>
          <w:sz w:val="21"/>
          <w:szCs w:val="21"/>
        </w:rPr>
      </w:pPr>
      <w:r>
        <w:rPr>
          <w:rFonts w:hint="eastAsia" w:ascii="黑体" w:hAnsi="宋体" w:eastAsia="黑体" w:cs="黑体"/>
          <w:sz w:val="32"/>
          <w:szCs w:val="32"/>
        </w:rPr>
        <w:t>四、政府信息公开行政复议、行政诉讼情况</w:t>
      </w:r>
    </w:p>
    <w:tbl>
      <w:tblPr>
        <w:tblW w:w="9214" w:type="dxa"/>
        <w:tblInd w:w="132" w:type="dxa"/>
        <w:shd w:val="clear"/>
        <w:tblLayout w:type="fixed"/>
        <w:tblCellMar>
          <w:top w:w="15" w:type="dxa"/>
          <w:left w:w="15" w:type="dxa"/>
          <w:bottom w:w="15" w:type="dxa"/>
          <w:right w:w="15" w:type="dxa"/>
        </w:tblCellMar>
      </w:tblPr>
      <w:tblGrid>
        <w:gridCol w:w="897"/>
        <w:gridCol w:w="603"/>
        <w:gridCol w:w="603"/>
        <w:gridCol w:w="603"/>
        <w:gridCol w:w="657"/>
        <w:gridCol w:w="550"/>
        <w:gridCol w:w="604"/>
        <w:gridCol w:w="604"/>
        <w:gridCol w:w="604"/>
        <w:gridCol w:w="518"/>
        <w:gridCol w:w="708"/>
        <w:gridCol w:w="604"/>
        <w:gridCol w:w="531"/>
        <w:gridCol w:w="568"/>
        <w:gridCol w:w="560"/>
      </w:tblGrid>
      <w:tr>
        <w:tblPrEx>
          <w:shd w:val="clear"/>
          <w:tblLayout w:type="fixed"/>
          <w:tblCellMar>
            <w:top w:w="15" w:type="dxa"/>
            <w:left w:w="15" w:type="dxa"/>
            <w:bottom w:w="15" w:type="dxa"/>
            <w:right w:w="15" w:type="dxa"/>
          </w:tblCellMar>
        </w:tblPrEx>
        <w:tc>
          <w:tcPr>
            <w:tcW w:w="3363" w:type="dxa"/>
            <w:gridSpan w:val="5"/>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行政复议</w:t>
            </w:r>
          </w:p>
        </w:tc>
        <w:tc>
          <w:tcPr>
            <w:tcW w:w="5851" w:type="dxa"/>
            <w:gridSpan w:val="10"/>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行政诉讼</w:t>
            </w:r>
          </w:p>
        </w:tc>
      </w:tr>
      <w:tr>
        <w:tblPrEx>
          <w:tblLayout w:type="fixed"/>
          <w:tblCellMar>
            <w:top w:w="15" w:type="dxa"/>
            <w:left w:w="15" w:type="dxa"/>
            <w:bottom w:w="15" w:type="dxa"/>
            <w:right w:w="15" w:type="dxa"/>
          </w:tblCellMar>
        </w:tblPrEx>
        <w:tc>
          <w:tcPr>
            <w:tcW w:w="897"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结果维持</w:t>
            </w:r>
          </w:p>
        </w:tc>
        <w:tc>
          <w:tcPr>
            <w:tcW w:w="603"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结果纠正</w:t>
            </w:r>
          </w:p>
        </w:tc>
        <w:tc>
          <w:tcPr>
            <w:tcW w:w="603" w:type="dxa"/>
            <w:vMerge w:val="restart"/>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其他结果</w:t>
            </w:r>
          </w:p>
        </w:tc>
        <w:tc>
          <w:tcPr>
            <w:tcW w:w="603" w:type="dxa"/>
            <w:vMerge w:val="restart"/>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尚未审结</w:t>
            </w:r>
          </w:p>
        </w:tc>
        <w:tc>
          <w:tcPr>
            <w:tcW w:w="657" w:type="dxa"/>
            <w:vMerge w:val="restart"/>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总计</w:t>
            </w:r>
          </w:p>
        </w:tc>
        <w:tc>
          <w:tcPr>
            <w:tcW w:w="2880" w:type="dxa"/>
            <w:gridSpan w:val="5"/>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未经复议直接起诉</w:t>
            </w:r>
          </w:p>
        </w:tc>
        <w:tc>
          <w:tcPr>
            <w:tcW w:w="2971" w:type="dxa"/>
            <w:gridSpan w:val="5"/>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复议后起诉</w:t>
            </w:r>
          </w:p>
        </w:tc>
      </w:tr>
      <w:tr>
        <w:tblPrEx>
          <w:tblLayout w:type="fixed"/>
          <w:tblCellMar>
            <w:top w:w="15" w:type="dxa"/>
            <w:left w:w="15" w:type="dxa"/>
            <w:bottom w:w="15" w:type="dxa"/>
            <w:right w:w="15" w:type="dxa"/>
          </w:tblCellMar>
        </w:tblPrEx>
        <w:tc>
          <w:tcPr>
            <w:tcW w:w="89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default" w:ascii="Times New Roman" w:hAnsi="Times New Roman" w:cs="Times New Roman"/>
                <w:sz w:val="20"/>
                <w:szCs w:val="20"/>
              </w:rPr>
            </w:pPr>
          </w:p>
        </w:tc>
        <w:tc>
          <w:tcPr>
            <w:tcW w:w="603"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default" w:ascii="Times New Roman" w:hAnsi="Times New Roman" w:cs="Times New Roman"/>
                <w:sz w:val="20"/>
                <w:szCs w:val="20"/>
              </w:rPr>
            </w:pPr>
          </w:p>
        </w:tc>
        <w:tc>
          <w:tcPr>
            <w:tcW w:w="603"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rPr>
                <w:rFonts w:hint="default" w:ascii="Times New Roman" w:hAnsi="Times New Roman" w:cs="Times New Roman"/>
                <w:sz w:val="20"/>
                <w:szCs w:val="20"/>
              </w:rPr>
            </w:pPr>
          </w:p>
        </w:tc>
        <w:tc>
          <w:tcPr>
            <w:tcW w:w="603"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rPr>
                <w:rFonts w:hint="default" w:ascii="Times New Roman" w:hAnsi="Times New Roman" w:cs="Times New Roman"/>
                <w:sz w:val="20"/>
                <w:szCs w:val="20"/>
              </w:rPr>
            </w:pPr>
          </w:p>
        </w:tc>
        <w:tc>
          <w:tcPr>
            <w:tcW w:w="657"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rPr>
                <w:rFonts w:hint="default" w:ascii="Times New Roman" w:hAnsi="Times New Roman" w:cs="Times New Roman"/>
                <w:sz w:val="20"/>
                <w:szCs w:val="20"/>
              </w:rPr>
            </w:pPr>
          </w:p>
        </w:tc>
        <w:tc>
          <w:tcPr>
            <w:tcW w:w="5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结果维持</w:t>
            </w:r>
          </w:p>
        </w:tc>
        <w:tc>
          <w:tcPr>
            <w:tcW w:w="60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结果纠正</w:t>
            </w:r>
          </w:p>
        </w:tc>
        <w:tc>
          <w:tcPr>
            <w:tcW w:w="604"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其他结果</w:t>
            </w:r>
          </w:p>
        </w:tc>
        <w:tc>
          <w:tcPr>
            <w:tcW w:w="604"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尚未审结</w:t>
            </w:r>
          </w:p>
        </w:tc>
        <w:tc>
          <w:tcPr>
            <w:tcW w:w="518"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总计</w:t>
            </w:r>
          </w:p>
        </w:tc>
        <w:tc>
          <w:tcPr>
            <w:tcW w:w="708"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结果维持</w:t>
            </w:r>
          </w:p>
        </w:tc>
        <w:tc>
          <w:tcPr>
            <w:tcW w:w="604"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结果纠正</w:t>
            </w:r>
          </w:p>
        </w:tc>
        <w:tc>
          <w:tcPr>
            <w:tcW w:w="531"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其他结果</w:t>
            </w:r>
          </w:p>
        </w:tc>
        <w:tc>
          <w:tcPr>
            <w:tcW w:w="568"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尚未审结</w:t>
            </w:r>
          </w:p>
        </w:tc>
        <w:tc>
          <w:tcPr>
            <w:tcW w:w="560"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总计</w:t>
            </w:r>
          </w:p>
        </w:tc>
      </w:tr>
      <w:tr>
        <w:tblPrEx>
          <w:tblLayout w:type="fixed"/>
          <w:tblCellMar>
            <w:top w:w="15" w:type="dxa"/>
            <w:left w:w="15" w:type="dxa"/>
            <w:bottom w:w="15" w:type="dxa"/>
            <w:right w:w="15" w:type="dxa"/>
          </w:tblCellMar>
        </w:tblPrEx>
        <w:tc>
          <w:tcPr>
            <w:tcW w:w="89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0</w:t>
            </w:r>
            <w:r>
              <w:rPr>
                <w:rFonts w:hint="default" w:ascii="Calibri" w:hAnsi="Calibri" w:cs="Calibri"/>
                <w:sz w:val="20"/>
                <w:szCs w:val="20"/>
              </w:rPr>
              <w:t> </w:t>
            </w:r>
          </w:p>
        </w:tc>
        <w:tc>
          <w:tcPr>
            <w:tcW w:w="60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0</w:t>
            </w:r>
            <w:r>
              <w:rPr>
                <w:rFonts w:hint="default" w:ascii="Calibri" w:hAnsi="Calibri" w:cs="Calibri"/>
                <w:sz w:val="20"/>
                <w:szCs w:val="20"/>
              </w:rPr>
              <w:t> </w:t>
            </w:r>
          </w:p>
        </w:tc>
        <w:tc>
          <w:tcPr>
            <w:tcW w:w="60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w:t>
            </w:r>
            <w:r>
              <w:rPr>
                <w:rFonts w:hint="eastAsia" w:ascii="宋体" w:hAnsi="宋体" w:eastAsia="宋体" w:cs="宋体"/>
                <w:sz w:val="20"/>
                <w:szCs w:val="20"/>
              </w:rPr>
              <w:t>0</w:t>
            </w:r>
          </w:p>
        </w:tc>
        <w:tc>
          <w:tcPr>
            <w:tcW w:w="60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0</w:t>
            </w:r>
            <w:r>
              <w:rPr>
                <w:rFonts w:hint="default" w:ascii="Calibri" w:hAnsi="Calibri" w:cs="Calibri"/>
                <w:sz w:val="20"/>
                <w:szCs w:val="20"/>
              </w:rPr>
              <w:t> </w:t>
            </w:r>
          </w:p>
        </w:tc>
        <w:tc>
          <w:tcPr>
            <w:tcW w:w="65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default" w:ascii="Calibri" w:hAnsi="Calibri" w:cs="Calibri"/>
                <w:sz w:val="20"/>
                <w:szCs w:val="20"/>
              </w:rPr>
              <w:t> </w:t>
            </w:r>
            <w:r>
              <w:rPr>
                <w:rFonts w:hint="eastAsia" w:ascii="宋体" w:hAnsi="宋体" w:eastAsia="宋体" w:cs="宋体"/>
                <w:sz w:val="20"/>
                <w:szCs w:val="20"/>
              </w:rPr>
              <w:t>0</w:t>
            </w:r>
          </w:p>
        </w:tc>
        <w:tc>
          <w:tcPr>
            <w:tcW w:w="5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 0</w:t>
            </w:r>
          </w:p>
        </w:tc>
        <w:tc>
          <w:tcPr>
            <w:tcW w:w="60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 0</w:t>
            </w:r>
          </w:p>
        </w:tc>
        <w:tc>
          <w:tcPr>
            <w:tcW w:w="60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 0</w:t>
            </w:r>
          </w:p>
        </w:tc>
        <w:tc>
          <w:tcPr>
            <w:tcW w:w="60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 0</w:t>
            </w:r>
          </w:p>
        </w:tc>
        <w:tc>
          <w:tcPr>
            <w:tcW w:w="51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 0</w:t>
            </w:r>
          </w:p>
        </w:tc>
        <w:tc>
          <w:tcPr>
            <w:tcW w:w="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 0</w:t>
            </w:r>
          </w:p>
        </w:tc>
        <w:tc>
          <w:tcPr>
            <w:tcW w:w="60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 0</w:t>
            </w:r>
          </w:p>
        </w:tc>
        <w:tc>
          <w:tcPr>
            <w:tcW w:w="53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 0</w:t>
            </w:r>
          </w:p>
        </w:tc>
        <w:tc>
          <w:tcPr>
            <w:tcW w:w="56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center"/>
              <w:rPr>
                <w:rFonts w:hint="default" w:ascii="Times New Roman" w:hAnsi="Times New Roman" w:cs="Times New Roman"/>
                <w:sz w:val="21"/>
                <w:szCs w:val="21"/>
              </w:rPr>
            </w:pPr>
            <w:r>
              <w:rPr>
                <w:rFonts w:hint="eastAsia" w:ascii="宋体" w:hAnsi="宋体" w:eastAsia="宋体" w:cs="宋体"/>
                <w:sz w:val="20"/>
                <w:szCs w:val="20"/>
              </w:rPr>
              <w:t> 0</w:t>
            </w:r>
          </w:p>
        </w:tc>
        <w:tc>
          <w:tcPr>
            <w:tcW w:w="56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578" w:lineRule="atLeast"/>
              <w:ind w:left="0" w:right="0"/>
              <w:jc w:val="left"/>
              <w:rPr>
                <w:rFonts w:hint="default" w:ascii="Times New Roman" w:hAnsi="Times New Roman" w:cs="Times New Roman"/>
                <w:sz w:val="21"/>
                <w:szCs w:val="21"/>
              </w:rPr>
            </w:pPr>
            <w:r>
              <w:rPr>
                <w:rFonts w:hint="eastAsia" w:ascii="宋体" w:hAnsi="宋体" w:eastAsia="宋体" w:cs="宋体"/>
                <w:sz w:val="20"/>
                <w:szCs w:val="20"/>
              </w:rPr>
              <w:t> 0</w:t>
            </w:r>
          </w:p>
        </w:tc>
      </w:tr>
    </w:tbl>
    <w:p>
      <w:pPr>
        <w:pStyle w:val="2"/>
        <w:keepNext w:val="0"/>
        <w:keepLines w:val="0"/>
        <w:widowControl/>
        <w:suppressLineNumbers w:val="0"/>
        <w:spacing w:before="0" w:beforeAutospacing="0" w:after="0" w:afterAutospacing="0" w:line="578" w:lineRule="atLeast"/>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spacing w:before="0" w:beforeAutospacing="0" w:after="0" w:afterAutospacing="0" w:line="578" w:lineRule="atLeast"/>
        <w:ind w:left="0" w:right="0"/>
        <w:jc w:val="both"/>
        <w:rPr>
          <w:rFonts w:hint="default" w:ascii="Times New Roman" w:hAnsi="Times New Roman" w:cs="Times New Roman"/>
          <w:sz w:val="21"/>
          <w:szCs w:val="21"/>
        </w:rPr>
      </w:pPr>
      <w:r>
        <w:rPr>
          <w:rFonts w:hint="eastAsia" w:ascii="黑体" w:hAnsi="宋体" w:eastAsia="黑体" w:cs="黑体"/>
          <w:sz w:val="32"/>
          <w:szCs w:val="32"/>
        </w:rPr>
        <w:t>五、存在的主要问题及改进情况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640"/>
        <w:jc w:val="left"/>
        <w:rPr>
          <w:rFonts w:hint="eastAsia" w:ascii="仿宋" w:hAnsi="仿宋" w:eastAsia="仿宋" w:cs="仿宋"/>
          <w:i w:val="0"/>
          <w:caps w:val="0"/>
          <w:color w:val="333333"/>
          <w:spacing w:val="0"/>
          <w:sz w:val="32"/>
          <w:szCs w:val="32"/>
          <w:bdr w:val="none" w:color="auto" w:sz="0" w:space="0"/>
          <w:shd w:val="clear" w:fill="FFFFFF"/>
        </w:rPr>
      </w:pPr>
      <w:r>
        <w:rPr>
          <w:rFonts w:hint="eastAsia" w:ascii="仿宋" w:hAnsi="仿宋" w:eastAsia="仿宋" w:cs="仿宋"/>
          <w:i w:val="0"/>
          <w:caps w:val="0"/>
          <w:color w:val="333333"/>
          <w:spacing w:val="0"/>
          <w:sz w:val="32"/>
          <w:szCs w:val="32"/>
          <w:bdr w:val="none" w:color="auto" w:sz="0" w:space="0"/>
          <w:shd w:val="clear" w:fill="FFFFFF"/>
        </w:rPr>
        <w:t> 2019年，我会信息公开工作虽然取得成效显著，但与上级的要求相比，还存在一定的差距，主要表现：一是部门政府信息公开内容不够全面；二是政策解读形式较单一；</w:t>
      </w:r>
      <w:r>
        <w:rPr>
          <w:rFonts w:hint="eastAsia" w:ascii="仿宋" w:hAnsi="仿宋" w:eastAsia="仿宋" w:cs="仿宋"/>
          <w:color w:val="000000"/>
          <w:sz w:val="31"/>
          <w:szCs w:val="31"/>
          <w:bdr w:val="none" w:color="auto" w:sz="0" w:space="0"/>
        </w:rPr>
        <w:t>三是新闻发布会较少。全年未召开新闻发布会。</w:t>
      </w:r>
      <w:r>
        <w:rPr>
          <w:rFonts w:hint="eastAsia" w:ascii="仿宋" w:hAnsi="仿宋" w:eastAsia="仿宋" w:cs="仿宋"/>
          <w:i w:val="0"/>
          <w:caps w:val="0"/>
          <w:color w:val="333333"/>
          <w:spacing w:val="0"/>
          <w:sz w:val="32"/>
          <w:szCs w:val="32"/>
          <w:bdr w:val="none" w:color="auto" w:sz="0" w:space="0"/>
          <w:shd w:val="clear" w:fill="FFFFFF"/>
        </w:rPr>
        <w:t>为此，我会将严格按照新《条例》要求，加强宣传、落实责任，进一步牢固树立政府信息主动公开意识，进一步提高政府信息公开数量和质量。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right="0"/>
        <w:jc w:val="left"/>
        <w:rPr>
          <w:rFonts w:hint="eastAsia" w:ascii="黑体" w:hAnsi="宋体" w:eastAsia="黑体" w:cs="黑体"/>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right="0"/>
        <w:jc w:val="left"/>
        <w:rPr>
          <w:rFonts w:hint="default" w:ascii="Times New Roman" w:hAnsi="Times New Roman" w:cs="Times New Roman"/>
          <w:sz w:val="21"/>
          <w:szCs w:val="21"/>
        </w:rPr>
      </w:pPr>
      <w:r>
        <w:rPr>
          <w:rFonts w:hint="eastAsia" w:ascii="黑体" w:hAnsi="宋体" w:eastAsia="黑体" w:cs="黑体"/>
          <w:sz w:val="32"/>
          <w:szCs w:val="32"/>
        </w:rPr>
        <w:t>六、其他需要报告的事项</w:t>
      </w:r>
    </w:p>
    <w:p>
      <w:pPr>
        <w:pStyle w:val="2"/>
        <w:keepNext w:val="0"/>
        <w:keepLines w:val="0"/>
        <w:widowControl/>
        <w:suppressLineNumbers w:val="0"/>
        <w:spacing w:before="0" w:beforeAutospacing="0" w:after="0" w:afterAutospacing="0"/>
        <w:ind w:left="0" w:right="0" w:firstLine="320"/>
        <w:jc w:val="both"/>
        <w:rPr>
          <w:rFonts w:hint="default" w:ascii="Times New Roman" w:hAnsi="Times New Roman" w:cs="Times New Roman"/>
          <w:sz w:val="21"/>
          <w:szCs w:val="21"/>
        </w:rPr>
      </w:pPr>
      <w:r>
        <w:rPr>
          <w:rFonts w:hint="eastAsia" w:ascii="仿宋" w:hAnsi="仿宋" w:eastAsia="仿宋" w:cs="仿宋"/>
          <w:sz w:val="32"/>
          <w:szCs w:val="32"/>
        </w:rPr>
        <w:t>无</w:t>
      </w:r>
    </w:p>
    <w:p>
      <w:pPr>
        <w:pStyle w:val="2"/>
        <w:keepNext w:val="0"/>
        <w:keepLines w:val="0"/>
        <w:widowControl/>
        <w:suppressLineNumbers w:val="0"/>
        <w:spacing w:before="0" w:beforeAutospacing="0" w:after="0" w:afterAutospacing="0"/>
        <w:ind w:left="0" w:right="0" w:firstLine="320"/>
        <w:jc w:val="both"/>
        <w:rPr>
          <w:rFonts w:hint="default" w:ascii="Times New Roman" w:hAnsi="Times New Roman" w:cs="Times New Roman"/>
          <w:sz w:val="21"/>
          <w:szCs w:val="21"/>
        </w:rPr>
      </w:pPr>
      <w:r>
        <w:rPr>
          <w:rFonts w:hint="default" w:ascii="Times New Roman" w:hAnsi="Times New Roman" w:cs="Times New Roman"/>
          <w:sz w:val="21"/>
          <w:szCs w:val="21"/>
        </w:rPr>
        <w:t> </w:t>
      </w: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黑体">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F7332D"/>
    <w:rsid w:val="1EF7332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2021-05-08T03:01:00Z</dcterms:created>
  <dc:creator>平稳稳</dc:creator>
  <cp:lastModifiedBy>平稳稳</cp:lastModifiedBy>
  <dcterms:modified xsi:type="dcterms:W3CDTF">2021-05-08T03:02:48Z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