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E2" w:rsidRDefault="00F37AE2" w:rsidP="00F37AE2">
      <w:pPr>
        <w:pStyle w:val="1"/>
        <w:shd w:val="clear" w:color="auto" w:fill="FFFFFF"/>
        <w:spacing w:before="0" w:beforeAutospacing="0" w:after="0" w:afterAutospacing="0" w:line="720" w:lineRule="atLeast"/>
        <w:jc w:val="center"/>
        <w:rPr>
          <w:rFonts w:ascii="仿宋" w:eastAsia="仿宋" w:hAnsi="仿宋" w:hint="eastAsia"/>
          <w:bCs w:val="0"/>
          <w:color w:val="333333"/>
          <w:sz w:val="44"/>
          <w:szCs w:val="44"/>
        </w:rPr>
      </w:pPr>
      <w:r w:rsidRPr="00F37AE2">
        <w:rPr>
          <w:rFonts w:ascii="仿宋" w:eastAsia="仿宋" w:hAnsi="仿宋" w:cs="方正小标宋简体" w:hint="eastAsia"/>
          <w:sz w:val="44"/>
          <w:szCs w:val="44"/>
        </w:rPr>
        <w:tab/>
      </w:r>
      <w:r w:rsidRPr="00F37AE2">
        <w:rPr>
          <w:rFonts w:ascii="仿宋" w:eastAsia="仿宋" w:hAnsi="仿宋" w:hint="eastAsia"/>
          <w:bCs w:val="0"/>
          <w:color w:val="333333"/>
          <w:sz w:val="44"/>
          <w:szCs w:val="44"/>
        </w:rPr>
        <w:t>多</w:t>
      </w:r>
      <w:proofErr w:type="gramStart"/>
      <w:r w:rsidRPr="00F37AE2">
        <w:rPr>
          <w:rFonts w:ascii="仿宋" w:eastAsia="仿宋" w:hAnsi="仿宋" w:hint="eastAsia"/>
          <w:bCs w:val="0"/>
          <w:color w:val="333333"/>
          <w:sz w:val="44"/>
          <w:szCs w:val="44"/>
        </w:rPr>
        <w:t>措</w:t>
      </w:r>
      <w:proofErr w:type="gramEnd"/>
      <w:r w:rsidRPr="00F37AE2">
        <w:rPr>
          <w:rFonts w:ascii="仿宋" w:eastAsia="仿宋" w:hAnsi="仿宋" w:hint="eastAsia"/>
          <w:bCs w:val="0"/>
          <w:color w:val="333333"/>
          <w:sz w:val="44"/>
          <w:szCs w:val="44"/>
        </w:rPr>
        <w:t>并举谋划预算绩效管理</w:t>
      </w:r>
    </w:p>
    <w:p w:rsidR="00F37AE2" w:rsidRPr="00F37AE2" w:rsidRDefault="00F37AE2" w:rsidP="00F37AE2">
      <w:pPr>
        <w:pStyle w:val="1"/>
        <w:shd w:val="clear" w:color="auto" w:fill="FFFFFF"/>
        <w:spacing w:before="0" w:beforeAutospacing="0" w:after="0" w:afterAutospacing="0" w:line="720" w:lineRule="atLeast"/>
        <w:jc w:val="center"/>
        <w:rPr>
          <w:rFonts w:ascii="仿宋" w:eastAsia="仿宋" w:hAnsi="仿宋"/>
          <w:bCs w:val="0"/>
          <w:color w:val="333333"/>
          <w:sz w:val="44"/>
          <w:szCs w:val="44"/>
        </w:rPr>
      </w:pPr>
    </w:p>
    <w:p w:rsidR="00F37AE2" w:rsidRPr="00F37AE2" w:rsidRDefault="00F37AE2" w:rsidP="00F37AE2">
      <w:pPr>
        <w:widowControl/>
        <w:shd w:val="clear" w:color="auto" w:fill="FFFFFF"/>
        <w:wordWrap w:val="0"/>
        <w:spacing w:line="560" w:lineRule="atLeast"/>
        <w:ind w:firstLine="643"/>
        <w:rPr>
          <w:rFonts w:ascii="仿宋" w:eastAsia="仿宋" w:hAnsi="仿宋" w:cs="宋体"/>
          <w:color w:val="333333"/>
          <w:kern w:val="0"/>
          <w:sz w:val="24"/>
          <w:szCs w:val="24"/>
        </w:rPr>
      </w:pPr>
      <w:r w:rsidRPr="00F37AE2">
        <w:rPr>
          <w:rFonts w:ascii="仿宋" w:eastAsia="仿宋" w:hAnsi="仿宋" w:cs="宋体" w:hint="eastAsia"/>
          <w:b/>
          <w:bCs/>
          <w:color w:val="333333"/>
          <w:kern w:val="0"/>
          <w:sz w:val="32"/>
          <w:szCs w:val="32"/>
        </w:rPr>
        <w:t>一是进一步完善预算绩效管理制度体系。</w:t>
      </w:r>
      <w:r w:rsidRPr="00F37AE2">
        <w:rPr>
          <w:rFonts w:ascii="仿宋" w:eastAsia="仿宋" w:hAnsi="仿宋" w:cs="宋体" w:hint="eastAsia"/>
          <w:color w:val="000000"/>
          <w:kern w:val="0"/>
          <w:sz w:val="32"/>
          <w:szCs w:val="32"/>
        </w:rPr>
        <w:t>准确把握预算绩效管理的制度规定、深入研究推进措施、积极探索适用于不同单位、不同项目的绩效指标，逐步建立统一规范的绩效评价指标体系和绩效评价的规范标准</w:t>
      </w:r>
      <w:r w:rsidRPr="00F37AE2">
        <w:rPr>
          <w:rFonts w:ascii="仿宋" w:eastAsia="仿宋" w:hAnsi="仿宋" w:cs="宋体" w:hint="eastAsia"/>
          <w:color w:val="333333"/>
          <w:kern w:val="0"/>
          <w:sz w:val="32"/>
          <w:szCs w:val="32"/>
        </w:rPr>
        <w:t>，增强可操作性。研究设计绩效目标审核标准，将绩效目标审核中靠主观判断的部分，用统一指标或标准衡量，</w:t>
      </w:r>
      <w:r w:rsidRPr="00F37AE2">
        <w:rPr>
          <w:rFonts w:ascii="仿宋" w:eastAsia="仿宋" w:hAnsi="仿宋" w:cs="宋体" w:hint="eastAsia"/>
          <w:color w:val="000000"/>
          <w:kern w:val="0"/>
          <w:sz w:val="32"/>
          <w:szCs w:val="32"/>
        </w:rPr>
        <w:t>结合绩效评价工，</w:t>
      </w:r>
      <w:r w:rsidRPr="00F37AE2">
        <w:rPr>
          <w:rFonts w:ascii="仿宋" w:eastAsia="仿宋" w:hAnsi="仿宋" w:cs="宋体" w:hint="eastAsia"/>
          <w:color w:val="333333"/>
          <w:kern w:val="0"/>
          <w:sz w:val="32"/>
          <w:szCs w:val="32"/>
        </w:rPr>
        <w:t>明确相关机构和人员在预算绩效管理工作中的职责，规范操作程序和质量控制要求。</w:t>
      </w:r>
    </w:p>
    <w:p w:rsidR="00F37AE2" w:rsidRPr="00F37AE2" w:rsidRDefault="00F37AE2" w:rsidP="00F37AE2">
      <w:pPr>
        <w:widowControl/>
        <w:shd w:val="clear" w:color="auto" w:fill="FFFFFF"/>
        <w:spacing w:line="560" w:lineRule="atLeast"/>
        <w:ind w:firstLine="643"/>
        <w:jc w:val="left"/>
        <w:rPr>
          <w:rFonts w:ascii="仿宋" w:eastAsia="仿宋" w:hAnsi="仿宋" w:cs="宋体" w:hint="eastAsia"/>
          <w:color w:val="333333"/>
          <w:kern w:val="0"/>
          <w:sz w:val="24"/>
          <w:szCs w:val="24"/>
        </w:rPr>
      </w:pPr>
      <w:r w:rsidRPr="00F37AE2">
        <w:rPr>
          <w:rFonts w:ascii="仿宋" w:eastAsia="仿宋" w:hAnsi="仿宋" w:cs="宋体" w:hint="eastAsia"/>
          <w:b/>
          <w:bCs/>
          <w:color w:val="333333"/>
          <w:kern w:val="0"/>
          <w:sz w:val="32"/>
          <w:szCs w:val="32"/>
        </w:rPr>
        <w:t>二是进一步扩大预算绩效管理范围。</w:t>
      </w:r>
      <w:r w:rsidRPr="00F37AE2">
        <w:rPr>
          <w:rFonts w:ascii="仿宋" w:eastAsia="仿宋" w:hAnsi="仿宋" w:cs="宋体" w:hint="eastAsia"/>
          <w:color w:val="000000"/>
          <w:kern w:val="0"/>
          <w:sz w:val="32"/>
          <w:szCs w:val="32"/>
        </w:rPr>
        <w:t>结合我县实际情况，对财政专项支出达到一定数额以上的项目，都要进行绩效评价的自评工作。通过自评工作的开展，可以有效地促使项目单位和主管部门真正树立起绩效评价的理念。建立绩效评价专家库队伍，以适应开展项目评价的需要。</w:t>
      </w:r>
    </w:p>
    <w:p w:rsidR="00F37AE2" w:rsidRPr="00F37AE2" w:rsidRDefault="00F37AE2" w:rsidP="00F37AE2">
      <w:pPr>
        <w:widowControl/>
        <w:shd w:val="clear" w:color="auto" w:fill="FFFFFF"/>
        <w:wordWrap w:val="0"/>
        <w:spacing w:line="560" w:lineRule="atLeast"/>
        <w:ind w:firstLine="643"/>
        <w:jc w:val="left"/>
        <w:rPr>
          <w:rFonts w:ascii="仿宋" w:eastAsia="仿宋" w:hAnsi="仿宋" w:cs="宋体" w:hint="eastAsia"/>
          <w:color w:val="000000"/>
          <w:kern w:val="0"/>
          <w:sz w:val="32"/>
          <w:szCs w:val="32"/>
        </w:rPr>
      </w:pPr>
      <w:r w:rsidRPr="00F37AE2">
        <w:rPr>
          <w:rFonts w:ascii="仿宋" w:eastAsia="仿宋" w:hAnsi="仿宋" w:cs="宋体" w:hint="eastAsia"/>
          <w:b/>
          <w:bCs/>
          <w:color w:val="333333"/>
          <w:kern w:val="0"/>
          <w:sz w:val="32"/>
          <w:szCs w:val="32"/>
        </w:rPr>
        <w:t>三是进一步</w:t>
      </w:r>
      <w:r w:rsidRPr="00F37AE2">
        <w:rPr>
          <w:rFonts w:ascii="仿宋" w:eastAsia="仿宋" w:hAnsi="仿宋" w:cs="宋体" w:hint="eastAsia"/>
          <w:b/>
          <w:bCs/>
          <w:color w:val="000000"/>
          <w:kern w:val="0"/>
          <w:sz w:val="32"/>
          <w:szCs w:val="32"/>
        </w:rPr>
        <w:t>探索预算绩效评价结果的应用。</w:t>
      </w:r>
      <w:r w:rsidRPr="00F37AE2">
        <w:rPr>
          <w:rFonts w:ascii="仿宋" w:eastAsia="仿宋" w:hAnsi="仿宋" w:cs="宋体" w:hint="eastAsia"/>
          <w:color w:val="000000"/>
          <w:kern w:val="0"/>
          <w:sz w:val="32"/>
          <w:szCs w:val="32"/>
        </w:rPr>
        <w:t>通过完善信息公开机制，公开绩效评价结果，更加直接地接收公众的意见。探索将评价结果与预算资金安排挂钩，将评价结果作为下一年度预算安排的依据，按照“效率优先，兼顾公平”的分配原则，对资金使用效益较好的项目，在编制预算时优先安排；对资金使用效益不好的部门和单位，减少或停止其项目资金的供给，并予以通报批评。</w:t>
      </w:r>
    </w:p>
    <w:p w:rsidR="00F37AE2" w:rsidRDefault="00F37AE2" w:rsidP="00F37AE2">
      <w:pPr>
        <w:pStyle w:val="1"/>
        <w:shd w:val="clear" w:color="auto" w:fill="FFFFFF"/>
        <w:spacing w:before="0" w:beforeAutospacing="0" w:after="0" w:afterAutospacing="0" w:line="720" w:lineRule="atLeast"/>
        <w:jc w:val="center"/>
        <w:rPr>
          <w:rFonts w:ascii="仿宋" w:eastAsia="仿宋" w:hAnsi="仿宋" w:hint="eastAsia"/>
          <w:bCs w:val="0"/>
          <w:color w:val="333333"/>
          <w:sz w:val="44"/>
          <w:szCs w:val="44"/>
        </w:rPr>
      </w:pPr>
      <w:r w:rsidRPr="00F37AE2">
        <w:rPr>
          <w:rFonts w:ascii="仿宋" w:eastAsia="仿宋" w:hAnsi="仿宋" w:hint="eastAsia"/>
          <w:bCs w:val="0"/>
          <w:color w:val="333333"/>
          <w:sz w:val="44"/>
          <w:szCs w:val="44"/>
        </w:rPr>
        <w:lastRenderedPageBreak/>
        <w:t>关于2020年重点项目绩效评价</w:t>
      </w:r>
    </w:p>
    <w:p w:rsidR="00F37AE2" w:rsidRPr="00F37AE2" w:rsidRDefault="00F37AE2" w:rsidP="00F37AE2">
      <w:pPr>
        <w:pStyle w:val="1"/>
        <w:shd w:val="clear" w:color="auto" w:fill="FFFFFF"/>
        <w:spacing w:before="0" w:beforeAutospacing="0" w:after="0" w:afterAutospacing="0" w:line="720" w:lineRule="atLeast"/>
        <w:jc w:val="center"/>
        <w:rPr>
          <w:rFonts w:ascii="仿宋" w:eastAsia="仿宋" w:hAnsi="仿宋"/>
          <w:bCs w:val="0"/>
          <w:color w:val="333333"/>
          <w:sz w:val="44"/>
          <w:szCs w:val="44"/>
        </w:rPr>
      </w:pPr>
      <w:r w:rsidRPr="00F37AE2">
        <w:rPr>
          <w:rFonts w:ascii="仿宋" w:eastAsia="仿宋" w:hAnsi="仿宋" w:hint="eastAsia"/>
          <w:bCs w:val="0"/>
          <w:color w:val="333333"/>
          <w:sz w:val="44"/>
          <w:szCs w:val="44"/>
        </w:rPr>
        <w:t>工作的报告</w:t>
      </w:r>
    </w:p>
    <w:p w:rsidR="00F37AE2" w:rsidRDefault="00F37AE2" w:rsidP="00F37AE2">
      <w:pPr>
        <w:widowControl/>
        <w:shd w:val="clear" w:color="auto" w:fill="FFFFFF"/>
        <w:wordWrap w:val="0"/>
        <w:spacing w:line="560" w:lineRule="atLeast"/>
        <w:ind w:firstLine="643"/>
        <w:jc w:val="left"/>
        <w:rPr>
          <w:rFonts w:ascii="微软雅黑" w:eastAsia="微软雅黑" w:hAnsi="微软雅黑" w:cs="宋体" w:hint="eastAsia"/>
          <w:color w:val="333333"/>
          <w:kern w:val="0"/>
          <w:sz w:val="24"/>
          <w:szCs w:val="24"/>
        </w:rPr>
      </w:pPr>
    </w:p>
    <w:p w:rsidR="00F37AE2" w:rsidRPr="00F37AE2" w:rsidRDefault="00F37AE2" w:rsidP="00F37AE2">
      <w:pPr>
        <w:widowControl/>
        <w:shd w:val="clear" w:color="auto" w:fill="FFFFFF"/>
        <w:spacing w:line="560" w:lineRule="atLeast"/>
        <w:ind w:left="181" w:firstLine="627"/>
        <w:rPr>
          <w:rFonts w:ascii="仿宋" w:eastAsia="仿宋" w:hAnsi="仿宋" w:cs="宋体"/>
          <w:color w:val="333333"/>
          <w:kern w:val="0"/>
          <w:sz w:val="24"/>
          <w:szCs w:val="24"/>
        </w:rPr>
      </w:pPr>
      <w:r w:rsidRPr="00F37AE2">
        <w:rPr>
          <w:rFonts w:ascii="仿宋" w:eastAsia="仿宋" w:hAnsi="仿宋" w:cs="宋体" w:hint="eastAsia"/>
          <w:color w:val="333333"/>
          <w:kern w:val="0"/>
          <w:sz w:val="32"/>
          <w:szCs w:val="32"/>
        </w:rPr>
        <w:t>为进一步深化公共财政支出改革，规范财政专项资金管理，提高财政资金使用效益，安徽金海会计师事务所接受委托，在凤台县财政局的指导、协调下，在凤台县水利局、凤台县农业农村局、凤台县经济和信息化委员会、凤台县教育局、民政局、县</w:t>
      </w:r>
      <w:proofErr w:type="gramStart"/>
      <w:r w:rsidRPr="00F37AE2">
        <w:rPr>
          <w:rFonts w:ascii="仿宋" w:eastAsia="仿宋" w:hAnsi="仿宋" w:cs="宋体" w:hint="eastAsia"/>
          <w:color w:val="333333"/>
          <w:kern w:val="0"/>
          <w:sz w:val="32"/>
          <w:szCs w:val="32"/>
        </w:rPr>
        <w:t>农饮办</w:t>
      </w:r>
      <w:proofErr w:type="gramEnd"/>
      <w:r w:rsidRPr="00F37AE2">
        <w:rPr>
          <w:rFonts w:ascii="仿宋" w:eastAsia="仿宋" w:hAnsi="仿宋" w:cs="宋体" w:hint="eastAsia"/>
          <w:color w:val="333333"/>
          <w:kern w:val="0"/>
          <w:sz w:val="32"/>
          <w:szCs w:val="32"/>
        </w:rPr>
        <w:t>、交通局、市容管理局及凤台县住房和城乡建设局的积极配合下，组成评价组，于2020年11月18日至12月25日，对凤台县财政局申报的2020年财政重点绩效评价项目(评价2019年项目）进行了绩效评价。现将评价情况报告如下：</w:t>
      </w:r>
    </w:p>
    <w:p w:rsidR="00F37AE2" w:rsidRPr="00F37AE2" w:rsidRDefault="00F37AE2" w:rsidP="00F37AE2">
      <w:pPr>
        <w:widowControl/>
        <w:shd w:val="clear" w:color="auto" w:fill="FFFFFF"/>
        <w:spacing w:line="560" w:lineRule="atLeast"/>
        <w:ind w:left="181" w:firstLine="627"/>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一、基本情况</w:t>
      </w:r>
    </w:p>
    <w:p w:rsidR="00F37AE2" w:rsidRPr="00F37AE2" w:rsidRDefault="00F37AE2" w:rsidP="00F37AE2">
      <w:pPr>
        <w:widowControl/>
        <w:shd w:val="clear" w:color="auto" w:fill="FFFFFF"/>
        <w:spacing w:line="560" w:lineRule="atLeast"/>
        <w:ind w:left="181" w:firstLine="627"/>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本次评价包含17个项目（不含2020年产粮大县奖励资金项目）。</w:t>
      </w:r>
      <w:r w:rsidRPr="00F37AE2">
        <w:rPr>
          <w:rFonts w:ascii="仿宋" w:eastAsia="仿宋" w:hAnsi="微软雅黑" w:cs="宋体" w:hint="eastAsia"/>
          <w:color w:val="333333"/>
          <w:kern w:val="0"/>
          <w:sz w:val="32"/>
          <w:szCs w:val="32"/>
        </w:rPr>
        <w:t> </w:t>
      </w:r>
    </w:p>
    <w:p w:rsidR="00F37AE2" w:rsidRPr="00F37AE2" w:rsidRDefault="00F37AE2" w:rsidP="00F37AE2">
      <w:pPr>
        <w:widowControl/>
        <w:shd w:val="clear" w:color="auto" w:fill="FFFFFF"/>
        <w:spacing w:line="560" w:lineRule="atLeast"/>
        <w:ind w:left="181" w:firstLine="627"/>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（一）评价得分90分（含90分）以上有6个项目，分别为：</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1、凤台县农业农村局“凤台县农机购置补贴项目”；</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2、凤台县教育局“城乡义务教育补助”；</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3、凤台县教育局“经济困难学生资助”；</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4、民政局“自主就业金自谋职业及生活补助”；</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lastRenderedPageBreak/>
        <w:t>5、市容管理局“2018年列支资金调剂]财政部下达2018年中西部重点领域基础设施补短板补助资金-凤台县城乡环卫一体化（生活垃圾治理）PPP项目-财建[2018]1682号-淮财密[2018]37号”；</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6、凤台县住房和城乡建设局“2019年</w:t>
      </w:r>
      <w:proofErr w:type="gramStart"/>
      <w:r w:rsidRPr="00F37AE2">
        <w:rPr>
          <w:rFonts w:ascii="仿宋" w:eastAsia="仿宋" w:hAnsi="仿宋" w:cs="宋体" w:hint="eastAsia"/>
          <w:color w:val="333333"/>
          <w:kern w:val="0"/>
          <w:sz w:val="32"/>
          <w:szCs w:val="32"/>
        </w:rPr>
        <w:t>廉</w:t>
      </w:r>
      <w:proofErr w:type="gramEnd"/>
      <w:r w:rsidRPr="00F37AE2">
        <w:rPr>
          <w:rFonts w:ascii="仿宋" w:eastAsia="仿宋" w:hAnsi="仿宋" w:cs="宋体" w:hint="eastAsia"/>
          <w:color w:val="333333"/>
          <w:kern w:val="0"/>
          <w:sz w:val="32"/>
          <w:szCs w:val="32"/>
        </w:rPr>
        <w:t>租房补贴支出”。</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（二）评价得分80-90分（含80分）有10个项目，分别为：</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1、凤台县水利局“凤台县李冲回族乡邱家沟生态清洁小流域水土保持综合治理工程”；</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2、凤台县农业农村局“凤台县新型职业农民培训项目”；</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3、凤台县经济和信息化委员会“拨付2019年省中小企业（民营经济）发展专项资金-皖财企[2019]1325号”；</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4、凤台县经济和信息化委员会“安徽省财政厅关于拨付2019年制造强省建设资金-皖财企【2019】1325号”；</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5、凤台县教育局“义务教育薄弱环节改善与能力提升补助”；</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6、民政局“老龄经费（社会养老服务体系建设）”；</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7、民政局“重残生活护理补贴”；</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8、县</w:t>
      </w:r>
      <w:proofErr w:type="gramStart"/>
      <w:r w:rsidRPr="00F37AE2">
        <w:rPr>
          <w:rFonts w:ascii="仿宋" w:eastAsia="仿宋" w:hAnsi="仿宋" w:cs="宋体" w:hint="eastAsia"/>
          <w:color w:val="333333"/>
          <w:kern w:val="0"/>
          <w:sz w:val="32"/>
          <w:szCs w:val="32"/>
        </w:rPr>
        <w:t>农饮办</w:t>
      </w:r>
      <w:proofErr w:type="gramEnd"/>
      <w:r w:rsidRPr="00F37AE2">
        <w:rPr>
          <w:rFonts w:ascii="仿宋" w:eastAsia="仿宋" w:hAnsi="仿宋" w:cs="宋体" w:hint="eastAsia"/>
          <w:color w:val="333333"/>
          <w:kern w:val="0"/>
          <w:sz w:val="32"/>
          <w:szCs w:val="32"/>
        </w:rPr>
        <w:t>“2019年农村饮水安全巩固提升工程”；</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9、交通局“农村公路养护工程补助经费（财建[2018]1470号）”；</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10、凤台县住房和城乡建设局“老旧小区改造资金”。</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lastRenderedPageBreak/>
        <w:t>（三）评价得分70-80分（含70分）有1个项目，为凤台县经济和信息化委员会“2018年度外贸进出口奖励和补助资金”。</w:t>
      </w:r>
    </w:p>
    <w:p w:rsidR="00F37AE2" w:rsidRPr="00F37AE2" w:rsidRDefault="00F37AE2" w:rsidP="00F37AE2">
      <w:pPr>
        <w:widowControl/>
        <w:shd w:val="clear" w:color="auto" w:fill="FFFFFF"/>
        <w:spacing w:line="560" w:lineRule="atLeast"/>
        <w:ind w:left="181" w:firstLine="627"/>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二、存在的共性问题</w:t>
      </w:r>
    </w:p>
    <w:p w:rsidR="00F37AE2" w:rsidRPr="00F37AE2" w:rsidRDefault="00F37AE2" w:rsidP="00F37AE2">
      <w:pPr>
        <w:widowControl/>
        <w:shd w:val="clear" w:color="auto" w:fill="FFFFFF"/>
        <w:spacing w:line="560" w:lineRule="atLeast"/>
        <w:ind w:left="181" w:firstLine="627"/>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1、绩效目标的设定不太合理，绩效目标完成情况考核资料不充分。</w:t>
      </w:r>
    </w:p>
    <w:p w:rsidR="00F37AE2" w:rsidRPr="00F37AE2" w:rsidRDefault="00F37AE2" w:rsidP="00F37AE2">
      <w:pPr>
        <w:widowControl/>
        <w:shd w:val="clear" w:color="auto" w:fill="FFFFFF"/>
        <w:spacing w:line="560" w:lineRule="atLeast"/>
        <w:ind w:firstLine="96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绩效目标的产出指标设置不够明晰、细化，不便于考核和对后期工作的指导。因为绩效目标设置的缺陷，导致在进行绩效目标考核时会存在资料收集方面的不完善。</w:t>
      </w:r>
    </w:p>
    <w:p w:rsidR="00F37AE2" w:rsidRPr="00F37AE2" w:rsidRDefault="00F37AE2" w:rsidP="00F37AE2">
      <w:pPr>
        <w:widowControl/>
        <w:shd w:val="clear" w:color="auto" w:fill="FFFFFF"/>
        <w:spacing w:line="560" w:lineRule="atLeast"/>
        <w:ind w:firstLine="96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建议完善项目绩效目标，应通过对项目效益目标的分析、分解，明确责任，为项目建设过程中相关政策的落实、资金的使用提供更有效的指导和保障。</w:t>
      </w:r>
    </w:p>
    <w:p w:rsidR="00F37AE2" w:rsidRPr="00F37AE2" w:rsidRDefault="00F37AE2" w:rsidP="00F37AE2">
      <w:pPr>
        <w:widowControl/>
        <w:shd w:val="clear" w:color="auto" w:fill="FFFFFF"/>
        <w:spacing w:line="560" w:lineRule="atLeast"/>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2、项目效益方面缺少实质性的数据和资料。</w:t>
      </w:r>
    </w:p>
    <w:p w:rsidR="00F37AE2" w:rsidRPr="00F37AE2" w:rsidRDefault="00F37AE2" w:rsidP="00F37AE2">
      <w:pPr>
        <w:widowControl/>
        <w:shd w:val="clear" w:color="auto" w:fill="FFFFFF"/>
        <w:spacing w:line="560" w:lineRule="atLeast"/>
        <w:ind w:firstLine="640"/>
        <w:rPr>
          <w:rFonts w:ascii="仿宋" w:eastAsia="仿宋" w:hAnsi="仿宋" w:cs="宋体" w:hint="eastAsia"/>
          <w:color w:val="333333"/>
          <w:kern w:val="0"/>
          <w:sz w:val="24"/>
          <w:szCs w:val="24"/>
        </w:rPr>
      </w:pPr>
      <w:r w:rsidRPr="00F37AE2">
        <w:rPr>
          <w:rFonts w:ascii="仿宋" w:eastAsia="仿宋" w:hAnsi="仿宋" w:cs="宋体" w:hint="eastAsia"/>
          <w:color w:val="333333"/>
          <w:kern w:val="0"/>
          <w:sz w:val="32"/>
          <w:szCs w:val="32"/>
        </w:rPr>
        <w:t>对于反映项目实施绩效目标的实现情况的资料的收集和整理比较欠缺。建议，加强对项目实施的必要性和效果的了解，设置更合理可考的目标，并据此进行收集和整理资料。</w:t>
      </w:r>
    </w:p>
    <w:p w:rsidR="00F37AE2" w:rsidRDefault="00F37AE2" w:rsidP="00F37AE2">
      <w:pPr>
        <w:widowControl/>
        <w:shd w:val="clear" w:color="auto" w:fill="FFFFFF"/>
        <w:wordWrap w:val="0"/>
        <w:spacing w:line="560" w:lineRule="atLeast"/>
        <w:ind w:firstLine="643"/>
        <w:jc w:val="left"/>
        <w:rPr>
          <w:rFonts w:ascii="仿宋" w:eastAsia="仿宋" w:hAnsi="仿宋" w:cs="宋体" w:hint="eastAsia"/>
          <w:color w:val="333333"/>
          <w:kern w:val="0"/>
          <w:sz w:val="24"/>
          <w:szCs w:val="24"/>
        </w:rPr>
      </w:pPr>
    </w:p>
    <w:p w:rsidR="00F37AE2" w:rsidRDefault="00F37AE2" w:rsidP="00F37AE2">
      <w:pPr>
        <w:widowControl/>
        <w:shd w:val="clear" w:color="auto" w:fill="FFFFFF"/>
        <w:wordWrap w:val="0"/>
        <w:spacing w:line="560" w:lineRule="atLeast"/>
        <w:ind w:firstLine="643"/>
        <w:jc w:val="left"/>
        <w:rPr>
          <w:rFonts w:ascii="仿宋" w:eastAsia="仿宋" w:hAnsi="仿宋" w:cs="宋体" w:hint="eastAsia"/>
          <w:color w:val="333333"/>
          <w:kern w:val="0"/>
          <w:sz w:val="24"/>
          <w:szCs w:val="24"/>
        </w:rPr>
      </w:pPr>
    </w:p>
    <w:p w:rsidR="00F37AE2" w:rsidRDefault="00F37AE2" w:rsidP="00F37AE2">
      <w:pPr>
        <w:widowControl/>
        <w:shd w:val="clear" w:color="auto" w:fill="FFFFFF"/>
        <w:wordWrap w:val="0"/>
        <w:spacing w:line="560" w:lineRule="atLeast"/>
        <w:ind w:firstLine="643"/>
        <w:jc w:val="left"/>
        <w:rPr>
          <w:rFonts w:ascii="仿宋" w:eastAsia="仿宋" w:hAnsi="仿宋" w:cs="宋体" w:hint="eastAsia"/>
          <w:color w:val="333333"/>
          <w:kern w:val="0"/>
          <w:sz w:val="24"/>
          <w:szCs w:val="24"/>
        </w:rPr>
      </w:pPr>
    </w:p>
    <w:p w:rsidR="00F37AE2" w:rsidRDefault="00F37AE2" w:rsidP="00F37AE2">
      <w:pPr>
        <w:widowControl/>
        <w:shd w:val="clear" w:color="auto" w:fill="FFFFFF"/>
        <w:wordWrap w:val="0"/>
        <w:spacing w:line="560" w:lineRule="atLeast"/>
        <w:ind w:firstLine="643"/>
        <w:jc w:val="left"/>
        <w:rPr>
          <w:rFonts w:ascii="仿宋" w:eastAsia="仿宋" w:hAnsi="仿宋" w:cs="宋体" w:hint="eastAsia"/>
          <w:color w:val="333333"/>
          <w:kern w:val="0"/>
          <w:sz w:val="24"/>
          <w:szCs w:val="24"/>
        </w:rPr>
      </w:pPr>
    </w:p>
    <w:p w:rsidR="00F37AE2" w:rsidRDefault="00F37AE2" w:rsidP="00F37AE2">
      <w:pPr>
        <w:widowControl/>
        <w:shd w:val="clear" w:color="auto" w:fill="FFFFFF"/>
        <w:wordWrap w:val="0"/>
        <w:spacing w:line="560" w:lineRule="atLeast"/>
        <w:ind w:firstLine="643"/>
        <w:jc w:val="left"/>
        <w:rPr>
          <w:rFonts w:ascii="仿宋" w:eastAsia="仿宋" w:hAnsi="仿宋" w:cs="宋体" w:hint="eastAsia"/>
          <w:color w:val="333333"/>
          <w:kern w:val="0"/>
          <w:sz w:val="24"/>
          <w:szCs w:val="24"/>
        </w:rPr>
      </w:pPr>
    </w:p>
    <w:p w:rsidR="00F37AE2" w:rsidRDefault="00F37AE2" w:rsidP="00F37AE2">
      <w:pPr>
        <w:widowControl/>
        <w:shd w:val="clear" w:color="auto" w:fill="FFFFFF"/>
        <w:wordWrap w:val="0"/>
        <w:spacing w:line="560" w:lineRule="atLeast"/>
        <w:ind w:firstLine="643"/>
        <w:jc w:val="left"/>
        <w:rPr>
          <w:rFonts w:ascii="仿宋" w:eastAsia="仿宋" w:hAnsi="仿宋" w:cs="宋体" w:hint="eastAsia"/>
          <w:color w:val="333333"/>
          <w:kern w:val="0"/>
          <w:sz w:val="24"/>
          <w:szCs w:val="24"/>
        </w:rPr>
      </w:pPr>
    </w:p>
    <w:p w:rsidR="00F37AE2" w:rsidRDefault="00F37AE2" w:rsidP="00F37AE2">
      <w:pPr>
        <w:widowControl/>
        <w:shd w:val="clear" w:color="auto" w:fill="FFFFFF"/>
        <w:wordWrap w:val="0"/>
        <w:spacing w:line="560" w:lineRule="atLeast"/>
        <w:ind w:firstLine="643"/>
        <w:jc w:val="left"/>
        <w:rPr>
          <w:rFonts w:ascii="仿宋" w:eastAsia="仿宋" w:hAnsi="仿宋" w:cs="宋体" w:hint="eastAsia"/>
          <w:color w:val="333333"/>
          <w:kern w:val="0"/>
          <w:sz w:val="24"/>
          <w:szCs w:val="24"/>
        </w:rPr>
      </w:pPr>
    </w:p>
    <w:p w:rsidR="00F37AE2" w:rsidRDefault="00F37AE2" w:rsidP="00F37AE2">
      <w:pPr>
        <w:widowControl/>
        <w:shd w:val="clear" w:color="auto" w:fill="FFFFFF"/>
        <w:wordWrap w:val="0"/>
        <w:spacing w:line="560" w:lineRule="atLeast"/>
        <w:ind w:firstLine="643"/>
        <w:jc w:val="left"/>
        <w:rPr>
          <w:rFonts w:ascii="仿宋" w:eastAsia="仿宋" w:hAnsi="仿宋" w:cs="宋体"/>
          <w:color w:val="333333"/>
          <w:kern w:val="0"/>
          <w:sz w:val="24"/>
          <w:szCs w:val="24"/>
        </w:rPr>
        <w:sectPr w:rsidR="00F37AE2" w:rsidSect="00F37AE2">
          <w:footerReference w:type="default" r:id="rId7"/>
          <w:pgSz w:w="11906" w:h="16838"/>
          <w:pgMar w:top="1440" w:right="1800" w:bottom="1440" w:left="1800" w:header="851" w:footer="992" w:gutter="0"/>
          <w:cols w:space="425"/>
          <w:docGrid w:type="lines" w:linePitch="312"/>
        </w:sectPr>
      </w:pPr>
    </w:p>
    <w:tbl>
      <w:tblPr>
        <w:tblW w:w="14140" w:type="dxa"/>
        <w:tblInd w:w="93" w:type="dxa"/>
        <w:tblLook w:val="04A0"/>
      </w:tblPr>
      <w:tblGrid>
        <w:gridCol w:w="580"/>
        <w:gridCol w:w="1240"/>
        <w:gridCol w:w="2360"/>
        <w:gridCol w:w="3840"/>
        <w:gridCol w:w="1480"/>
        <w:gridCol w:w="3240"/>
        <w:gridCol w:w="1400"/>
      </w:tblGrid>
      <w:tr w:rsidR="00F37AE2" w:rsidRPr="00F37AE2" w:rsidTr="00F37AE2">
        <w:trPr>
          <w:trHeight w:val="795"/>
        </w:trPr>
        <w:tc>
          <w:tcPr>
            <w:tcW w:w="14140" w:type="dxa"/>
            <w:gridSpan w:val="7"/>
            <w:tcBorders>
              <w:top w:val="nil"/>
              <w:left w:val="nil"/>
              <w:bottom w:val="nil"/>
              <w:right w:val="nil"/>
            </w:tcBorders>
            <w:shd w:val="clear" w:color="auto" w:fill="auto"/>
            <w:noWrap/>
            <w:vAlign w:val="center"/>
            <w:hideMark/>
          </w:tcPr>
          <w:p w:rsidR="00F37AE2" w:rsidRPr="00F37AE2" w:rsidRDefault="00F37AE2" w:rsidP="00F37AE2">
            <w:pPr>
              <w:widowControl/>
              <w:jc w:val="center"/>
              <w:rPr>
                <w:rFonts w:ascii="黑体" w:eastAsia="黑体" w:hAnsi="黑体" w:cs="宋体"/>
                <w:b/>
                <w:bCs/>
                <w:color w:val="000000"/>
                <w:kern w:val="0"/>
                <w:sz w:val="40"/>
                <w:szCs w:val="40"/>
              </w:rPr>
            </w:pPr>
            <w:r w:rsidRPr="00F37AE2">
              <w:rPr>
                <w:rFonts w:ascii="黑体" w:eastAsia="黑体" w:hAnsi="黑体" w:cs="宋体" w:hint="eastAsia"/>
                <w:b/>
                <w:bCs/>
                <w:color w:val="000000"/>
                <w:kern w:val="0"/>
                <w:sz w:val="40"/>
                <w:szCs w:val="40"/>
              </w:rPr>
              <w:lastRenderedPageBreak/>
              <w:t>2020年财政重点绩效评价项目评价结果明细表</w:t>
            </w:r>
          </w:p>
        </w:tc>
      </w:tr>
      <w:tr w:rsidR="00F37AE2" w:rsidRPr="00F37AE2" w:rsidTr="00F37AE2">
        <w:trPr>
          <w:trHeight w:val="69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序号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股室 </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单位名称</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项目名称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金额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备注</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绩效指标得分</w:t>
            </w:r>
          </w:p>
        </w:tc>
      </w:tr>
      <w:tr w:rsidR="00F37AE2" w:rsidRPr="00F37AE2" w:rsidTr="00F37AE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1</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农业股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凤台县水利局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凤台县李冲回族乡邱家沟生态清洁小流域水土保持综合治理工程</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490.00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88.5</w:t>
            </w:r>
          </w:p>
        </w:tc>
      </w:tr>
      <w:tr w:rsidR="00F37AE2" w:rsidRPr="00F37AE2" w:rsidTr="00F37AE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2</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农业股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凤台县农业农村局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凤台县农机购置补贴项目</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1,681.32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91.5</w:t>
            </w:r>
          </w:p>
        </w:tc>
      </w:tr>
      <w:tr w:rsidR="00F37AE2" w:rsidRPr="00F37AE2" w:rsidTr="00F37AE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3</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农业股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凤台县农业农村局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凤台县新型职业农民培训项目</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117.00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89.5</w:t>
            </w:r>
          </w:p>
        </w:tc>
      </w:tr>
      <w:tr w:rsidR="00F37AE2" w:rsidRPr="00F37AE2" w:rsidTr="00F37AE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4</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企业股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凤台县经济和信息化委员会</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left"/>
              <w:rPr>
                <w:rFonts w:ascii="宋体" w:hAnsi="宋体" w:cs="宋体"/>
                <w:kern w:val="0"/>
                <w:sz w:val="20"/>
                <w:szCs w:val="20"/>
              </w:rPr>
            </w:pPr>
            <w:r w:rsidRPr="00F37AE2">
              <w:rPr>
                <w:rFonts w:ascii="宋体" w:hAnsi="宋体" w:cs="宋体" w:hint="eastAsia"/>
                <w:kern w:val="0"/>
                <w:sz w:val="20"/>
                <w:szCs w:val="20"/>
              </w:rPr>
              <w:t>拨付2019年省中小企业（民营经济）发展专项资金-</w:t>
            </w:r>
            <w:proofErr w:type="gramStart"/>
            <w:r w:rsidRPr="00F37AE2">
              <w:rPr>
                <w:rFonts w:ascii="宋体" w:hAnsi="宋体" w:cs="宋体" w:hint="eastAsia"/>
                <w:kern w:val="0"/>
                <w:sz w:val="20"/>
                <w:szCs w:val="20"/>
              </w:rPr>
              <w:t>皖财企</w:t>
            </w:r>
            <w:proofErr w:type="gramEnd"/>
            <w:r w:rsidRPr="00F37AE2">
              <w:rPr>
                <w:rFonts w:ascii="宋体" w:hAnsi="宋体" w:cs="宋体" w:hint="eastAsia"/>
                <w:kern w:val="0"/>
                <w:sz w:val="20"/>
                <w:szCs w:val="20"/>
              </w:rPr>
              <w:t>[2019]1325号</w:t>
            </w:r>
          </w:p>
        </w:tc>
        <w:tc>
          <w:tcPr>
            <w:tcW w:w="1480" w:type="dxa"/>
            <w:tcBorders>
              <w:top w:val="nil"/>
              <w:left w:val="nil"/>
              <w:bottom w:val="nil"/>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20"/>
                <w:szCs w:val="20"/>
              </w:rPr>
            </w:pPr>
            <w:r w:rsidRPr="00F37AE2">
              <w:rPr>
                <w:rFonts w:ascii="宋体" w:hAnsi="宋体" w:cs="宋体" w:hint="eastAsia"/>
                <w:kern w:val="0"/>
                <w:sz w:val="20"/>
                <w:szCs w:val="20"/>
              </w:rPr>
              <w:t xml:space="preserve">      120.00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81.5</w:t>
            </w:r>
          </w:p>
        </w:tc>
      </w:tr>
      <w:tr w:rsidR="00F37AE2" w:rsidRPr="00F37AE2" w:rsidTr="00F37AE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5</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企业股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凤台县经济和信息化委员会</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20"/>
                <w:szCs w:val="20"/>
              </w:rPr>
            </w:pPr>
            <w:r w:rsidRPr="00F37AE2">
              <w:rPr>
                <w:rFonts w:ascii="宋体" w:hAnsi="宋体" w:cs="宋体" w:hint="eastAsia"/>
                <w:kern w:val="0"/>
                <w:sz w:val="20"/>
                <w:szCs w:val="20"/>
              </w:rPr>
              <w:t>安徽省财政厅关于拨付2019年制造强省建设资金-</w:t>
            </w:r>
            <w:proofErr w:type="gramStart"/>
            <w:r w:rsidRPr="00F37AE2">
              <w:rPr>
                <w:rFonts w:ascii="宋体" w:hAnsi="宋体" w:cs="宋体" w:hint="eastAsia"/>
                <w:kern w:val="0"/>
                <w:sz w:val="20"/>
                <w:szCs w:val="20"/>
              </w:rPr>
              <w:t>皖财企</w:t>
            </w:r>
            <w:proofErr w:type="gramEnd"/>
            <w:r w:rsidRPr="00F37AE2">
              <w:rPr>
                <w:rFonts w:ascii="宋体" w:hAnsi="宋体" w:cs="宋体" w:hint="eastAsia"/>
                <w:kern w:val="0"/>
                <w:sz w:val="20"/>
                <w:szCs w:val="20"/>
              </w:rPr>
              <w:t>【2019】1325号</w:t>
            </w:r>
          </w:p>
        </w:tc>
        <w:tc>
          <w:tcPr>
            <w:tcW w:w="1480" w:type="dxa"/>
            <w:tcBorders>
              <w:top w:val="single" w:sz="4" w:space="0" w:color="auto"/>
              <w:left w:val="nil"/>
              <w:bottom w:val="nil"/>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20"/>
                <w:szCs w:val="20"/>
              </w:rPr>
            </w:pPr>
            <w:r w:rsidRPr="00F37AE2">
              <w:rPr>
                <w:rFonts w:ascii="宋体" w:hAnsi="宋体" w:cs="宋体" w:hint="eastAsia"/>
                <w:kern w:val="0"/>
                <w:sz w:val="20"/>
                <w:szCs w:val="20"/>
              </w:rPr>
              <w:t xml:space="preserve">      464.00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83.17</w:t>
            </w:r>
          </w:p>
        </w:tc>
      </w:tr>
      <w:tr w:rsidR="00F37AE2" w:rsidRPr="00F37AE2" w:rsidTr="00F37AE2">
        <w:trPr>
          <w:trHeight w:val="6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6</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企业股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凤台县经济和信息化委员会</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left"/>
              <w:rPr>
                <w:rFonts w:ascii="Times New Roman" w:eastAsia="等线" w:hAnsi="Times New Roman"/>
                <w:kern w:val="0"/>
                <w:sz w:val="20"/>
                <w:szCs w:val="20"/>
              </w:rPr>
            </w:pPr>
            <w:r w:rsidRPr="00F37AE2">
              <w:rPr>
                <w:rFonts w:ascii="Times New Roman" w:eastAsia="等线" w:hAnsi="Times New Roman"/>
                <w:kern w:val="0"/>
                <w:sz w:val="20"/>
                <w:szCs w:val="20"/>
              </w:rPr>
              <w:t>2018</w:t>
            </w:r>
            <w:r w:rsidRPr="00F37AE2">
              <w:rPr>
                <w:rFonts w:ascii="宋体" w:hAnsi="宋体" w:hint="eastAsia"/>
                <w:kern w:val="0"/>
                <w:sz w:val="20"/>
                <w:szCs w:val="20"/>
              </w:rPr>
              <w:t>年度外贸进出口奖励和补助资金</w:t>
            </w:r>
          </w:p>
        </w:tc>
        <w:tc>
          <w:tcPr>
            <w:tcW w:w="1480" w:type="dxa"/>
            <w:tcBorders>
              <w:top w:val="single" w:sz="4" w:space="0" w:color="auto"/>
              <w:left w:val="nil"/>
              <w:bottom w:val="nil"/>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20"/>
                <w:szCs w:val="20"/>
              </w:rPr>
            </w:pPr>
            <w:r w:rsidRPr="00F37AE2">
              <w:rPr>
                <w:rFonts w:ascii="宋体" w:hAnsi="宋体" w:cs="宋体" w:hint="eastAsia"/>
                <w:kern w:val="0"/>
                <w:sz w:val="20"/>
                <w:szCs w:val="20"/>
              </w:rPr>
              <w:t xml:space="preserve">      244.79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72</w:t>
            </w:r>
          </w:p>
        </w:tc>
      </w:tr>
      <w:tr w:rsidR="00F37AE2" w:rsidRPr="00F37AE2" w:rsidTr="00F37AE2">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7</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教科文股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凤台县教育局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城乡义务教育补助</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9,223.85 </w:t>
            </w:r>
          </w:p>
        </w:tc>
        <w:tc>
          <w:tcPr>
            <w:tcW w:w="32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16"/>
                <w:szCs w:val="16"/>
              </w:rPr>
            </w:pPr>
            <w:r w:rsidRPr="00F37AE2">
              <w:rPr>
                <w:rFonts w:ascii="等线" w:eastAsia="等线" w:hAnsi="宋体" w:cs="宋体" w:hint="eastAsia"/>
                <w:kern w:val="0"/>
                <w:sz w:val="16"/>
                <w:szCs w:val="16"/>
              </w:rPr>
              <w:t>公用经费：上级5306.6万元、县级配套1008.65万元；免费教科书：869万元；贫困寄宿生：上级资金282.6万元、县级配套355万元；校舍维修;1402万元</w:t>
            </w:r>
          </w:p>
        </w:tc>
        <w:tc>
          <w:tcPr>
            <w:tcW w:w="140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16"/>
                <w:szCs w:val="16"/>
              </w:rPr>
            </w:pPr>
            <w:r w:rsidRPr="00F37AE2">
              <w:rPr>
                <w:rFonts w:ascii="等线" w:eastAsia="等线" w:hAnsi="宋体" w:cs="宋体" w:hint="eastAsia"/>
                <w:kern w:val="0"/>
                <w:sz w:val="16"/>
                <w:szCs w:val="16"/>
              </w:rPr>
              <w:t>90</w:t>
            </w:r>
          </w:p>
        </w:tc>
      </w:tr>
      <w:tr w:rsidR="00F37AE2" w:rsidRPr="00F37AE2" w:rsidTr="00F37AE2">
        <w:trPr>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教科文股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凤台县教育局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经济困难学生资助</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888.20 </w:t>
            </w:r>
          </w:p>
        </w:tc>
        <w:tc>
          <w:tcPr>
            <w:tcW w:w="32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16"/>
                <w:szCs w:val="16"/>
              </w:rPr>
            </w:pPr>
            <w:r w:rsidRPr="00F37AE2">
              <w:rPr>
                <w:rFonts w:ascii="等线" w:eastAsia="等线" w:hAnsi="宋体" w:cs="宋体" w:hint="eastAsia"/>
                <w:kern w:val="0"/>
                <w:sz w:val="16"/>
                <w:szCs w:val="16"/>
              </w:rPr>
              <w:t>高中：助学金282.8万元、免学费58.7万元；中职：助学金97.5万元、免学费449.2万元</w:t>
            </w:r>
          </w:p>
        </w:tc>
        <w:tc>
          <w:tcPr>
            <w:tcW w:w="140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16"/>
                <w:szCs w:val="16"/>
              </w:rPr>
            </w:pPr>
            <w:r w:rsidRPr="00F37AE2">
              <w:rPr>
                <w:rFonts w:ascii="等线" w:eastAsia="等线" w:hAnsi="宋体" w:cs="宋体" w:hint="eastAsia"/>
                <w:kern w:val="0"/>
                <w:sz w:val="16"/>
                <w:szCs w:val="16"/>
              </w:rPr>
              <w:t>91.5</w:t>
            </w:r>
          </w:p>
        </w:tc>
      </w:tr>
      <w:tr w:rsidR="00F37AE2" w:rsidRPr="00F37AE2" w:rsidTr="00F37AE2">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9</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教科文股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凤台县教育局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义务教育薄弱环节改善与能力提升补助</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741.00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82.5</w:t>
            </w:r>
          </w:p>
        </w:tc>
      </w:tr>
      <w:tr w:rsidR="00F37AE2" w:rsidRPr="00F37AE2" w:rsidTr="00F37AE2">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lastRenderedPageBreak/>
              <w:t>10</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社保股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民政局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老龄经费（社会养老服务体系建设）</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507.00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85</w:t>
            </w:r>
          </w:p>
        </w:tc>
      </w:tr>
      <w:tr w:rsidR="00F37AE2" w:rsidRPr="00F37AE2" w:rsidTr="00F37AE2">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11</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社保股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民政局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自主就业金自谋职业及生活补助</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1,200.00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93</w:t>
            </w:r>
          </w:p>
        </w:tc>
      </w:tr>
      <w:tr w:rsidR="00F37AE2" w:rsidRPr="00F37AE2" w:rsidTr="00F37AE2">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12</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社保股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民政局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重残生活护理补贴</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560.00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85</w:t>
            </w:r>
          </w:p>
        </w:tc>
      </w:tr>
      <w:tr w:rsidR="00F37AE2" w:rsidRPr="00F37AE2" w:rsidTr="00F37AE2">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13</w:t>
            </w:r>
          </w:p>
        </w:tc>
        <w:tc>
          <w:tcPr>
            <w:tcW w:w="1240" w:type="dxa"/>
            <w:tcBorders>
              <w:top w:val="nil"/>
              <w:left w:val="nil"/>
              <w:bottom w:val="nil"/>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proofErr w:type="gramStart"/>
            <w:r w:rsidRPr="00F37AE2">
              <w:rPr>
                <w:rFonts w:ascii="等线" w:eastAsia="等线" w:hAnsi="宋体" w:cs="宋体" w:hint="eastAsia"/>
                <w:kern w:val="0"/>
                <w:sz w:val="22"/>
              </w:rPr>
              <w:t>经建股</w:t>
            </w:r>
            <w:proofErr w:type="gramEnd"/>
          </w:p>
        </w:tc>
        <w:tc>
          <w:tcPr>
            <w:tcW w:w="2360" w:type="dxa"/>
            <w:tcBorders>
              <w:top w:val="nil"/>
              <w:left w:val="nil"/>
              <w:bottom w:val="nil"/>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22"/>
              </w:rPr>
            </w:pPr>
            <w:r w:rsidRPr="00F37AE2">
              <w:rPr>
                <w:rFonts w:ascii="宋体" w:hAnsi="宋体" w:cs="宋体" w:hint="eastAsia"/>
                <w:kern w:val="0"/>
                <w:sz w:val="22"/>
              </w:rPr>
              <w:t>县</w:t>
            </w:r>
            <w:proofErr w:type="gramStart"/>
            <w:r w:rsidRPr="00F37AE2">
              <w:rPr>
                <w:rFonts w:ascii="宋体" w:hAnsi="宋体" w:cs="宋体" w:hint="eastAsia"/>
                <w:kern w:val="0"/>
                <w:sz w:val="22"/>
              </w:rPr>
              <w:t>农饮办</w:t>
            </w:r>
            <w:proofErr w:type="gramEnd"/>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left"/>
              <w:rPr>
                <w:rFonts w:ascii="宋体" w:hAnsi="宋体" w:cs="宋体"/>
                <w:kern w:val="0"/>
                <w:sz w:val="22"/>
              </w:rPr>
            </w:pPr>
            <w:r w:rsidRPr="00F37AE2">
              <w:rPr>
                <w:rFonts w:ascii="宋体" w:hAnsi="宋体" w:cs="宋体" w:hint="eastAsia"/>
                <w:kern w:val="0"/>
                <w:sz w:val="22"/>
              </w:rPr>
              <w:t>2019年农村饮水安全巩固提升工程</w:t>
            </w:r>
          </w:p>
        </w:tc>
        <w:tc>
          <w:tcPr>
            <w:tcW w:w="1480" w:type="dxa"/>
            <w:tcBorders>
              <w:top w:val="nil"/>
              <w:left w:val="nil"/>
              <w:bottom w:val="single" w:sz="4" w:space="0" w:color="auto"/>
              <w:right w:val="single" w:sz="4" w:space="0" w:color="auto"/>
            </w:tcBorders>
            <w:shd w:val="clear" w:color="000000" w:fill="FFFFFF"/>
            <w:vAlign w:val="center"/>
            <w:hideMark/>
          </w:tcPr>
          <w:p w:rsidR="00F37AE2" w:rsidRPr="00F37AE2" w:rsidRDefault="00F37AE2" w:rsidP="00F37AE2">
            <w:pPr>
              <w:widowControl/>
              <w:jc w:val="center"/>
              <w:rPr>
                <w:rFonts w:ascii="宋体" w:hAnsi="宋体" w:cs="宋体"/>
                <w:kern w:val="0"/>
                <w:sz w:val="22"/>
              </w:rPr>
            </w:pPr>
            <w:r w:rsidRPr="00F37AE2">
              <w:rPr>
                <w:rFonts w:ascii="宋体" w:hAnsi="宋体" w:cs="宋体" w:hint="eastAsia"/>
                <w:kern w:val="0"/>
                <w:sz w:val="22"/>
              </w:rPr>
              <w:t xml:space="preserve">    974.00 </w:t>
            </w:r>
          </w:p>
        </w:tc>
        <w:tc>
          <w:tcPr>
            <w:tcW w:w="32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中央306万元、省级445万元、市级223万元</w:t>
            </w:r>
          </w:p>
        </w:tc>
        <w:tc>
          <w:tcPr>
            <w:tcW w:w="140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83</w:t>
            </w:r>
          </w:p>
        </w:tc>
      </w:tr>
      <w:tr w:rsidR="00F37AE2" w:rsidRPr="00F37AE2" w:rsidTr="00F37AE2">
        <w:trPr>
          <w:trHeight w:val="5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14</w:t>
            </w:r>
          </w:p>
        </w:tc>
        <w:tc>
          <w:tcPr>
            <w:tcW w:w="1240" w:type="dxa"/>
            <w:tcBorders>
              <w:top w:val="single" w:sz="4" w:space="0" w:color="auto"/>
              <w:left w:val="nil"/>
              <w:bottom w:val="nil"/>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proofErr w:type="gramStart"/>
            <w:r w:rsidRPr="00F37AE2">
              <w:rPr>
                <w:rFonts w:ascii="等线" w:eastAsia="等线" w:hAnsi="宋体" w:cs="宋体" w:hint="eastAsia"/>
                <w:kern w:val="0"/>
                <w:sz w:val="22"/>
              </w:rPr>
              <w:t>经建股</w:t>
            </w:r>
            <w:proofErr w:type="gramEnd"/>
          </w:p>
        </w:tc>
        <w:tc>
          <w:tcPr>
            <w:tcW w:w="2360" w:type="dxa"/>
            <w:tcBorders>
              <w:top w:val="single" w:sz="4" w:space="0" w:color="auto"/>
              <w:left w:val="nil"/>
              <w:bottom w:val="nil"/>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22"/>
              </w:rPr>
            </w:pPr>
            <w:r w:rsidRPr="00F37AE2">
              <w:rPr>
                <w:rFonts w:ascii="宋体" w:hAnsi="宋体" w:cs="宋体" w:hint="eastAsia"/>
                <w:kern w:val="0"/>
                <w:sz w:val="22"/>
              </w:rPr>
              <w:t>交通局</w:t>
            </w:r>
          </w:p>
        </w:tc>
        <w:tc>
          <w:tcPr>
            <w:tcW w:w="3840" w:type="dxa"/>
            <w:tcBorders>
              <w:top w:val="nil"/>
              <w:left w:val="nil"/>
              <w:bottom w:val="single" w:sz="4" w:space="0" w:color="auto"/>
              <w:right w:val="single" w:sz="4" w:space="0" w:color="auto"/>
            </w:tcBorders>
            <w:shd w:val="clear" w:color="000000" w:fill="FFFFFF"/>
            <w:vAlign w:val="center"/>
            <w:hideMark/>
          </w:tcPr>
          <w:p w:rsidR="00F37AE2" w:rsidRPr="00F37AE2" w:rsidRDefault="00F37AE2" w:rsidP="00F37AE2">
            <w:pPr>
              <w:widowControl/>
              <w:jc w:val="left"/>
              <w:rPr>
                <w:rFonts w:ascii="宋体" w:hAnsi="宋体" w:cs="宋体"/>
                <w:kern w:val="0"/>
                <w:sz w:val="22"/>
              </w:rPr>
            </w:pPr>
            <w:r w:rsidRPr="00F37AE2">
              <w:rPr>
                <w:rFonts w:ascii="宋体" w:hAnsi="宋体" w:cs="宋体" w:hint="eastAsia"/>
                <w:kern w:val="0"/>
                <w:sz w:val="22"/>
              </w:rPr>
              <w:t>农村公路养护工程补助经费（</w:t>
            </w:r>
            <w:proofErr w:type="gramStart"/>
            <w:r w:rsidRPr="00F37AE2">
              <w:rPr>
                <w:rFonts w:ascii="宋体" w:hAnsi="宋体" w:cs="宋体" w:hint="eastAsia"/>
                <w:kern w:val="0"/>
                <w:sz w:val="22"/>
              </w:rPr>
              <w:t>财建</w:t>
            </w:r>
            <w:proofErr w:type="gramEnd"/>
            <w:r w:rsidRPr="00F37AE2">
              <w:rPr>
                <w:rFonts w:ascii="宋体" w:hAnsi="宋体" w:cs="宋体" w:hint="eastAsia"/>
                <w:kern w:val="0"/>
                <w:sz w:val="22"/>
              </w:rPr>
              <w:t>[2018]1470号）。</w:t>
            </w:r>
          </w:p>
        </w:tc>
        <w:tc>
          <w:tcPr>
            <w:tcW w:w="1480" w:type="dxa"/>
            <w:tcBorders>
              <w:top w:val="nil"/>
              <w:left w:val="nil"/>
              <w:bottom w:val="single" w:sz="4" w:space="0" w:color="auto"/>
              <w:right w:val="single" w:sz="4" w:space="0" w:color="auto"/>
            </w:tcBorders>
            <w:shd w:val="clear" w:color="000000" w:fill="FFFFFF"/>
            <w:vAlign w:val="center"/>
            <w:hideMark/>
          </w:tcPr>
          <w:p w:rsidR="00F37AE2" w:rsidRPr="00F37AE2" w:rsidRDefault="00F37AE2" w:rsidP="00F37AE2">
            <w:pPr>
              <w:widowControl/>
              <w:jc w:val="center"/>
              <w:rPr>
                <w:rFonts w:ascii="宋体" w:hAnsi="宋体" w:cs="宋体"/>
                <w:kern w:val="0"/>
                <w:sz w:val="22"/>
              </w:rPr>
            </w:pPr>
            <w:r w:rsidRPr="00F37AE2">
              <w:rPr>
                <w:rFonts w:ascii="宋体" w:hAnsi="宋体" w:cs="宋体" w:hint="eastAsia"/>
                <w:kern w:val="0"/>
                <w:sz w:val="22"/>
              </w:rPr>
              <w:t xml:space="preserve">    683.00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87.5</w:t>
            </w:r>
          </w:p>
        </w:tc>
      </w:tr>
      <w:tr w:rsidR="00F37AE2" w:rsidRPr="00F37AE2" w:rsidTr="00F37AE2">
        <w:trPr>
          <w:trHeight w:val="13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15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proofErr w:type="gramStart"/>
            <w:r w:rsidRPr="00F37AE2">
              <w:rPr>
                <w:rFonts w:ascii="等线" w:eastAsia="等线" w:hAnsi="宋体" w:cs="宋体" w:hint="eastAsia"/>
                <w:kern w:val="0"/>
                <w:sz w:val="22"/>
              </w:rPr>
              <w:t>经建股</w:t>
            </w:r>
            <w:proofErr w:type="gramEnd"/>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市容管理局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left"/>
              <w:rPr>
                <w:rFonts w:ascii="等线" w:eastAsia="等线" w:hAnsi="宋体" w:cs="宋体"/>
                <w:kern w:val="0"/>
                <w:sz w:val="22"/>
              </w:rPr>
            </w:pPr>
            <w:r w:rsidRPr="00F37AE2">
              <w:rPr>
                <w:rFonts w:ascii="等线" w:eastAsia="等线" w:hAnsi="宋体" w:cs="宋体" w:hint="eastAsia"/>
                <w:kern w:val="0"/>
                <w:sz w:val="22"/>
              </w:rPr>
              <w:t>2018年列支资金调剂]财政部下达2018年中西部重点领域基础设施补短板补助资金-凤台县城乡环卫一体化（生活垃圾治理）PPP项目-</w:t>
            </w:r>
            <w:proofErr w:type="gramStart"/>
            <w:r w:rsidRPr="00F37AE2">
              <w:rPr>
                <w:rFonts w:ascii="等线" w:eastAsia="等线" w:hAnsi="宋体" w:cs="宋体" w:hint="eastAsia"/>
                <w:kern w:val="0"/>
                <w:sz w:val="22"/>
              </w:rPr>
              <w:t>财建</w:t>
            </w:r>
            <w:proofErr w:type="gramEnd"/>
            <w:r w:rsidRPr="00F37AE2">
              <w:rPr>
                <w:rFonts w:ascii="等线" w:eastAsia="等线" w:hAnsi="宋体" w:cs="宋体" w:hint="eastAsia"/>
                <w:kern w:val="0"/>
                <w:sz w:val="22"/>
              </w:rPr>
              <w:t>[2018]1682号-</w:t>
            </w:r>
            <w:proofErr w:type="gramStart"/>
            <w:r w:rsidRPr="00F37AE2">
              <w:rPr>
                <w:rFonts w:ascii="等线" w:eastAsia="等线" w:hAnsi="宋体" w:cs="宋体" w:hint="eastAsia"/>
                <w:kern w:val="0"/>
                <w:sz w:val="22"/>
              </w:rPr>
              <w:t>淮财密[</w:t>
            </w:r>
            <w:proofErr w:type="gramEnd"/>
            <w:r w:rsidRPr="00F37AE2">
              <w:rPr>
                <w:rFonts w:ascii="等线" w:eastAsia="等线" w:hAnsi="宋体" w:cs="宋体" w:hint="eastAsia"/>
                <w:kern w:val="0"/>
                <w:sz w:val="22"/>
              </w:rPr>
              <w:t>2018]37号</w:t>
            </w:r>
          </w:p>
        </w:tc>
        <w:tc>
          <w:tcPr>
            <w:tcW w:w="148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5,000.00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90.5</w:t>
            </w:r>
          </w:p>
        </w:tc>
      </w:tr>
      <w:tr w:rsidR="00F37AE2" w:rsidRPr="00F37AE2" w:rsidTr="00F37AE2">
        <w:trPr>
          <w:trHeight w:val="4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16</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综合股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凤台县住房和城乡建设局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老旧小区改造资金</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500.00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87.6</w:t>
            </w:r>
          </w:p>
        </w:tc>
      </w:tr>
      <w:tr w:rsidR="00F37AE2" w:rsidRPr="00F37AE2" w:rsidTr="00F37AE2">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17</w:t>
            </w:r>
          </w:p>
        </w:tc>
        <w:tc>
          <w:tcPr>
            <w:tcW w:w="1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综合股</w:t>
            </w:r>
          </w:p>
        </w:tc>
        <w:tc>
          <w:tcPr>
            <w:tcW w:w="236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宋体" w:hAnsi="宋体" w:cs="宋体"/>
                <w:kern w:val="0"/>
                <w:sz w:val="18"/>
                <w:szCs w:val="18"/>
              </w:rPr>
            </w:pPr>
            <w:r w:rsidRPr="00F37AE2">
              <w:rPr>
                <w:rFonts w:ascii="宋体" w:hAnsi="宋体" w:cs="宋体" w:hint="eastAsia"/>
                <w:kern w:val="0"/>
                <w:sz w:val="18"/>
                <w:szCs w:val="18"/>
              </w:rPr>
              <w:t>凤台县住房和城乡建设局</w:t>
            </w:r>
          </w:p>
        </w:tc>
        <w:tc>
          <w:tcPr>
            <w:tcW w:w="384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2019年</w:t>
            </w:r>
            <w:proofErr w:type="gramStart"/>
            <w:r w:rsidRPr="00F37AE2">
              <w:rPr>
                <w:rFonts w:ascii="等线" w:eastAsia="等线" w:hAnsi="宋体" w:cs="宋体" w:hint="eastAsia"/>
                <w:kern w:val="0"/>
                <w:sz w:val="20"/>
                <w:szCs w:val="20"/>
              </w:rPr>
              <w:t>廉</w:t>
            </w:r>
            <w:proofErr w:type="gramEnd"/>
            <w:r w:rsidRPr="00F37AE2">
              <w:rPr>
                <w:rFonts w:ascii="等线" w:eastAsia="等线" w:hAnsi="宋体" w:cs="宋体" w:hint="eastAsia"/>
                <w:kern w:val="0"/>
                <w:sz w:val="20"/>
                <w:szCs w:val="20"/>
              </w:rPr>
              <w:t>租房补贴支出</w:t>
            </w:r>
          </w:p>
        </w:tc>
        <w:tc>
          <w:tcPr>
            <w:tcW w:w="148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0"/>
                <w:szCs w:val="20"/>
              </w:rPr>
            </w:pPr>
            <w:r w:rsidRPr="00F37AE2">
              <w:rPr>
                <w:rFonts w:ascii="等线" w:eastAsia="等线" w:hAnsi="宋体" w:cs="宋体" w:hint="eastAsia"/>
                <w:kern w:val="0"/>
                <w:sz w:val="20"/>
                <w:szCs w:val="20"/>
              </w:rPr>
              <w:t xml:space="preserve">      100.00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90.6</w:t>
            </w:r>
          </w:p>
        </w:tc>
      </w:tr>
      <w:tr w:rsidR="00F37AE2" w:rsidRPr="00F37AE2" w:rsidTr="00F37AE2">
        <w:trPr>
          <w:trHeight w:val="799"/>
        </w:trPr>
        <w:tc>
          <w:tcPr>
            <w:tcW w:w="8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合计</w:t>
            </w:r>
          </w:p>
        </w:tc>
        <w:tc>
          <w:tcPr>
            <w:tcW w:w="1480" w:type="dxa"/>
            <w:tcBorders>
              <w:top w:val="nil"/>
              <w:left w:val="nil"/>
              <w:bottom w:val="single" w:sz="4" w:space="0" w:color="auto"/>
              <w:right w:val="single" w:sz="4" w:space="0" w:color="auto"/>
            </w:tcBorders>
            <w:shd w:val="clear" w:color="auto" w:fill="auto"/>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23,494.16 </w:t>
            </w:r>
          </w:p>
        </w:tc>
        <w:tc>
          <w:tcPr>
            <w:tcW w:w="324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F37AE2" w:rsidRPr="00F37AE2" w:rsidRDefault="00F37AE2" w:rsidP="00F37AE2">
            <w:pPr>
              <w:widowControl/>
              <w:jc w:val="center"/>
              <w:rPr>
                <w:rFonts w:ascii="等线" w:eastAsia="等线" w:hAnsi="宋体" w:cs="宋体"/>
                <w:kern w:val="0"/>
                <w:sz w:val="22"/>
              </w:rPr>
            </w:pPr>
            <w:r w:rsidRPr="00F37AE2">
              <w:rPr>
                <w:rFonts w:ascii="等线" w:eastAsia="等线" w:hAnsi="宋体" w:cs="宋体" w:hint="eastAsia"/>
                <w:kern w:val="0"/>
                <w:sz w:val="22"/>
              </w:rPr>
              <w:t xml:space="preserve">　</w:t>
            </w:r>
          </w:p>
        </w:tc>
      </w:tr>
    </w:tbl>
    <w:p w:rsidR="00F37AE2" w:rsidRPr="00F37AE2" w:rsidRDefault="00F37AE2" w:rsidP="00F37AE2">
      <w:pPr>
        <w:widowControl/>
        <w:shd w:val="clear" w:color="auto" w:fill="FFFFFF"/>
        <w:wordWrap w:val="0"/>
        <w:spacing w:line="560" w:lineRule="atLeast"/>
        <w:ind w:firstLine="643"/>
        <w:jc w:val="left"/>
        <w:rPr>
          <w:rFonts w:ascii="仿宋" w:eastAsia="仿宋" w:hAnsi="仿宋" w:cs="宋体"/>
          <w:color w:val="333333"/>
          <w:kern w:val="0"/>
          <w:sz w:val="24"/>
          <w:szCs w:val="24"/>
        </w:rPr>
      </w:pPr>
    </w:p>
    <w:sectPr w:rsidR="00F37AE2" w:rsidRPr="00F37AE2" w:rsidSect="00F37AE2">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44" w:rsidRDefault="00A74844" w:rsidP="009758CF">
      <w:r>
        <w:separator/>
      </w:r>
    </w:p>
  </w:endnote>
  <w:endnote w:type="continuationSeparator" w:id="0">
    <w:p w:rsidR="00A74844" w:rsidRDefault="00A74844" w:rsidP="0097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CF" w:rsidRDefault="0027659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next-textbox:#_x0000_s1026;mso-fit-shape-to-text:t" inset="0,0,0,0">
            <w:txbxContent>
              <w:p w:rsidR="009758CF" w:rsidRDefault="0027659A">
                <w:pPr>
                  <w:pStyle w:val="a3"/>
                </w:pPr>
                <w:r>
                  <w:rPr>
                    <w:rFonts w:hint="eastAsia"/>
                  </w:rPr>
                  <w:fldChar w:fldCharType="begin"/>
                </w:r>
                <w:r w:rsidR="00930D5B">
                  <w:rPr>
                    <w:rFonts w:hint="eastAsia"/>
                  </w:rPr>
                  <w:instrText xml:space="preserve"> PAGE  \* MERGEFORMAT </w:instrText>
                </w:r>
                <w:r>
                  <w:rPr>
                    <w:rFonts w:hint="eastAsia"/>
                  </w:rPr>
                  <w:fldChar w:fldCharType="separate"/>
                </w:r>
                <w:r w:rsidR="00F37AE2">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44" w:rsidRDefault="00A74844" w:rsidP="009758CF">
      <w:r>
        <w:separator/>
      </w:r>
    </w:p>
  </w:footnote>
  <w:footnote w:type="continuationSeparator" w:id="0">
    <w:p w:rsidR="00A74844" w:rsidRDefault="00A74844" w:rsidP="00975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A26AC7"/>
    <w:rsid w:val="000F156F"/>
    <w:rsid w:val="0027659A"/>
    <w:rsid w:val="00930D5B"/>
    <w:rsid w:val="009758CF"/>
    <w:rsid w:val="00A74844"/>
    <w:rsid w:val="00AA33CC"/>
    <w:rsid w:val="00F37AE2"/>
    <w:rsid w:val="07C3256E"/>
    <w:rsid w:val="11D57860"/>
    <w:rsid w:val="2CA26AC7"/>
    <w:rsid w:val="2DEB77EF"/>
    <w:rsid w:val="4E175E66"/>
    <w:rsid w:val="521B647E"/>
    <w:rsid w:val="551D383E"/>
    <w:rsid w:val="7F2D4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CF"/>
    <w:pPr>
      <w:widowControl w:val="0"/>
      <w:jc w:val="both"/>
    </w:pPr>
    <w:rPr>
      <w:rFonts w:ascii="Calibri" w:hAnsi="Calibri"/>
      <w:kern w:val="2"/>
      <w:sz w:val="21"/>
      <w:szCs w:val="22"/>
    </w:rPr>
  </w:style>
  <w:style w:type="paragraph" w:styleId="1">
    <w:name w:val="heading 1"/>
    <w:basedOn w:val="a"/>
    <w:link w:val="1Char"/>
    <w:uiPriority w:val="9"/>
    <w:qFormat/>
    <w:rsid w:val="00F37AE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58CF"/>
    <w:pPr>
      <w:tabs>
        <w:tab w:val="center" w:pos="4153"/>
        <w:tab w:val="right" w:pos="8306"/>
      </w:tabs>
      <w:snapToGrid w:val="0"/>
      <w:jc w:val="left"/>
    </w:pPr>
    <w:rPr>
      <w:sz w:val="18"/>
    </w:rPr>
  </w:style>
  <w:style w:type="paragraph" w:styleId="a4">
    <w:name w:val="header"/>
    <w:basedOn w:val="a"/>
    <w:rsid w:val="009758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758CF"/>
    <w:pPr>
      <w:spacing w:beforeAutospacing="1" w:afterAutospacing="1"/>
      <w:jc w:val="left"/>
    </w:pPr>
    <w:rPr>
      <w:kern w:val="0"/>
      <w:sz w:val="24"/>
    </w:rPr>
  </w:style>
  <w:style w:type="character" w:styleId="a6">
    <w:name w:val="Strong"/>
    <w:basedOn w:val="a0"/>
    <w:qFormat/>
    <w:rsid w:val="009758CF"/>
  </w:style>
  <w:style w:type="character" w:styleId="a7">
    <w:name w:val="Emphasis"/>
    <w:basedOn w:val="a0"/>
    <w:qFormat/>
    <w:rsid w:val="009758CF"/>
  </w:style>
  <w:style w:type="character" w:styleId="HTML">
    <w:name w:val="HTML Definition"/>
    <w:basedOn w:val="a0"/>
    <w:rsid w:val="009758CF"/>
  </w:style>
  <w:style w:type="character" w:styleId="HTML0">
    <w:name w:val="HTML Typewriter"/>
    <w:basedOn w:val="a0"/>
    <w:rsid w:val="009758CF"/>
    <w:rPr>
      <w:rFonts w:ascii="Courier New" w:hAnsi="Courier New"/>
      <w:sz w:val="24"/>
      <w:szCs w:val="24"/>
    </w:rPr>
  </w:style>
  <w:style w:type="character" w:styleId="HTML1">
    <w:name w:val="HTML Acronym"/>
    <w:basedOn w:val="a0"/>
    <w:rsid w:val="009758CF"/>
    <w:rPr>
      <w:bdr w:val="none" w:sz="0" w:space="0" w:color="auto"/>
    </w:rPr>
  </w:style>
  <w:style w:type="character" w:styleId="HTML2">
    <w:name w:val="HTML Variable"/>
    <w:basedOn w:val="a0"/>
    <w:rsid w:val="009758CF"/>
  </w:style>
  <w:style w:type="character" w:styleId="HTML3">
    <w:name w:val="HTML Code"/>
    <w:basedOn w:val="a0"/>
    <w:rsid w:val="009758CF"/>
    <w:rPr>
      <w:rFonts w:ascii="Courier New" w:hAnsi="Courier New"/>
      <w:sz w:val="24"/>
      <w:szCs w:val="24"/>
      <w:bdr w:val="none" w:sz="0" w:space="0" w:color="auto"/>
    </w:rPr>
  </w:style>
  <w:style w:type="character" w:styleId="HTML4">
    <w:name w:val="HTML Cite"/>
    <w:basedOn w:val="a0"/>
    <w:rsid w:val="009758CF"/>
  </w:style>
  <w:style w:type="character" w:styleId="HTML5">
    <w:name w:val="HTML Keyboard"/>
    <w:basedOn w:val="a0"/>
    <w:rsid w:val="009758CF"/>
    <w:rPr>
      <w:rFonts w:ascii="Courier New" w:hAnsi="Courier New"/>
      <w:sz w:val="24"/>
      <w:szCs w:val="24"/>
    </w:rPr>
  </w:style>
  <w:style w:type="character" w:styleId="HTML6">
    <w:name w:val="HTML Sample"/>
    <w:basedOn w:val="a0"/>
    <w:rsid w:val="009758CF"/>
    <w:rPr>
      <w:rFonts w:ascii="Courier New" w:hAnsi="Courier New"/>
      <w:sz w:val="24"/>
      <w:szCs w:val="24"/>
    </w:rPr>
  </w:style>
  <w:style w:type="paragraph" w:styleId="a8">
    <w:name w:val="List Paragraph"/>
    <w:basedOn w:val="a"/>
    <w:uiPriority w:val="34"/>
    <w:qFormat/>
    <w:rsid w:val="009758CF"/>
    <w:pPr>
      <w:ind w:firstLineChars="200" w:firstLine="420"/>
    </w:pPr>
  </w:style>
  <w:style w:type="character" w:customStyle="1" w:styleId="1Char">
    <w:name w:val="标题 1 Char"/>
    <w:basedOn w:val="a0"/>
    <w:link w:val="1"/>
    <w:uiPriority w:val="9"/>
    <w:rsid w:val="00F37AE2"/>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42644811">
      <w:bodyDiv w:val="1"/>
      <w:marLeft w:val="0"/>
      <w:marRight w:val="0"/>
      <w:marTop w:val="0"/>
      <w:marBottom w:val="0"/>
      <w:divBdr>
        <w:top w:val="none" w:sz="0" w:space="0" w:color="auto"/>
        <w:left w:val="none" w:sz="0" w:space="0" w:color="auto"/>
        <w:bottom w:val="none" w:sz="0" w:space="0" w:color="auto"/>
        <w:right w:val="none" w:sz="0" w:space="0" w:color="auto"/>
      </w:divBdr>
    </w:div>
    <w:div w:id="878905268">
      <w:bodyDiv w:val="1"/>
      <w:marLeft w:val="0"/>
      <w:marRight w:val="0"/>
      <w:marTop w:val="0"/>
      <w:marBottom w:val="0"/>
      <w:divBdr>
        <w:top w:val="none" w:sz="0" w:space="0" w:color="auto"/>
        <w:left w:val="none" w:sz="0" w:space="0" w:color="auto"/>
        <w:bottom w:val="none" w:sz="0" w:space="0" w:color="auto"/>
        <w:right w:val="none" w:sz="0" w:space="0" w:color="auto"/>
      </w:divBdr>
    </w:div>
    <w:div w:id="1476796456">
      <w:bodyDiv w:val="1"/>
      <w:marLeft w:val="0"/>
      <w:marRight w:val="0"/>
      <w:marTop w:val="0"/>
      <w:marBottom w:val="0"/>
      <w:divBdr>
        <w:top w:val="none" w:sz="0" w:space="0" w:color="auto"/>
        <w:left w:val="none" w:sz="0" w:space="0" w:color="auto"/>
        <w:bottom w:val="none" w:sz="0" w:space="0" w:color="auto"/>
        <w:right w:val="none" w:sz="0" w:space="0" w:color="auto"/>
      </w:divBdr>
    </w:div>
    <w:div w:id="1591504564">
      <w:bodyDiv w:val="1"/>
      <w:marLeft w:val="0"/>
      <w:marRight w:val="0"/>
      <w:marTop w:val="0"/>
      <w:marBottom w:val="0"/>
      <w:divBdr>
        <w:top w:val="none" w:sz="0" w:space="0" w:color="auto"/>
        <w:left w:val="none" w:sz="0" w:space="0" w:color="auto"/>
        <w:bottom w:val="none" w:sz="0" w:space="0" w:color="auto"/>
        <w:right w:val="none" w:sz="0" w:space="0" w:color="auto"/>
      </w:divBdr>
    </w:div>
    <w:div w:id="1644115722">
      <w:bodyDiv w:val="1"/>
      <w:marLeft w:val="0"/>
      <w:marRight w:val="0"/>
      <w:marTop w:val="0"/>
      <w:marBottom w:val="0"/>
      <w:divBdr>
        <w:top w:val="none" w:sz="0" w:space="0" w:color="auto"/>
        <w:left w:val="none" w:sz="0" w:space="0" w:color="auto"/>
        <w:bottom w:val="none" w:sz="0" w:space="0" w:color="auto"/>
        <w:right w:val="none" w:sz="0" w:space="0" w:color="auto"/>
      </w:divBdr>
    </w:div>
    <w:div w:id="1695380773">
      <w:bodyDiv w:val="1"/>
      <w:marLeft w:val="0"/>
      <w:marRight w:val="0"/>
      <w:marTop w:val="0"/>
      <w:marBottom w:val="0"/>
      <w:divBdr>
        <w:top w:val="none" w:sz="0" w:space="0" w:color="auto"/>
        <w:left w:val="none" w:sz="0" w:space="0" w:color="auto"/>
        <w:bottom w:val="none" w:sz="0" w:space="0" w:color="auto"/>
        <w:right w:val="none" w:sz="0" w:space="0" w:color="auto"/>
      </w:divBdr>
    </w:div>
    <w:div w:id="1748457529">
      <w:bodyDiv w:val="1"/>
      <w:marLeft w:val="0"/>
      <w:marRight w:val="0"/>
      <w:marTop w:val="0"/>
      <w:marBottom w:val="0"/>
      <w:divBdr>
        <w:top w:val="none" w:sz="0" w:space="0" w:color="auto"/>
        <w:left w:val="none" w:sz="0" w:space="0" w:color="auto"/>
        <w:bottom w:val="none" w:sz="0" w:space="0" w:color="auto"/>
        <w:right w:val="none" w:sz="0" w:space="0" w:color="auto"/>
      </w:divBdr>
    </w:div>
    <w:div w:id="211420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cp:lastModifiedBy>
  <cp:revision>4</cp:revision>
  <cp:lastPrinted>2019-06-20T02:14:00Z</cp:lastPrinted>
  <dcterms:created xsi:type="dcterms:W3CDTF">2019-06-04T01:57:00Z</dcterms:created>
  <dcterms:modified xsi:type="dcterms:W3CDTF">2021-07-30T09:39:00Z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