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adjustRightInd w:val="0"/>
        <w:snapToGrid w:val="0"/>
        <w:spacing w:line="600" w:lineRule="exact"/>
        <w:jc w:val="left"/>
        <w:rPr>
          <w:rFonts w:eastAsia="黑体"/>
          <w:snapToGrid w:val="0"/>
          <w:kern w:val="0"/>
          <w:sz w:val="40"/>
          <w:szCs w:val="40"/>
        </w:rPr>
      </w:pPr>
      <w:r>
        <w:rPr>
          <w:rFonts w:hint="eastAsia" w:eastAsia="黑体"/>
          <w:snapToGrid w:val="0"/>
          <w:kern w:val="0"/>
          <w:sz w:val="40"/>
          <w:szCs w:val="40"/>
        </w:rPr>
        <w:t>附件4</w:t>
      </w:r>
    </w:p>
    <w:p>
      <w:pPr>
        <w:suppressAutoHyphens/>
        <w:adjustRightInd w:val="0"/>
        <w:snapToGrid w:val="0"/>
        <w:spacing w:line="600" w:lineRule="exact"/>
        <w:jc w:val="center"/>
        <w:rPr>
          <w:rFonts w:eastAsia="黑体"/>
          <w:snapToGrid w:val="0"/>
          <w:kern w:val="0"/>
          <w:sz w:val="40"/>
          <w:szCs w:val="40"/>
        </w:rPr>
      </w:pPr>
      <w:bookmarkStart w:id="0" w:name="_GoBack"/>
      <w:r>
        <w:rPr>
          <w:rFonts w:eastAsia="黑体"/>
          <w:snapToGrid w:val="0"/>
          <w:kern w:val="0"/>
          <w:sz w:val="40"/>
          <w:szCs w:val="40"/>
        </w:rPr>
        <w:t>202</w:t>
      </w:r>
      <w:r>
        <w:rPr>
          <w:rFonts w:hint="eastAsia" w:eastAsia="黑体"/>
          <w:snapToGrid w:val="0"/>
          <w:kern w:val="0"/>
          <w:sz w:val="40"/>
          <w:szCs w:val="40"/>
        </w:rPr>
        <w:t>1</w:t>
      </w:r>
      <w:r>
        <w:rPr>
          <w:rFonts w:eastAsia="黑体"/>
          <w:snapToGrid w:val="0"/>
          <w:kern w:val="0"/>
          <w:sz w:val="40"/>
          <w:szCs w:val="40"/>
        </w:rPr>
        <w:t>年</w:t>
      </w:r>
      <w:r>
        <w:rPr>
          <w:rFonts w:hint="eastAsia" w:eastAsia="黑体"/>
          <w:snapToGrid w:val="0"/>
          <w:kern w:val="0"/>
          <w:sz w:val="40"/>
          <w:szCs w:val="40"/>
        </w:rPr>
        <w:t>潘集区</w:t>
      </w:r>
      <w:r>
        <w:rPr>
          <w:rFonts w:eastAsia="黑体"/>
          <w:snapToGrid w:val="0"/>
          <w:kern w:val="0"/>
          <w:sz w:val="40"/>
          <w:szCs w:val="40"/>
        </w:rPr>
        <w:t>新型职业农民培训任务</w:t>
      </w:r>
    </w:p>
    <w:bookmarkEnd w:id="0"/>
    <w:p>
      <w:pPr>
        <w:suppressAutoHyphens/>
        <w:adjustRightInd w:val="0"/>
        <w:snapToGrid w:val="0"/>
        <w:spacing w:line="600" w:lineRule="exact"/>
        <w:rPr>
          <w:rFonts w:eastAsia="仿宋_GB2312"/>
          <w:snapToGrid w:val="0"/>
          <w:kern w:val="0"/>
          <w:sz w:val="32"/>
          <w:szCs w:val="32"/>
        </w:rPr>
      </w:pPr>
    </w:p>
    <w:tbl>
      <w:tblPr>
        <w:tblStyle w:val="3"/>
        <w:tblW w:w="131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853"/>
        <w:gridCol w:w="896"/>
        <w:gridCol w:w="851"/>
        <w:gridCol w:w="1050"/>
        <w:gridCol w:w="1110"/>
        <w:gridCol w:w="1170"/>
        <w:gridCol w:w="1050"/>
        <w:gridCol w:w="1140"/>
        <w:gridCol w:w="1140"/>
        <w:gridCol w:w="930"/>
        <w:gridCol w:w="1005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总计</w:t>
            </w:r>
          </w:p>
        </w:tc>
        <w:tc>
          <w:tcPr>
            <w:tcW w:w="9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专业生产型</w:t>
            </w:r>
          </w:p>
        </w:tc>
        <w:tc>
          <w:tcPr>
            <w:tcW w:w="3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技能服务型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合计</w:t>
            </w:r>
          </w:p>
        </w:tc>
        <w:tc>
          <w:tcPr>
            <w:tcW w:w="2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种植业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养殖业</w:t>
            </w:r>
          </w:p>
        </w:tc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渔业</w:t>
            </w:r>
          </w:p>
        </w:tc>
        <w:tc>
          <w:tcPr>
            <w:tcW w:w="9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合计</w:t>
            </w:r>
          </w:p>
        </w:tc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农资经营人员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农村人居环境整治村干班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小计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粮食种植户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蔬菜种植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小计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牛羊养殖户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小计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池塘养鱼户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稻田综合种养户</w:t>
            </w:r>
          </w:p>
        </w:tc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500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350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50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50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</w:t>
            </w:r>
          </w:p>
        </w:tc>
      </w:tr>
    </w:tbl>
    <w:p>
      <w:pPr>
        <w:adjustRightInd w:val="0"/>
        <w:snapToGrid w:val="0"/>
        <w:spacing w:line="440" w:lineRule="exact"/>
        <w:rPr>
          <w:rFonts w:ascii="宋体" w:hAnsi="宋体" w:cs="宋体"/>
          <w:kern w:val="0"/>
          <w:sz w:val="32"/>
          <w:szCs w:val="32"/>
        </w:rPr>
        <w:sectPr>
          <w:pgSz w:w="16838" w:h="11906" w:orient="landscape"/>
          <w:pgMar w:top="1531" w:right="1871" w:bottom="1531" w:left="1701" w:header="851" w:footer="1418" w:gutter="0"/>
          <w:cols w:space="425" w:num="1"/>
          <w:docGrid w:type="lines" w:linePitch="312" w:charSpace="0"/>
        </w:sectPr>
      </w:pPr>
      <w:r>
        <w:rPr>
          <w:rFonts w:hint="eastAsia" w:ascii="宋体" w:hAnsi="宋体" w:cs="宋体"/>
          <w:sz w:val="24"/>
        </w:rPr>
        <w:t>注：农村人居环境整治村干班是行政村村“两委”负责人，优先安排在未建的美丽乡村所在行政村负责人为当年培训对象。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A4387"/>
    <w:rsid w:val="6C2A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2021-09-16T01:55:00Z</dcterms:created>
  <dc:creator>Administrator</dc:creator>
  <cp:lastModifiedBy>Administrator</cp:lastModifiedBy>
  <dcterms:modified xsi:type="dcterms:W3CDTF">2021-09-16T01:58:49Z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