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6"/>
        <w:gridCol w:w="2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distribute"/>
              <w:rPr>
                <w:rFonts w:ascii="方正小标宋_GBK" w:hAnsi="Times New Roman" w:eastAsia="方正小标宋_GBK" w:cs="Times New Roman"/>
                <w:color w:val="FF0000"/>
                <w:sz w:val="52"/>
                <w:szCs w:val="52"/>
              </w:rPr>
            </w:pPr>
            <w:r>
              <w:rPr>
                <w:rFonts w:hint="eastAsia" w:ascii="方正小标宋_GBK" w:hAnsi="仿宋_GB2312" w:eastAsia="方正小标宋_GBK" w:cs="仿宋_GB2312"/>
                <w:color w:val="FF0000"/>
                <w:sz w:val="52"/>
                <w:szCs w:val="52"/>
              </w:rPr>
              <w:t>淮 南 市 财 政 局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distribute"/>
              <w:rPr>
                <w:rFonts w:ascii="方正小标宋_GBK" w:hAnsi="Times New Roman" w:eastAsia="方正小标宋_GBK" w:cs="Times New Roman"/>
                <w:color w:val="FF0000"/>
                <w:sz w:val="52"/>
                <w:szCs w:val="52"/>
              </w:rPr>
            </w:pPr>
            <w:r>
              <w:rPr>
                <w:rFonts w:hint="eastAsia" w:ascii="方正小标宋_GBK" w:hAnsi="Times New Roman" w:eastAsia="方正小标宋_GBK" w:cs="Times New Roman"/>
                <w:color w:val="FF0000"/>
                <w:sz w:val="92"/>
                <w:szCs w:val="52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distribute"/>
              <w:rPr>
                <w:rFonts w:ascii="方正小标宋_GBK" w:hAnsi="仿宋_GB2312" w:eastAsia="方正小标宋_GBK" w:cs="仿宋_GB2312"/>
                <w:color w:val="FF0000"/>
                <w:sz w:val="52"/>
                <w:szCs w:val="52"/>
              </w:rPr>
            </w:pPr>
            <w:r>
              <w:rPr>
                <w:rFonts w:hint="eastAsia" w:ascii="方正小标宋_GBK" w:hAnsi="仿宋_GB2312" w:eastAsia="方正小标宋_GBK" w:cs="仿宋_GB2312"/>
                <w:color w:val="FF0000"/>
                <w:sz w:val="52"/>
                <w:szCs w:val="52"/>
              </w:rPr>
              <w:t>淮南市发展改革委员会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distribute"/>
              <w:rPr>
                <w:rFonts w:ascii="方正小标宋_GBK" w:hAnsi="Times New Roman" w:eastAsia="方正小标宋_GBK" w:cs="Times New Roman"/>
                <w:color w:val="FF0000"/>
                <w:sz w:val="52"/>
                <w:szCs w:val="52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color w:val="FF0000"/>
          <w:sz w:val="52"/>
          <w:szCs w:val="52"/>
        </w:rPr>
      </w:pPr>
    </w:p>
    <w:p>
      <w:pPr>
        <w:jc w:val="center"/>
        <w:rPr>
          <w:rFonts w:ascii="仿宋_GB2312" w:hAnsi="方正楷体_GBK" w:eastAsia="仿宋_GB2312" w:cs="方正楷体_GBK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150"/>
        <w:jc w:val="center"/>
        <w:rPr>
          <w:rFonts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楷体_GBK" w:eastAsia="仿宋_GB2312" w:cs="方正楷体_GBK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 xml:space="preserve">淮财经建〔2021〕100号       </w:t>
      </w:r>
    </w:p>
    <w:p>
      <w:pPr>
        <w:jc w:val="center"/>
        <w:rPr>
          <w:rFonts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78740</wp:posOffset>
                </wp:positionV>
                <wp:extent cx="5753100" cy="0"/>
                <wp:effectExtent l="0" t="19050" r="19050" b="3810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75pt;margin-top:6.2pt;height:0pt;width:453pt;z-index:251659264;mso-width-relative:page;mso-height-relative:page;" filled="f" stroked="t" coordsize="21600,21600" o:gfxdata="UEsFBgAAAAAAAAAAAAAAAAAAAAAAAFBLAwQKAAAAAACHTuJAAAAAAAAAAAAAAAAABAAAAGRycy9Q&#10;SwMEFAAAAAgAh07iQFBfxU3VAAAACQEAAA8AAABkcnMvZG93bnJldi54bWxNj81uwjAQhO+V+g7W&#10;VuoFgQ0lgEIcDv279FTaBzDx5ke111FsEnj7btVDe9yZT7MzxeHinRhxiF0gDcuFAoFUBdtRo+Hz&#10;42W+AxGTIWtcINRwxQiH8vamMLkNE73jeEyN4BCKudHQptTnUsaqRW/iIvRI7NVh8CbxOTTSDmbi&#10;cO/kSqmN9KYj/tCaHh9brL6OZ6+hru34Vl0nen2erWedU5snnxmt7++Wag8i4SX9wfBTn6tDyZ1O&#10;4Uw2Cqdh/pBljLKxWoNgYLdVLJx+BVkW8v+C8htQSwMEFAAAAAgAh07iQLh47OXKAQAAYAMAAA4A&#10;AABkcnMvZTJvRG9jLnhtbK1TzY7TMBC+I/EOlu806VYLq6jpHroqlwUq7fIAru0kFo7HGrtN+hK8&#10;ABI3OHHkztuwPAZj9wdYbogcRhnPzDfzfWPPr8fesp3GYMDVfDopOdNOgjKurfnb+9WzK85CFE4J&#10;C07XfK8Dv148fTIffKUvoAOrNDICcaEafM27GH1VFEF2uhdhAl47CjaAvYjkYlsoFAOh97a4KMvn&#10;xQCoPILUIdDpzSHIFxm/abSMb5om6MhszWm2mC1mu0m2WMxF1aLwnZHHMcQ/TNEL46jpGepGRMG2&#10;aP6C6o1ECNDEiYS+gKYxUmcOxGZaPmJz1wmvMxcSJ/izTOH/wcrXuzUyo2o+48yJnlb08OHr9/ef&#10;fnz7SPbhy2c2SyINPlSUu3RrTDTl6O78Lch3gTlYdsK1Og97v/eEEHGrU1HxR1Vygqdum+EVKEoT&#10;2whZtLHBPqGSHGzMu9mfd6PHyCQdXr64nE1LWqE8xQpRnQo9hvhSQ8/ST82tcUk2UYndbYhpEFGd&#10;UtKxg5WxNq/eOjYQeHlF0CkUwBqVotnBdrO0yHaCbs9qVdKXaT1KQ9g6dehi3ZF1InpQbQNqv8aT&#10;GrTGPM7xyqV78rufq389jM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UF/FTdUAAAAJAQAADwAA&#10;AAAAAAABACAAAAA4AAAAZHJzL2Rvd25yZXYueG1sUEsBAhQAFAAAAAgAh07iQLh47OXKAQAAYAMA&#10;AA4AAAAAAAAAAQAgAAAAOgEAAGRycy9lMm9Eb2MueG1sUEsFBgAAAAAGAAYAWQEAAHYFAAAAAA==&#10;">
                <v:fill on="f" focussize="0,0"/>
                <v:stroke weight="4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宋体" w:cs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w w:val="98"/>
          <w:sz w:val="44"/>
          <w:szCs w:val="44"/>
        </w:rPr>
      </w:pPr>
      <w:r>
        <w:rPr>
          <w:rFonts w:hint="eastAsia" w:ascii="方正小标宋简体" w:hAnsi="方正大标宋简体" w:eastAsia="方正小标宋简体" w:cs="Times New Roman"/>
          <w:spacing w:val="-10"/>
          <w:w w:val="98"/>
          <w:sz w:val="44"/>
          <w:szCs w:val="44"/>
        </w:rPr>
        <w:t>淮南市财政局 淮南市发展改革委员会</w:t>
      </w:r>
      <w:r>
        <w:rPr>
          <w:rFonts w:hint="eastAsia" w:ascii="方正小标宋_GBK" w:hAnsi="方正小标宋_GBK" w:eastAsia="方正小标宋_GBK" w:cs="方正小标宋_GBK"/>
          <w:w w:val="98"/>
          <w:sz w:val="44"/>
          <w:szCs w:val="44"/>
        </w:rPr>
        <w:t>关于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w w:val="9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8"/>
          <w:sz w:val="44"/>
          <w:szCs w:val="44"/>
        </w:rPr>
        <w:t>贯彻落实《安徽省“三重一创”建设专项</w:t>
      </w:r>
    </w:p>
    <w:p>
      <w:pPr>
        <w:spacing w:line="560" w:lineRule="exact"/>
        <w:jc w:val="center"/>
        <w:rPr>
          <w:rFonts w:ascii="方正小标宋简体" w:hAnsi="方正大标宋简体" w:eastAsia="方正小标宋简体" w:cs="Times New Roman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8"/>
          <w:sz w:val="44"/>
          <w:szCs w:val="44"/>
        </w:rPr>
        <w:t>引导资金管理办法》实施意见的通知</w:t>
      </w:r>
    </w:p>
    <w:p>
      <w:pPr>
        <w:adjustRightInd w:val="0"/>
        <w:snapToGrid w:val="0"/>
        <w:spacing w:line="660" w:lineRule="exact"/>
        <w:ind w:firstLine="2400" w:firstLineChars="750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各县（区）财政局、发展改革委：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为激励引导支持“三重一创”建设，现将《安徽省财政厅 安徽省发展改革委关于印发&lt;安徽省“三重一创”建设专项引导资金管理办法&gt;的通知》（皖财建〔2021〕238号）转发给你们，请认真学习贯彻落实，并将有关实施意见通知如下：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</w:t>
      </w:r>
      <w:r>
        <w:rPr>
          <w:rFonts w:hint="eastAsia" w:ascii="黑体" w:hAnsi="黑体" w:eastAsia="黑体" w:cs="仿宋_GB2312"/>
          <w:bCs/>
          <w:sz w:val="32"/>
          <w:szCs w:val="32"/>
        </w:rPr>
        <w:t>落实地方配套资金。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根据《安徽省“三重一创”建设专项引导资金管理办法》第九条“专项资金（不含基金出资）实行省与属地政府共担机制，由省与市、县（市、区）按1:1合力支持”， 对本区域获得省“三重一创”建设专项引导资金的项目，其中：高新区、经开区、凤台县、寿县自行承担地方配套；其他区地方配套由市财政与各区按1：1共同承担。县（区）资金拨付证明每年9月底前上报。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二、加强资金绩效监管。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下达时，省财政同步下达区域或项目绩效考核目标，不能同步下达的，应下达整体绩效目标，各县（区）或项目实施单位结合资金和整体绩效目标情况，在30日内将区域或项目绩效目标报市发展改革委审核后送市财政局备案，并于次年5月底前，上报上年度资金绩效评价报告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</w:t>
      </w:r>
      <w:r>
        <w:rPr>
          <w:rFonts w:hint="eastAsia" w:ascii="黑体" w:hAnsi="黑体" w:eastAsia="黑体" w:cs="仿宋_GB2312"/>
          <w:bCs/>
          <w:sz w:val="32"/>
          <w:szCs w:val="32"/>
        </w:rPr>
        <w:t>严格资金拨付制度。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“三重一创”建设专项引导资金严格执行国库集中支付制度，禁止截留、挪用、转移或侵占专项资金，对弄虚作假骗取奖补资金、擅自改变承诺事项等行为，视情况责令限期整改、停止拨付资金、限期收回已拨付的资金，同时按照有关办法对相关责任人进行处理。县（区）虚假到位应分担资金的，一经查实，收回省、市级资金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本通知未尽事宜由市财政局负责解释。请各县（区）遵照执行。</w:t>
      </w:r>
    </w:p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left="1598" w:leftChars="304" w:hanging="960" w:hangingChars="3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附件：《安徽省财政厅 安徽省发展改革委关于印发&lt;安徽省“三重一创”建设专项引导资金管理办法&gt;的通知》（皖财建〔2021〕238号）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淮南市财政局            淮南市发展和改革委员会</w:t>
      </w:r>
    </w:p>
    <w:p>
      <w:pPr>
        <w:adjustRightInd w:val="0"/>
        <w:snapToGrid w:val="0"/>
        <w:spacing w:line="50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2021年5月7日</w:t>
      </w:r>
    </w:p>
    <w:p>
      <w:pPr>
        <w:adjustRightInd w:val="0"/>
        <w:snapToGrid w:val="0"/>
        <w:spacing w:line="50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280"/>
        </w:tabs>
        <w:spacing w:line="560" w:lineRule="exact"/>
        <w:ind w:right="24" w:firstLine="280" w:firstLineChars="100"/>
        <w:rPr>
          <w:rFonts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391795</wp:posOffset>
                </wp:positionV>
                <wp:extent cx="5400040" cy="0"/>
                <wp:effectExtent l="0" t="0" r="1016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85pt;height:0pt;width:425.2pt;z-index:251660288;mso-width-relative:page;mso-height-relative:page;" filled="f" stroked="t" coordsize="21600,21600" o:gfxdata="UEsFBgAAAAAAAAAAAAAAAAAAAAAAAFBLAwQKAAAAAACHTuJAAAAAAAAAAAAAAAAABAAAAGRycy9Q&#10;SwMEFAAAAAgAh07iQNNpid3UAAAABgEAAA8AAABkcnMvZG93bnJldi54bWxNj81OwzAQhO9IvIO1&#10;SFyq1k6BUoVsegBy40Kh4rqNlyQiXqex+wNPjxEHOO7MaObbYnVyvTrwGDovCNnMgGKpve2kQXh9&#10;qaZLUCGSWOq9MMInB1iV52cF5dYf5ZkP69ioVCIhJ4Q2xiHXOtQtOwozP7Ak792PjmI6x0bbkY6p&#10;3PV6bsxCO+okLbQ08H3L9cd67xBCteFd9TWpJ+btqvE83z08PRLi5UVm7kBFPsW/MPzgJ3QoE9PW&#10;78UG1SOkRyLCIrsFldzljbkGtf0VdFno//jlN1BLAwQUAAAACACHTuJA9m5EpMoBAABfAwAADgAA&#10;AGRycy9lMm9Eb2MueG1srVPNjtMwEL4j8Q6W7zRptUUQNd1DV8tlgUq7PMDUcRIL22PZbpO+BC+A&#10;xA1OHLnzNrs8BmP3hwVuiBxGsWfm83zfZy8uR6PZTvqg0NZ8Oik5k1Zgo2xX83d3189ecBYi2AY0&#10;WlnzvQz8cvn0yWJwlZxhj7qRnhGIDdXgat7H6KqiCKKXBsIEnbSUbNEbiLT0XdF4GAjd6GJWls+L&#10;AX3jPAoZAu1eHZJ8mfHbVor4tm2DjEzXnGaLOfocNykWywVUnQfXK3EcA/5hCgPK0qFnqCuIwLZe&#10;/QVllPAYsI0TgabAtlVCZg7EZlr+wea2ByczFxInuLNM4f/Bije7tWeqIe84s2DIooeP3+4/fP7x&#10;/RPFh69f2DSJNLhQUe3Krn2iKUZ7625QvA/M4qoH28k87N3eEUL0W5mait+60iI4Om0zvMaGymAb&#10;MYs2tt4kVJKDjdmb/dkbOUYmaHN+UZblBVkoTrkCqlOj8yG+kmhY+qm5VjbJBhXsbkJMg0B1Kknb&#10;Fq+V1tl6bdlQ85fz2Tw3BNSqSclUFny3WWnPdpAuT/4yK8o8LvO4tc3hEG2PpBPPg2gbbPZrfxKD&#10;XMzTHG9cuiaP17n717tY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DTaYnd1AAAAAYBAAAPAAAA&#10;AAAAAAEAIAAAADgAAABkcnMvZG93bnJldi54bWxQSwECFAAUAAAACACHTuJA9m5EpMoBAABfAwAA&#10;DgAAAAAAAAABACAAAAA5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400040" cy="0"/>
                <wp:effectExtent l="0" t="0" r="1016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35pt;height:0pt;width:425.2pt;z-index:251661312;mso-width-relative:page;mso-height-relative:page;" filled="f" stroked="t" coordsize="21600,21600" o:gfxdata="UEsFBgAAAAAAAAAAAAAAAAAAAAAAAFBLAwQKAAAAAACHTuJAAAAAAAAAAAAAAAAABAAAAGRycy9Q&#10;SwMEFAAAAAgAh07iQA1g/lfTAAAABgEAAA8AAABkcnMvZG93bnJldi54bWxNj81OwzAQhO9IvIO1&#10;SFyq1m6AUoU4PQC5caGAuG7jJYmI12ns/sDTs6gHOM7MaubbYnX0vdrTGLvAFuYzA4q4Dq7jxsLr&#10;SzVdgooJ2WEfmCx8UYRVeX5WYO7CgZ9pv06NkhKOOVpoUxpyrWPdksc4CwOxZB9h9JhEjo12Ix6k&#10;3Pc6M2ahPXYsCy0OdN9S/bneeQuxeqNt9T2pJ+b9qgmUbR+eHtHay4u5uQOV6Jj+juEXX9ChFKZN&#10;2LGLqrcgjyRxs1tQki5vzDWozcnQZaH/45c/UEsDBBQAAAAIAIdO4kCE47pvygEAAF8DAAAOAAAA&#10;ZHJzL2Uyb0RvYy54bWytU81u1DAQviPxDpbvbNKoiyDabA9blUuBlVoeYNZxNha2xxp7N9mX4AWQ&#10;uMGJI3fepuUxsL0/tOWGyGEUz8/n+b4Zzy5Go9lWkldoG342KTmTVmCr7LrhH26vXrzizAewLWi0&#10;suE76fnF/Pmz2eBqWWGPupXEIoj19eAa3ofg6qLwopcG/ASdtDHYIRkI8UjroiUYIrrRRVWWL4sB&#10;qXWEQnofvZf7IJ9n/K6TIrzvOi8D0w2PvYVsKdtVssV8BvWawPVKHNqAf+jCgLLx0hPUJQRgG1J/&#10;QRklCD12YSLQFNh1SsjMIbI5K5+wuenBycwliuPdSSb//2DFu+2SmGobXnFmwcQR3X/+cffp66+f&#10;X6K9//6NVUmkwfk65i7skhJNMdobd43io2cWFz3YtczN3u5cRAi0kamoeFSVDt7F21bDW2xjGmwC&#10;ZtHGjkxCjXKwMc9md5qNHAMT0Tk9L8vyPI5QHGMF1MdCRz68kWhY+mm4VjbJBjVsr31IjUB9TElu&#10;i1dK6zx6bdnQ8NfTapoLPGrVpmBK87ReLTSxLaTlyV9mFSMP0wg3tt1fou2BdOK5F22F7W5JRzHi&#10;FHM3h41La/LwnKv/vIv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A1g/lfTAAAABgEAAA8AAAAA&#10;AAAAAQAgAAAAOAAAAGRycy9kb3ducmV2LnhtbFBLAQIUABQAAAAIAIdO4kCE47pvygEAAF8DAAAO&#10;AAAAAAAAAAEAIAAAADg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淮南市财政局办公室                   2021年5月7日印发</w:t>
      </w:r>
    </w:p>
    <w:p>
      <w:pPr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7F"/>
    <w:rsid w:val="0056647F"/>
    <w:rsid w:val="00E6075B"/>
    <w:rsid w:val="00F64863"/>
    <w:rsid w:val="7EC8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769</Characters>
  <Lines>6</Lines>
  <Paragraphs>1</Paragraphs>
  <TotalTime>12</TotalTime>
  <ScaleCrop>false</ScaleCrop>
  <LinksUpToDate>false</LinksUpToDate>
  <CharactersWithSpaces>902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2021-05-07T15:18:00Z</dcterms:created>
  <dc:creator>韦唯</dc:creator>
  <cp:lastModifiedBy>uos</cp:lastModifiedBy>
  <dcterms:modified xsi:type="dcterms:W3CDTF">2021-09-30T10:52:00Z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