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napToGrid w:val="0"/>
        <w:spacing w:line="360" w:lineRule="auto"/>
        <w:rPr>
          <w:rFonts w:hint="eastAsia" w:ascii="华文中宋" w:hAnsi="华文中宋" w:eastAsia="华文中宋" w:cs="华文中宋"/>
          <w:b/>
          <w:color w:val="000000"/>
          <w:sz w:val="52"/>
          <w:szCs w:val="52"/>
        </w:rPr>
      </w:pPr>
    </w:p>
    <w:p>
      <w:pPr>
        <w:pStyle w:val="4"/>
        <w:widowControl/>
        <w:snapToGrid w:val="0"/>
        <w:spacing w:line="360" w:lineRule="auto"/>
        <w:jc w:val="center"/>
        <w:rPr>
          <w:rFonts w:hint="eastAsia" w:ascii="华文中宋" w:hAnsi="华文中宋" w:eastAsia="华文中宋" w:cs="华文中宋"/>
          <w:b/>
          <w:color w:val="000000"/>
          <w:sz w:val="48"/>
          <w:szCs w:val="48"/>
        </w:rPr>
      </w:pPr>
      <w:r>
        <w:rPr>
          <w:rFonts w:hint="eastAsia" w:ascii="华文中宋" w:hAnsi="华文中宋" w:eastAsia="华文中宋" w:cs="华文中宋"/>
          <w:b/>
          <w:color w:val="000000"/>
          <w:sz w:val="48"/>
          <w:szCs w:val="48"/>
        </w:rPr>
        <w:t>八公山区</w:t>
      </w:r>
      <w:r>
        <w:rPr>
          <w:rFonts w:hint="eastAsia" w:ascii="宋体" w:hAnsi="宋体" w:eastAsia="宋体"/>
          <w:b/>
          <w:sz w:val="48"/>
          <w:szCs w:val="48"/>
        </w:rPr>
        <w:t>公共就业管理服务中心</w:t>
      </w:r>
      <w:r>
        <w:rPr>
          <w:rFonts w:hint="eastAsia" w:ascii="华文中宋" w:hAnsi="华文中宋" w:eastAsia="华文中宋" w:cs="华文中宋"/>
          <w:b/>
          <w:color w:val="000000"/>
          <w:sz w:val="48"/>
          <w:szCs w:val="48"/>
        </w:rPr>
        <w:t>2020年度部门决算</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p>
    <w:p>
      <w:pPr>
        <w:pStyle w:val="4"/>
        <w:widowControl/>
        <w:rPr>
          <w:rFonts w:hint="eastAsia" w:ascii="宋体" w:hAnsi="宋体" w:cs="宋体"/>
          <w:color w:val="000000"/>
          <w:sz w:val="28"/>
          <w:szCs w:val="28"/>
        </w:rPr>
      </w:pPr>
    </w:p>
    <w:p>
      <w:pPr>
        <w:pStyle w:val="5"/>
        <w:widowControl/>
        <w:snapToGrid w:val="0"/>
        <w:spacing w:before="0" w:after="0" w:line="360" w:lineRule="auto"/>
        <w:jc w:val="center"/>
        <w:rPr>
          <w:rFonts w:ascii="黑体" w:eastAsia="黑体" w:cs="黑体"/>
          <w:color w:val="000000"/>
          <w:sz w:val="48"/>
          <w:szCs w:val="48"/>
        </w:rPr>
      </w:pPr>
      <w:r>
        <w:rPr>
          <w:rFonts w:ascii="黑体" w:eastAsia="黑体" w:cs="黑体"/>
          <w:color w:val="000000"/>
          <w:sz w:val="44"/>
          <w:szCs w:val="44"/>
        </w:rPr>
        <w:t>2021年</w:t>
      </w:r>
      <w:r>
        <w:rPr>
          <w:rFonts w:hint="eastAsia" w:ascii="黑体" w:eastAsia="黑体" w:cs="黑体"/>
          <w:color w:val="000000"/>
          <w:sz w:val="44"/>
          <w:szCs w:val="44"/>
          <w:lang w:val="en-US" w:eastAsia="zh-CN"/>
        </w:rPr>
        <w:t>9</w:t>
      </w:r>
      <w:r>
        <w:rPr>
          <w:rFonts w:ascii="黑体" w:eastAsia="黑体" w:cs="黑体"/>
          <w:color w:val="000000"/>
          <w:sz w:val="44"/>
          <w:szCs w:val="44"/>
        </w:rPr>
        <w:t>月</w:t>
      </w:r>
    </w:p>
    <w:p>
      <w:pPr>
        <w:pStyle w:val="4"/>
        <w:widowControl/>
        <w:spacing w:line="580" w:lineRule="atLeast"/>
        <w:jc w:val="center"/>
        <w:rPr>
          <w:rFonts w:hint="eastAsia" w:ascii="黑体" w:hAnsi="宋体" w:eastAsia="黑体" w:cs="黑体"/>
          <w:color w:val="000000"/>
          <w:sz w:val="48"/>
          <w:szCs w:val="48"/>
        </w:rPr>
      </w:pPr>
    </w:p>
    <w:p>
      <w:pPr>
        <w:pStyle w:val="4"/>
        <w:widowControl/>
        <w:spacing w:line="580" w:lineRule="atLeast"/>
        <w:jc w:val="center"/>
        <w:rPr>
          <w:rFonts w:hint="eastAsia" w:ascii="黑体" w:hAnsi="宋体" w:eastAsia="黑体" w:cs="黑体"/>
          <w:color w:val="000000"/>
          <w:sz w:val="48"/>
          <w:szCs w:val="48"/>
        </w:rPr>
      </w:pPr>
      <w:r>
        <w:rPr>
          <w:rFonts w:hint="eastAsia" w:ascii="黑体" w:hAnsi="宋体" w:eastAsia="黑体" w:cs="黑体"/>
          <w:color w:val="000000"/>
          <w:sz w:val="48"/>
          <w:szCs w:val="48"/>
        </w:rPr>
        <w:t>目  录</w:t>
      </w:r>
    </w:p>
    <w:p>
      <w:pPr>
        <w:pStyle w:val="4"/>
        <w:widowControl/>
        <w:autoSpaceDN w:val="0"/>
        <w:spacing w:line="510" w:lineRule="atLeast"/>
        <w:rPr>
          <w:rFonts w:hint="eastAsia" w:ascii="宋体" w:hAnsi="宋体" w:cs="宋体"/>
          <w:b/>
          <w:color w:val="000000"/>
          <w:sz w:val="36"/>
          <w:szCs w:val="36"/>
        </w:rPr>
      </w:pPr>
      <w:r>
        <w:rPr>
          <w:rFonts w:hint="eastAsia" w:ascii="宋体" w:hAnsi="宋体" w:cs="宋体"/>
          <w:b/>
          <w:color w:val="000000"/>
          <w:sz w:val="36"/>
          <w:szCs w:val="36"/>
        </w:rPr>
        <w:t>第一部分 八公山区</w:t>
      </w:r>
      <w:r>
        <w:rPr>
          <w:rFonts w:hint="eastAsia" w:ascii="宋体" w:hAnsi="宋体" w:eastAsia="宋体"/>
          <w:b/>
          <w:sz w:val="36"/>
          <w:szCs w:val="36"/>
        </w:rPr>
        <w:t>公共就业管理服务中心</w:t>
      </w:r>
      <w:r>
        <w:rPr>
          <w:rFonts w:ascii="仿宋_GB2312" w:eastAsia="仿宋_GB2312" w:cs="仿宋_GB2312"/>
          <w:b/>
          <w:color w:val="000000"/>
          <w:sz w:val="36"/>
          <w:szCs w:val="36"/>
        </w:rPr>
        <w:t>概况</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一、部门职责</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二、机构设置</w:t>
      </w:r>
    </w:p>
    <w:p>
      <w:pPr>
        <w:pStyle w:val="4"/>
        <w:widowControl/>
        <w:autoSpaceDN w:val="0"/>
        <w:spacing w:line="510" w:lineRule="atLeast"/>
        <w:rPr>
          <w:rFonts w:hint="eastAsia" w:ascii="宋体" w:hAnsi="宋体" w:cs="宋体"/>
          <w:b/>
          <w:color w:val="000000"/>
          <w:sz w:val="36"/>
          <w:szCs w:val="36"/>
        </w:rPr>
      </w:pPr>
      <w:r>
        <w:rPr>
          <w:rFonts w:hint="eastAsia" w:ascii="宋体" w:hAnsi="宋体" w:cs="宋体"/>
          <w:b/>
          <w:color w:val="000000"/>
          <w:sz w:val="36"/>
          <w:szCs w:val="36"/>
        </w:rPr>
        <w:t>第二部分 八公山区</w:t>
      </w:r>
      <w:r>
        <w:rPr>
          <w:rFonts w:hint="eastAsia" w:ascii="宋体" w:hAnsi="宋体" w:eastAsia="宋体"/>
          <w:b/>
          <w:sz w:val="36"/>
          <w:szCs w:val="36"/>
        </w:rPr>
        <w:t>公共就业管理服务中心</w:t>
      </w:r>
      <w:r>
        <w:rPr>
          <w:rFonts w:hint="eastAsia" w:ascii="宋体" w:hAnsi="宋体" w:cs="宋体"/>
          <w:b/>
          <w:color w:val="000000"/>
          <w:sz w:val="36"/>
          <w:szCs w:val="36"/>
        </w:rPr>
        <w:t>2020</w:t>
      </w:r>
      <w:r>
        <w:rPr>
          <w:rFonts w:ascii="仿宋_GB2312" w:eastAsia="仿宋_GB2312" w:cs="仿宋_GB2312"/>
          <w:b/>
          <w:color w:val="000000"/>
          <w:sz w:val="36"/>
          <w:szCs w:val="36"/>
        </w:rPr>
        <w:t>年度部门决算表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一、收入支出决算总表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二、收入决算表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三、支出决算表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四、财政拨款收入支出决算总表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五、一般公共预算财政拨款支出决算表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六、一般公共预算财政拨款基本支出决算表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七、政府性基金预算财政拨款收入支出决算表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八、国有资本经营预算财政拨款支出决算表</w:t>
      </w:r>
    </w:p>
    <w:p>
      <w:pPr>
        <w:pStyle w:val="4"/>
        <w:widowControl/>
        <w:autoSpaceDN w:val="0"/>
        <w:spacing w:line="510" w:lineRule="atLeast"/>
        <w:rPr>
          <w:rFonts w:hint="eastAsia" w:ascii="宋体" w:hAnsi="宋体" w:cs="宋体"/>
          <w:b/>
          <w:color w:val="000000"/>
          <w:sz w:val="36"/>
          <w:szCs w:val="36"/>
        </w:rPr>
      </w:pPr>
      <w:r>
        <w:rPr>
          <w:rFonts w:hint="eastAsia" w:ascii="宋体" w:hAnsi="宋体" w:cs="宋体"/>
          <w:b/>
          <w:color w:val="000000"/>
          <w:sz w:val="36"/>
          <w:szCs w:val="36"/>
        </w:rPr>
        <w:t>第三部分 八公山区</w:t>
      </w:r>
      <w:r>
        <w:rPr>
          <w:rFonts w:hint="eastAsia" w:ascii="宋体" w:hAnsi="宋体" w:eastAsia="宋体"/>
          <w:b/>
          <w:sz w:val="36"/>
          <w:szCs w:val="36"/>
        </w:rPr>
        <w:t>公共就业管理服务中心</w:t>
      </w:r>
      <w:r>
        <w:rPr>
          <w:rFonts w:hint="eastAsia" w:ascii="宋体" w:hAnsi="宋体" w:cs="宋体"/>
          <w:b/>
          <w:color w:val="000000"/>
          <w:sz w:val="36"/>
          <w:szCs w:val="36"/>
        </w:rPr>
        <w:t>2020</w:t>
      </w:r>
      <w:r>
        <w:rPr>
          <w:rFonts w:ascii="仿宋_GB2312" w:eastAsia="仿宋_GB2312" w:cs="仿宋_GB2312"/>
          <w:b/>
          <w:color w:val="000000"/>
          <w:sz w:val="36"/>
          <w:szCs w:val="36"/>
        </w:rPr>
        <w:t>年度部门决算情况说明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一、收入支出决算总体情况说明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二、收入决算情况说明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三、支出决算情况说明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四、财政拨款收入支出决算总体情况说明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五、一般公共预算财政拨款支出决算情况说明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六、一般公共预算财政拨款基本支出决算情况说明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七、政府性基金财政拨款收入支出决算情况说明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八、国有资本经营预算财政拨款支出决算情况说明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九、其他重要事项情况说明</w:t>
      </w:r>
    </w:p>
    <w:p>
      <w:pPr>
        <w:pStyle w:val="4"/>
        <w:widowControl/>
        <w:autoSpaceDN w:val="0"/>
        <w:spacing w:line="510" w:lineRule="atLeast"/>
        <w:rPr>
          <w:rFonts w:hint="eastAsia" w:ascii="宋体" w:hAnsi="宋体" w:cs="宋体"/>
          <w:b/>
          <w:color w:val="000000"/>
          <w:sz w:val="36"/>
          <w:szCs w:val="36"/>
        </w:rPr>
      </w:pPr>
      <w:r>
        <w:rPr>
          <w:rFonts w:hint="eastAsia" w:ascii="宋体" w:hAnsi="宋体" w:cs="宋体"/>
          <w:b/>
          <w:color w:val="000000"/>
          <w:sz w:val="36"/>
          <w:szCs w:val="36"/>
        </w:rPr>
        <w:t>第四部分 名词解释</w:t>
      </w: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r>
        <w:rPr>
          <w:rFonts w:hint="eastAsia" w:ascii="宋体" w:hAnsi="宋体" w:cs="宋体"/>
          <w:b/>
          <w:color w:val="000000"/>
          <w:sz w:val="36"/>
          <w:szCs w:val="36"/>
        </w:rPr>
        <w:t>八公山区</w:t>
      </w:r>
      <w:r>
        <w:rPr>
          <w:rFonts w:hint="eastAsia" w:ascii="宋体" w:hAnsi="宋体" w:eastAsia="宋体"/>
          <w:b/>
          <w:sz w:val="36"/>
          <w:szCs w:val="36"/>
        </w:rPr>
        <w:t>公共就业管理服务中心</w:t>
      </w:r>
      <w:r>
        <w:rPr>
          <w:rFonts w:ascii="仿宋_GB2312" w:eastAsia="仿宋_GB2312" w:cs="仿宋_GB2312"/>
          <w:b/>
          <w:color w:val="000000"/>
          <w:sz w:val="36"/>
          <w:szCs w:val="36"/>
        </w:rPr>
        <w:t>2020年</w:t>
      </w:r>
      <w:r>
        <w:rPr>
          <w:rFonts w:hint="eastAsia" w:ascii="宋体" w:hAnsi="宋体" w:cs="宋体"/>
          <w:b/>
          <w:color w:val="000000"/>
          <w:sz w:val="36"/>
          <w:szCs w:val="36"/>
        </w:rPr>
        <w:t>度部门决算</w:t>
      </w:r>
      <w:r>
        <w:rPr>
          <w:rFonts w:ascii="仿宋_GB2312" w:eastAsia="仿宋_GB2312" w:cs="仿宋_GB2312"/>
          <w:b/>
          <w:color w:val="000000"/>
          <w:sz w:val="36"/>
          <w:szCs w:val="36"/>
        </w:rPr>
        <w:t>情况</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第一部分 八公山区公共就业服务管理中心概况</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一、部门职责</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二、机构设置</w:t>
      </w:r>
    </w:p>
    <w:p>
      <w:pPr>
        <w:pStyle w:val="4"/>
        <w:widowControl/>
        <w:ind w:firstLine="640"/>
        <w:rPr>
          <w:rFonts w:hint="eastAsia" w:ascii="仿宋_GB2312" w:eastAsia="仿宋_GB2312" w:cs="仿宋_GB2312"/>
          <w:color w:val="000000"/>
          <w:sz w:val="32"/>
          <w:szCs w:val="32"/>
          <w:lang w:eastAsia="zh-CN"/>
        </w:rPr>
      </w:pPr>
      <w:r>
        <w:rPr>
          <w:rFonts w:ascii="仿宋_GB2312" w:eastAsia="仿宋_GB2312" w:cs="仿宋_GB2312"/>
          <w:color w:val="000000"/>
          <w:sz w:val="32"/>
          <w:szCs w:val="32"/>
        </w:rPr>
        <w:t>从决算单位构成看，八公山区</w:t>
      </w:r>
      <w:r>
        <w:rPr>
          <w:rFonts w:hint="eastAsia" w:ascii="仿宋_GB2312" w:eastAsia="仿宋_GB2312" w:cs="仿宋_GB2312"/>
          <w:color w:val="000000"/>
          <w:sz w:val="32"/>
          <w:szCs w:val="32"/>
        </w:rPr>
        <w:t>公共就业服务管理中心</w:t>
      </w:r>
      <w:r>
        <w:rPr>
          <w:rFonts w:ascii="仿宋_GB2312" w:eastAsia="仿宋_GB2312" w:cs="仿宋_GB2312"/>
          <w:color w:val="000000"/>
          <w:sz w:val="32"/>
          <w:szCs w:val="32"/>
        </w:rPr>
        <w:t>2020年度部门决算包括：</w:t>
      </w:r>
      <w:r>
        <w:rPr>
          <w:rFonts w:hint="eastAsia" w:ascii="仿宋_GB2312" w:eastAsia="仿宋_GB2312" w:cs="仿宋_GB2312"/>
          <w:color w:val="000000"/>
          <w:sz w:val="32"/>
          <w:szCs w:val="32"/>
          <w:lang w:eastAsia="zh-CN"/>
        </w:rPr>
        <w:t>局本级结算。</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纳入八公山区</w:t>
      </w:r>
      <w:r>
        <w:rPr>
          <w:rFonts w:hint="eastAsia" w:ascii="仿宋_GB2312" w:eastAsia="仿宋_GB2312" w:cs="仿宋_GB2312"/>
          <w:color w:val="000000"/>
          <w:sz w:val="32"/>
          <w:szCs w:val="32"/>
        </w:rPr>
        <w:t>公共就业服务管理中心</w:t>
      </w:r>
      <w:r>
        <w:rPr>
          <w:rFonts w:ascii="仿宋_GB2312" w:eastAsia="仿宋_GB2312" w:cs="仿宋_GB2312"/>
          <w:color w:val="000000"/>
          <w:sz w:val="32"/>
          <w:szCs w:val="32"/>
        </w:rPr>
        <w:t>2020年度部门决算编制范围的二级单位共</w:t>
      </w:r>
      <w:r>
        <w:rPr>
          <w:rFonts w:hint="eastAsia" w:ascii="仿宋_GB2312" w:eastAsia="仿宋_GB2312" w:cs="仿宋_GB2312"/>
          <w:color w:val="000000"/>
          <w:sz w:val="32"/>
          <w:szCs w:val="32"/>
          <w:lang w:val="en-US" w:eastAsia="zh-CN"/>
        </w:rPr>
        <w:t>1</w:t>
      </w:r>
      <w:r>
        <w:rPr>
          <w:rFonts w:ascii="仿宋_GB2312" w:eastAsia="仿宋_GB2312" w:cs="仿宋_GB2312"/>
          <w:color w:val="000000"/>
          <w:sz w:val="32"/>
          <w:szCs w:val="32"/>
        </w:rPr>
        <w:t>个，详细情况见下表：</w:t>
      </w:r>
    </w:p>
    <w:tbl>
      <w:tblPr>
        <w:tblStyle w:val="2"/>
        <w:tblW w:w="0" w:type="auto"/>
        <w:jc w:val="center"/>
        <w:tblLayout w:type="fixed"/>
        <w:tblCellMar>
          <w:top w:w="0" w:type="dxa"/>
          <w:left w:w="0" w:type="dxa"/>
          <w:bottom w:w="0" w:type="dxa"/>
          <w:right w:w="0" w:type="dxa"/>
        </w:tblCellMar>
      </w:tblPr>
      <w:tblGrid>
        <w:gridCol w:w="1389"/>
        <w:gridCol w:w="5837"/>
      </w:tblGrid>
      <w:tr>
        <w:tblPrEx>
          <w:tblCellMar>
            <w:top w:w="0" w:type="dxa"/>
            <w:left w:w="0" w:type="dxa"/>
            <w:bottom w:w="0" w:type="dxa"/>
            <w:right w:w="0" w:type="dxa"/>
          </w:tblCellMar>
        </w:tblPrEx>
        <w:trPr>
          <w:trHeight w:val="397" w:hRule="atLeast"/>
          <w:jc w:val="center"/>
        </w:trPr>
        <w:tc>
          <w:tcPr>
            <w:tcW w:w="1389" w:type="dxa"/>
            <w:tcBorders>
              <w:top w:val="single" w:color="000000" w:sz="8" w:space="0"/>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pStyle w:val="4"/>
              <w:widowControl/>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5837" w:type="dxa"/>
            <w:tcBorders>
              <w:top w:val="single" w:color="000000" w:sz="8" w:space="0"/>
              <w:left w:val="nil"/>
              <w:bottom w:val="single" w:color="000000" w:sz="8" w:space="0"/>
              <w:right w:val="single" w:color="000000" w:sz="8" w:space="0"/>
            </w:tcBorders>
            <w:shd w:val="clear" w:color="auto" w:fill="FFFFFF"/>
            <w:noWrap w:val="0"/>
            <w:tcMar>
              <w:left w:w="108" w:type="dxa"/>
              <w:right w:w="108" w:type="dxa"/>
            </w:tcMar>
            <w:vAlign w:val="center"/>
          </w:tcPr>
          <w:p>
            <w:pPr>
              <w:pStyle w:val="4"/>
              <w:widowControl/>
              <w:jc w:val="center"/>
              <w:rPr>
                <w:rFonts w:hint="eastAsia" w:ascii="宋体" w:hAnsi="宋体" w:cs="宋体"/>
                <w:color w:val="000000"/>
                <w:sz w:val="24"/>
                <w:szCs w:val="24"/>
              </w:rPr>
            </w:pPr>
            <w:r>
              <w:rPr>
                <w:rFonts w:hint="eastAsia" w:ascii="宋体" w:hAnsi="宋体" w:cs="宋体"/>
                <w:color w:val="000000"/>
                <w:sz w:val="24"/>
                <w:szCs w:val="24"/>
              </w:rPr>
              <w:t>单位名称</w:t>
            </w:r>
          </w:p>
        </w:tc>
      </w:tr>
      <w:tr>
        <w:tblPrEx>
          <w:tblCellMar>
            <w:top w:w="0" w:type="dxa"/>
            <w:left w:w="0" w:type="dxa"/>
            <w:bottom w:w="0" w:type="dxa"/>
            <w:right w:w="0" w:type="dxa"/>
          </w:tblCellMar>
        </w:tblPrEx>
        <w:trPr>
          <w:trHeight w:val="397" w:hRule="atLeast"/>
          <w:jc w:val="center"/>
        </w:trPr>
        <w:tc>
          <w:tcPr>
            <w:tcW w:w="1389" w:type="dxa"/>
            <w:tcBorders>
              <w:top w:val="nil"/>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pStyle w:val="4"/>
              <w:widowControl/>
              <w:jc w:val="center"/>
              <w:rPr>
                <w:rFonts w:hint="eastAsia" w:ascii="宋体" w:hAnsi="宋体" w:cs="宋体"/>
                <w:color w:val="000000"/>
                <w:sz w:val="24"/>
                <w:szCs w:val="24"/>
              </w:rPr>
            </w:pPr>
            <w:r>
              <w:rPr>
                <w:rFonts w:hint="eastAsia" w:ascii="宋体" w:hAnsi="宋体" w:cs="宋体"/>
                <w:color w:val="000000"/>
                <w:sz w:val="24"/>
                <w:szCs w:val="24"/>
              </w:rPr>
              <w:t>1</w:t>
            </w:r>
          </w:p>
        </w:tc>
        <w:tc>
          <w:tcPr>
            <w:tcW w:w="5837"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pPr>
              <w:pStyle w:val="4"/>
              <w:widowControl/>
              <w:rPr>
                <w:rFonts w:hint="eastAsia" w:ascii="宋体" w:hAnsi="宋体" w:cs="宋体"/>
                <w:color w:val="000000"/>
                <w:sz w:val="24"/>
                <w:szCs w:val="24"/>
              </w:rPr>
            </w:pPr>
            <w:r>
              <w:rPr>
                <w:rFonts w:hint="eastAsia" w:ascii="宋体" w:hAnsi="宋体" w:cs="宋体"/>
                <w:color w:val="000000"/>
                <w:sz w:val="24"/>
                <w:szCs w:val="24"/>
              </w:rPr>
              <w:t>八公山区公共就业服务管理中心</w:t>
            </w:r>
            <w:r>
              <w:rPr>
                <w:rFonts w:hint="eastAsia" w:ascii="宋体" w:hAnsi="宋体" w:eastAsia="宋体" w:cs="宋体"/>
                <w:color w:val="000000"/>
                <w:sz w:val="24"/>
                <w:szCs w:val="24"/>
              </w:rPr>
              <w:t>本级</w:t>
            </w:r>
          </w:p>
        </w:tc>
      </w:tr>
      <w:tr>
        <w:tblPrEx>
          <w:tblCellMar>
            <w:top w:w="0" w:type="dxa"/>
            <w:left w:w="0" w:type="dxa"/>
            <w:bottom w:w="0" w:type="dxa"/>
            <w:right w:w="0" w:type="dxa"/>
          </w:tblCellMar>
        </w:tblPrEx>
        <w:trPr>
          <w:trHeight w:val="397" w:hRule="atLeast"/>
          <w:jc w:val="center"/>
        </w:trPr>
        <w:tc>
          <w:tcPr>
            <w:tcW w:w="1389" w:type="dxa"/>
            <w:tcBorders>
              <w:top w:val="nil"/>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pStyle w:val="4"/>
              <w:widowControl/>
              <w:jc w:val="center"/>
              <w:rPr>
                <w:rFonts w:hint="eastAsia" w:ascii="宋体" w:hAnsi="宋体" w:cs="宋体"/>
                <w:color w:val="000000"/>
                <w:sz w:val="24"/>
                <w:szCs w:val="24"/>
              </w:rPr>
            </w:pPr>
            <w:r>
              <w:rPr>
                <w:rFonts w:hint="eastAsia" w:ascii="宋体" w:hAnsi="宋体" w:cs="宋体"/>
                <w:color w:val="000000"/>
                <w:sz w:val="24"/>
                <w:szCs w:val="24"/>
              </w:rPr>
              <w:t>2</w:t>
            </w:r>
          </w:p>
        </w:tc>
        <w:tc>
          <w:tcPr>
            <w:tcW w:w="5837"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pPr>
              <w:pStyle w:val="4"/>
              <w:widowControl/>
              <w:rPr>
                <w:rFonts w:hint="eastAsia" w:ascii="宋体" w:hAnsi="宋体" w:cs="宋体"/>
                <w:color w:val="000000"/>
                <w:sz w:val="24"/>
                <w:szCs w:val="24"/>
              </w:rPr>
            </w:pPr>
            <w:r>
              <w:rPr>
                <w:rFonts w:hint="eastAsia" w:ascii="宋体" w:hAnsi="宋体" w:cs="宋体"/>
                <w:color w:val="000000"/>
                <w:sz w:val="24"/>
                <w:szCs w:val="24"/>
              </w:rPr>
              <w:t>……</w:t>
            </w:r>
          </w:p>
        </w:tc>
      </w:tr>
    </w:tbl>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第二部分 八公山区公共就业服务管理中心2020年度部门决算表</w:t>
      </w:r>
    </w:p>
    <w:p>
      <w:pPr>
        <w:pStyle w:val="4"/>
        <w:widowControl/>
        <w:jc w:val="center"/>
        <w:rPr>
          <w:rFonts w:hint="eastAsia" w:ascii="黑体" w:hAnsi="宋体" w:eastAsia="黑体" w:cs="黑体"/>
          <w:color w:val="000000"/>
          <w:sz w:val="32"/>
          <w:szCs w:val="32"/>
        </w:rPr>
      </w:pPr>
    </w:p>
    <w:p>
      <w:pPr>
        <w:pStyle w:val="4"/>
        <w:widowControl/>
        <w:jc w:val="center"/>
        <w:rPr>
          <w:rFonts w:hint="eastAsia" w:ascii="黑体" w:hAnsi="宋体" w:eastAsia="黑体" w:cs="黑体"/>
          <w:color w:val="000000"/>
          <w:sz w:val="32"/>
          <w:szCs w:val="32"/>
        </w:rPr>
      </w:pPr>
    </w:p>
    <w:p>
      <w:pPr>
        <w:pStyle w:val="4"/>
        <w:widowControl/>
        <w:jc w:val="center"/>
        <w:rPr>
          <w:rFonts w:hint="eastAsia" w:ascii="黑体" w:hAnsi="宋体" w:eastAsia="黑体" w:cs="黑体"/>
          <w:color w:val="000000"/>
          <w:sz w:val="32"/>
          <w:szCs w:val="32"/>
        </w:rPr>
      </w:pPr>
    </w:p>
    <w:p>
      <w:pPr>
        <w:pStyle w:val="4"/>
        <w:widowControl/>
        <w:jc w:val="center"/>
        <w:rPr>
          <w:rFonts w:hint="eastAsia" w:ascii="黑体" w:hAnsi="宋体" w:eastAsia="黑体" w:cs="黑体"/>
          <w:color w:val="000000"/>
          <w:sz w:val="32"/>
          <w:szCs w:val="32"/>
        </w:rPr>
      </w:pPr>
      <w:r>
        <w:rPr>
          <w:rFonts w:hint="eastAsia" w:ascii="黑体" w:hAnsi="宋体" w:eastAsia="黑体" w:cs="黑体"/>
          <w:color w:val="000000"/>
          <w:sz w:val="32"/>
          <w:szCs w:val="32"/>
        </w:rPr>
        <w:t>一、收入支出决算总表</w:t>
      </w:r>
    </w:p>
    <w:tbl>
      <w:tblPr>
        <w:tblStyle w:val="2"/>
        <w:tblW w:w="0" w:type="auto"/>
        <w:jc w:val="center"/>
        <w:tblLayout w:type="fixed"/>
        <w:tblCellMar>
          <w:top w:w="15" w:type="dxa"/>
          <w:left w:w="108" w:type="dxa"/>
          <w:bottom w:w="15" w:type="dxa"/>
          <w:right w:w="108" w:type="dxa"/>
        </w:tblCellMar>
      </w:tblPr>
      <w:tblGrid>
        <w:gridCol w:w="2085"/>
        <w:gridCol w:w="2625"/>
        <w:gridCol w:w="2430"/>
        <w:gridCol w:w="2595"/>
      </w:tblGrid>
      <w:tr>
        <w:tblPrEx>
          <w:tblCellMar>
            <w:top w:w="15" w:type="dxa"/>
            <w:left w:w="108" w:type="dxa"/>
            <w:bottom w:w="15" w:type="dxa"/>
            <w:right w:w="108" w:type="dxa"/>
          </w:tblCellMar>
        </w:tblPrEx>
        <w:trPr>
          <w:trHeight w:val="285" w:hRule="atLeast"/>
          <w:jc w:val="center"/>
        </w:trPr>
        <w:tc>
          <w:tcPr>
            <w:tcW w:w="2085" w:type="dxa"/>
            <w:noWrap w:val="0"/>
            <w:vAlign w:val="center"/>
          </w:tcPr>
          <w:p>
            <w:pPr>
              <w:pStyle w:val="4"/>
              <w:widowControl/>
              <w:rPr>
                <w:rFonts w:ascii="Arial" w:hAnsi="Arial" w:cs="Arial"/>
                <w:color w:val="000000"/>
                <w:sz w:val="20"/>
                <w:szCs w:val="20"/>
              </w:rPr>
            </w:pPr>
          </w:p>
        </w:tc>
        <w:tc>
          <w:tcPr>
            <w:tcW w:w="2625" w:type="dxa"/>
            <w:noWrap w:val="0"/>
            <w:vAlign w:val="center"/>
          </w:tcPr>
          <w:p>
            <w:pPr>
              <w:pStyle w:val="4"/>
              <w:widowControl/>
              <w:rPr>
                <w:rFonts w:ascii="Arial" w:hAnsi="Arial" w:cs="Arial"/>
                <w:color w:val="000000"/>
                <w:sz w:val="20"/>
                <w:szCs w:val="20"/>
              </w:rPr>
            </w:pPr>
          </w:p>
        </w:tc>
        <w:tc>
          <w:tcPr>
            <w:tcW w:w="5025" w:type="dxa"/>
            <w:gridSpan w:val="2"/>
            <w:noWrap w:val="0"/>
            <w:vAlign w:val="center"/>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公开01表</w:t>
            </w:r>
          </w:p>
        </w:tc>
      </w:tr>
      <w:tr>
        <w:tblPrEx>
          <w:tblCellMar>
            <w:top w:w="15" w:type="dxa"/>
            <w:left w:w="108" w:type="dxa"/>
            <w:bottom w:w="15" w:type="dxa"/>
            <w:right w:w="108" w:type="dxa"/>
          </w:tblCellMar>
        </w:tblPrEx>
        <w:trPr>
          <w:trHeight w:val="300" w:hRule="atLeast"/>
          <w:jc w:val="center"/>
        </w:trPr>
        <w:tc>
          <w:tcPr>
            <w:tcW w:w="2085" w:type="dxa"/>
            <w:tcBorders>
              <w:bottom w:val="single" w:color="000000" w:sz="4" w:space="0"/>
            </w:tcBorders>
            <w:noWrap w:val="0"/>
            <w:vAlign w:val="bottom"/>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部门：八公山区公共就业服务管理中心</w:t>
            </w:r>
          </w:p>
        </w:tc>
        <w:tc>
          <w:tcPr>
            <w:tcW w:w="2625" w:type="dxa"/>
            <w:tcBorders>
              <w:bottom w:val="single" w:color="000000" w:sz="4" w:space="0"/>
            </w:tcBorders>
            <w:noWrap w:val="0"/>
            <w:vAlign w:val="center"/>
          </w:tcPr>
          <w:p>
            <w:pPr>
              <w:pStyle w:val="4"/>
              <w:widowControl/>
              <w:rPr>
                <w:rFonts w:ascii="Arial" w:hAnsi="Arial" w:cs="Arial"/>
                <w:color w:val="000000"/>
                <w:sz w:val="20"/>
                <w:szCs w:val="20"/>
              </w:rPr>
            </w:pPr>
          </w:p>
        </w:tc>
        <w:tc>
          <w:tcPr>
            <w:tcW w:w="5025" w:type="dxa"/>
            <w:gridSpan w:val="2"/>
            <w:tcBorders>
              <w:bottom w:val="single" w:color="000000" w:sz="4" w:space="0"/>
            </w:tcBorders>
            <w:noWrap w:val="0"/>
            <w:vAlign w:val="bottom"/>
          </w:tcPr>
          <w:p>
            <w:pPr>
              <w:pStyle w:val="4"/>
              <w:widowControl/>
              <w:jc w:val="right"/>
              <w:rPr>
                <w:rFonts w:hint="eastAsia" w:ascii="宋体" w:hAnsi="宋体" w:cs="宋体"/>
                <w:color w:val="000000"/>
                <w:sz w:val="24"/>
                <w:szCs w:val="24"/>
              </w:rPr>
            </w:pP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trHeight w:val="127" w:hRule="atLeast"/>
          <w:jc w:val="center"/>
        </w:trPr>
        <w:tc>
          <w:tcPr>
            <w:tcW w:w="471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收入</w:t>
            </w:r>
          </w:p>
        </w:tc>
        <w:tc>
          <w:tcPr>
            <w:tcW w:w="5025"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支出</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金额</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金额</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栏次</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1</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栏次</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2</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一、一般公共预算财政拨款收入</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56.74</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一、一般公共服务支出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二、政府性基金预算财政拨款收入</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二、外交支出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三、国有资本经营预算财政拨款收入</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三、国防支出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四、上级补助收入</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四、公共安全支出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五、事业收入</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五、教育支出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六、经营收入</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六、科学技术支出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七、附属单位上缴收入</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七、文化旅游体育与传媒支出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八、其他收入</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八、社会保障和就业支出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54.56</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九、卫生健康支出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0.54</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十、节能环保支出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十一、城乡社区支出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十二、农林水支出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十三、交通运输支出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十四、资源勘探工业信息等支出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十五、商业服务业等支出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十六、金融支出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十七、援助其他地区支出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十八、自然资源海洋气象等支出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十九、住房保障支出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1.65</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二十、粮油物资储备支出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二十一、国有资本经营预算支出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0"/>
                <w:szCs w:val="20"/>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二十二、灾害防治及应急管理支出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二十三、其他支出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b/>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二十四、债务还本支出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r>
              <w:rPr>
                <w:rFonts w:hint="eastAsia" w:ascii="宋体" w:hAnsi="宋体" w:cs="宋体"/>
                <w:color w:val="000000"/>
                <w:sz w:val="22"/>
                <w:szCs w:val="22"/>
              </w:rPr>
              <w:t>二十五、债务付息支出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二十六、抗疫特别国债安排的支出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b/>
                <w:color w:val="000000"/>
                <w:sz w:val="22"/>
                <w:szCs w:val="22"/>
              </w:rPr>
              <w:t>本年收入合计</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56.74</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b/>
                <w:color w:val="000000"/>
                <w:sz w:val="22"/>
                <w:szCs w:val="22"/>
              </w:rPr>
              <w:t>本年支出合计</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56.74</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xml:space="preserve">    使用非财政拨款结余</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结余分配</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r>
              <w:rPr>
                <w:rFonts w:hint="eastAsia" w:ascii="宋体" w:hAnsi="宋体" w:cs="宋体"/>
                <w:color w:val="000000"/>
                <w:sz w:val="22"/>
                <w:szCs w:val="22"/>
              </w:rPr>
              <w:t xml:space="preserve">    年初结转和结余</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r>
              <w:rPr>
                <w:rFonts w:hint="eastAsia" w:ascii="宋体" w:hAnsi="宋体" w:cs="宋体"/>
                <w:color w:val="000000"/>
                <w:sz w:val="22"/>
                <w:szCs w:val="22"/>
              </w:rPr>
              <w:t>年末结转和结余</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r>
    </w:tbl>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jc w:val="center"/>
        <w:rPr>
          <w:rFonts w:hint="eastAsia" w:ascii="黑体" w:hAnsi="宋体" w:eastAsia="黑体" w:cs="黑体"/>
          <w:color w:val="000000"/>
          <w:sz w:val="32"/>
          <w:szCs w:val="32"/>
        </w:rPr>
      </w:pPr>
      <w:r>
        <w:rPr>
          <w:rFonts w:hint="eastAsia" w:ascii="黑体" w:hAnsi="宋体" w:eastAsia="黑体" w:cs="黑体"/>
          <w:color w:val="000000"/>
          <w:sz w:val="32"/>
          <w:szCs w:val="32"/>
        </w:rPr>
        <w:t>二、收入决算表</w:t>
      </w:r>
    </w:p>
    <w:p>
      <w:pPr>
        <w:pStyle w:val="4"/>
        <w:widowControl/>
        <w:ind w:firstLine="640"/>
        <w:rPr>
          <w:rFonts w:hint="eastAsia" w:ascii="宋体" w:hAnsi="宋体" w:cs="宋体"/>
          <w:color w:val="000000"/>
          <w:sz w:val="20"/>
          <w:szCs w:val="20"/>
        </w:rPr>
      </w:pPr>
      <w:r>
        <w:rPr>
          <w:rFonts w:hint="eastAsia" w:ascii="黑体" w:hAnsi="宋体" w:eastAsia="黑体" w:cs="黑体"/>
          <w:color w:val="000000"/>
          <w:sz w:val="32"/>
          <w:szCs w:val="32"/>
        </w:rPr>
        <w:t xml:space="preserve">                                             </w:t>
      </w:r>
    </w:p>
    <w:tbl>
      <w:tblPr>
        <w:tblStyle w:val="2"/>
        <w:tblW w:w="9718" w:type="dxa"/>
        <w:jc w:val="center"/>
        <w:tblLayout w:type="fixed"/>
        <w:tblCellMar>
          <w:top w:w="15" w:type="dxa"/>
          <w:left w:w="108" w:type="dxa"/>
          <w:bottom w:w="15" w:type="dxa"/>
          <w:right w:w="108" w:type="dxa"/>
        </w:tblCellMar>
      </w:tblPr>
      <w:tblGrid>
        <w:gridCol w:w="333"/>
        <w:gridCol w:w="360"/>
        <w:gridCol w:w="387"/>
        <w:gridCol w:w="3018"/>
        <w:gridCol w:w="771"/>
        <w:gridCol w:w="795"/>
        <w:gridCol w:w="570"/>
        <w:gridCol w:w="840"/>
        <w:gridCol w:w="945"/>
        <w:gridCol w:w="594"/>
        <w:gridCol w:w="620"/>
        <w:gridCol w:w="485"/>
      </w:tblGrid>
      <w:tr>
        <w:tblPrEx>
          <w:tblCellMar>
            <w:top w:w="15" w:type="dxa"/>
            <w:left w:w="108" w:type="dxa"/>
            <w:bottom w:w="15" w:type="dxa"/>
            <w:right w:w="108" w:type="dxa"/>
          </w:tblCellMar>
        </w:tblPrEx>
        <w:trPr>
          <w:trHeight w:val="300" w:hRule="atLeast"/>
          <w:jc w:val="center"/>
        </w:trPr>
        <w:tc>
          <w:tcPr>
            <w:tcW w:w="4098" w:type="dxa"/>
            <w:gridSpan w:val="4"/>
            <w:noWrap w:val="0"/>
            <w:vAlign w:val="bottom"/>
          </w:tcPr>
          <w:p>
            <w:pPr>
              <w:pStyle w:val="4"/>
              <w:widowControl/>
              <w:jc w:val="left"/>
              <w:rPr>
                <w:rFonts w:hint="eastAsia" w:ascii="宋体" w:hAnsi="宋体" w:cs="宋体"/>
                <w:color w:val="000000"/>
                <w:sz w:val="20"/>
                <w:szCs w:val="20"/>
              </w:rPr>
            </w:pPr>
          </w:p>
        </w:tc>
        <w:tc>
          <w:tcPr>
            <w:tcW w:w="771" w:type="dxa"/>
            <w:noWrap w:val="0"/>
            <w:vAlign w:val="bottom"/>
          </w:tcPr>
          <w:p>
            <w:pPr>
              <w:pStyle w:val="4"/>
              <w:widowControl/>
              <w:jc w:val="left"/>
              <w:rPr>
                <w:rFonts w:ascii="Arial" w:hAnsi="Arial" w:cs="Arial"/>
                <w:color w:val="000000"/>
                <w:sz w:val="20"/>
                <w:szCs w:val="20"/>
              </w:rPr>
            </w:pPr>
          </w:p>
        </w:tc>
        <w:tc>
          <w:tcPr>
            <w:tcW w:w="795" w:type="dxa"/>
            <w:noWrap w:val="0"/>
            <w:vAlign w:val="bottom"/>
          </w:tcPr>
          <w:p>
            <w:pPr>
              <w:pStyle w:val="4"/>
              <w:widowControl/>
              <w:jc w:val="left"/>
              <w:rPr>
                <w:rFonts w:ascii="Arial" w:hAnsi="Arial" w:cs="Arial"/>
                <w:color w:val="000000"/>
                <w:sz w:val="20"/>
                <w:szCs w:val="20"/>
              </w:rPr>
            </w:pPr>
          </w:p>
        </w:tc>
        <w:tc>
          <w:tcPr>
            <w:tcW w:w="570" w:type="dxa"/>
            <w:noWrap w:val="0"/>
            <w:vAlign w:val="bottom"/>
          </w:tcPr>
          <w:p>
            <w:pPr>
              <w:pStyle w:val="4"/>
              <w:widowControl/>
              <w:jc w:val="center"/>
              <w:rPr>
                <w:rFonts w:hint="eastAsia" w:ascii="宋体" w:hAnsi="宋体" w:cs="宋体"/>
                <w:color w:val="000000"/>
                <w:sz w:val="20"/>
                <w:szCs w:val="20"/>
              </w:rPr>
            </w:pPr>
          </w:p>
        </w:tc>
        <w:tc>
          <w:tcPr>
            <w:tcW w:w="840" w:type="dxa"/>
            <w:noWrap w:val="0"/>
            <w:vAlign w:val="bottom"/>
          </w:tcPr>
          <w:p>
            <w:pPr>
              <w:pStyle w:val="4"/>
              <w:widowControl/>
              <w:jc w:val="left"/>
              <w:rPr>
                <w:rFonts w:ascii="Arial" w:hAnsi="Arial" w:cs="Arial"/>
                <w:color w:val="000000"/>
                <w:sz w:val="20"/>
                <w:szCs w:val="20"/>
              </w:rPr>
            </w:pPr>
          </w:p>
        </w:tc>
        <w:tc>
          <w:tcPr>
            <w:tcW w:w="945" w:type="dxa"/>
            <w:noWrap w:val="0"/>
            <w:vAlign w:val="bottom"/>
          </w:tcPr>
          <w:p>
            <w:pPr>
              <w:pStyle w:val="4"/>
              <w:widowControl/>
              <w:wordWrap w:val="0"/>
              <w:jc w:val="right"/>
              <w:rPr>
                <w:rFonts w:hint="eastAsia" w:ascii="宋体" w:hAnsi="宋体" w:cs="宋体"/>
                <w:color w:val="000000"/>
                <w:sz w:val="20"/>
                <w:szCs w:val="20"/>
              </w:rPr>
            </w:pPr>
            <w:r>
              <w:rPr>
                <w:rFonts w:hint="eastAsia" w:ascii="宋体" w:hAnsi="宋体" w:cs="宋体"/>
                <w:color w:val="000000"/>
                <w:sz w:val="20"/>
                <w:szCs w:val="20"/>
              </w:rPr>
              <w:t> </w:t>
            </w:r>
          </w:p>
        </w:tc>
        <w:tc>
          <w:tcPr>
            <w:tcW w:w="1699" w:type="dxa"/>
            <w:gridSpan w:val="3"/>
            <w:noWrap w:val="0"/>
            <w:vAlign w:val="top"/>
          </w:tcPr>
          <w:p>
            <w:pPr>
              <w:pStyle w:val="4"/>
              <w:widowControl/>
              <w:ind w:right="97" w:firstLine="500"/>
              <w:rPr>
                <w:rFonts w:hint="eastAsia" w:ascii="宋体" w:hAnsi="宋体" w:cs="宋体"/>
                <w:color w:val="000000"/>
                <w:sz w:val="20"/>
                <w:szCs w:val="20"/>
              </w:rPr>
            </w:pPr>
            <w:r>
              <w:rPr>
                <w:rFonts w:hint="eastAsia" w:ascii="宋体" w:hAnsi="宋体" w:cs="宋体"/>
                <w:color w:val="000000"/>
                <w:sz w:val="20"/>
                <w:szCs w:val="20"/>
              </w:rPr>
              <w:t>公开02表</w:t>
            </w:r>
          </w:p>
        </w:tc>
      </w:tr>
      <w:tr>
        <w:tblPrEx>
          <w:tblCellMar>
            <w:top w:w="15" w:type="dxa"/>
            <w:left w:w="108" w:type="dxa"/>
            <w:bottom w:w="15" w:type="dxa"/>
            <w:right w:w="108" w:type="dxa"/>
          </w:tblCellMar>
        </w:tblPrEx>
        <w:trPr>
          <w:trHeight w:val="300" w:hRule="atLeast"/>
          <w:jc w:val="center"/>
        </w:trPr>
        <w:tc>
          <w:tcPr>
            <w:tcW w:w="4098" w:type="dxa"/>
            <w:gridSpan w:val="4"/>
            <w:noWrap w:val="0"/>
            <w:vAlign w:val="bottom"/>
          </w:tcPr>
          <w:p>
            <w:pPr>
              <w:pStyle w:val="4"/>
              <w:widowControl/>
              <w:jc w:val="left"/>
              <w:rPr>
                <w:rFonts w:ascii="Arial" w:hAnsi="Arial" w:cs="Arial"/>
                <w:color w:val="000000"/>
                <w:sz w:val="20"/>
                <w:szCs w:val="20"/>
              </w:rPr>
            </w:pPr>
            <w:r>
              <w:rPr>
                <w:rFonts w:hint="eastAsia" w:ascii="宋体" w:hAnsi="宋体" w:cs="宋体"/>
                <w:color w:val="000000"/>
                <w:sz w:val="20"/>
                <w:szCs w:val="20"/>
              </w:rPr>
              <w:t>部门：八公山区公共就业服务管理中心</w:t>
            </w:r>
          </w:p>
        </w:tc>
        <w:tc>
          <w:tcPr>
            <w:tcW w:w="771" w:type="dxa"/>
            <w:noWrap w:val="0"/>
            <w:vAlign w:val="bottom"/>
          </w:tcPr>
          <w:p>
            <w:pPr>
              <w:pStyle w:val="4"/>
              <w:widowControl/>
              <w:jc w:val="left"/>
              <w:rPr>
                <w:rFonts w:ascii="Arial" w:hAnsi="Arial" w:cs="Arial"/>
                <w:color w:val="000000"/>
                <w:sz w:val="20"/>
                <w:szCs w:val="20"/>
              </w:rPr>
            </w:pPr>
          </w:p>
        </w:tc>
        <w:tc>
          <w:tcPr>
            <w:tcW w:w="795" w:type="dxa"/>
            <w:noWrap w:val="0"/>
            <w:vAlign w:val="bottom"/>
          </w:tcPr>
          <w:p>
            <w:pPr>
              <w:pStyle w:val="4"/>
              <w:widowControl/>
              <w:jc w:val="left"/>
              <w:rPr>
                <w:rFonts w:ascii="Arial" w:hAnsi="Arial" w:cs="Arial"/>
                <w:color w:val="000000"/>
                <w:sz w:val="20"/>
                <w:szCs w:val="20"/>
              </w:rPr>
            </w:pPr>
          </w:p>
        </w:tc>
        <w:tc>
          <w:tcPr>
            <w:tcW w:w="570" w:type="dxa"/>
            <w:noWrap w:val="0"/>
            <w:vAlign w:val="bottom"/>
          </w:tcPr>
          <w:p>
            <w:pPr>
              <w:pStyle w:val="4"/>
              <w:widowControl/>
              <w:jc w:val="center"/>
              <w:rPr>
                <w:rFonts w:hint="eastAsia" w:ascii="宋体" w:hAnsi="宋体" w:cs="宋体"/>
                <w:color w:val="000000"/>
                <w:sz w:val="20"/>
                <w:szCs w:val="20"/>
              </w:rPr>
            </w:pPr>
          </w:p>
        </w:tc>
        <w:tc>
          <w:tcPr>
            <w:tcW w:w="840" w:type="dxa"/>
            <w:noWrap w:val="0"/>
            <w:vAlign w:val="bottom"/>
          </w:tcPr>
          <w:p>
            <w:pPr>
              <w:pStyle w:val="4"/>
              <w:widowControl/>
              <w:jc w:val="left"/>
              <w:rPr>
                <w:rFonts w:ascii="Arial" w:hAnsi="Arial" w:cs="Arial"/>
                <w:color w:val="000000"/>
                <w:sz w:val="20"/>
                <w:szCs w:val="20"/>
              </w:rPr>
            </w:pPr>
          </w:p>
        </w:tc>
        <w:tc>
          <w:tcPr>
            <w:tcW w:w="945" w:type="dxa"/>
            <w:noWrap w:val="0"/>
            <w:vAlign w:val="bottom"/>
          </w:tcPr>
          <w:p>
            <w:pPr>
              <w:pStyle w:val="4"/>
              <w:widowControl/>
              <w:ind w:right="60"/>
              <w:jc w:val="right"/>
              <w:rPr>
                <w:rFonts w:hint="eastAsia" w:ascii="宋体" w:hAnsi="宋体" w:cs="宋体"/>
                <w:color w:val="000000"/>
                <w:sz w:val="20"/>
                <w:szCs w:val="20"/>
              </w:rPr>
            </w:pPr>
          </w:p>
        </w:tc>
        <w:tc>
          <w:tcPr>
            <w:tcW w:w="1699" w:type="dxa"/>
            <w:gridSpan w:val="3"/>
            <w:noWrap w:val="0"/>
            <w:vAlign w:val="top"/>
          </w:tcPr>
          <w:p>
            <w:pPr>
              <w:pStyle w:val="4"/>
              <w:widowControl/>
              <w:ind w:right="448"/>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trHeight w:val="450" w:hRule="atLeast"/>
          <w:jc w:val="center"/>
        </w:trPr>
        <w:tc>
          <w:tcPr>
            <w:tcW w:w="4098"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771"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本年收入合计</w:t>
            </w:r>
          </w:p>
        </w:tc>
        <w:tc>
          <w:tcPr>
            <w:tcW w:w="795"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财政拨款收入</w:t>
            </w:r>
          </w:p>
        </w:tc>
        <w:tc>
          <w:tcPr>
            <w:tcW w:w="570"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上级补助收入</w:t>
            </w:r>
          </w:p>
        </w:tc>
        <w:tc>
          <w:tcPr>
            <w:tcW w:w="1785" w:type="dxa"/>
            <w:gridSpan w:val="2"/>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事业收入</w:t>
            </w:r>
          </w:p>
        </w:tc>
        <w:tc>
          <w:tcPr>
            <w:tcW w:w="594" w:type="dxa"/>
            <w:vMerge w:val="restart"/>
            <w:tcBorders>
              <w:top w:val="single" w:color="000000" w:sz="4" w:space="0"/>
              <w:left w:val="nil"/>
              <w:bottom w:val="single" w:color="000000" w:sz="4" w:space="0"/>
              <w:right w:val="single" w:color="000000" w:sz="4" w:space="0"/>
            </w:tcBorders>
            <w:noWrap w:val="0"/>
            <w:vAlign w:val="top"/>
          </w:tcPr>
          <w:p>
            <w:pPr>
              <w:pStyle w:val="4"/>
              <w:widowControl/>
              <w:rPr>
                <w:rFonts w:hint="eastAsia" w:ascii="宋体" w:hAnsi="宋体" w:cs="宋体"/>
                <w:color w:val="000000"/>
                <w:sz w:val="22"/>
                <w:szCs w:val="22"/>
              </w:rPr>
            </w:pPr>
          </w:p>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经营</w:t>
            </w:r>
          </w:p>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收入</w:t>
            </w:r>
          </w:p>
        </w:tc>
        <w:tc>
          <w:tcPr>
            <w:tcW w:w="620"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附属单位上缴收入</w:t>
            </w:r>
          </w:p>
        </w:tc>
        <w:tc>
          <w:tcPr>
            <w:tcW w:w="485"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其他</w:t>
            </w:r>
          </w:p>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收入</w:t>
            </w:r>
          </w:p>
        </w:tc>
      </w:tr>
      <w:tr>
        <w:tblPrEx>
          <w:tblCellMar>
            <w:top w:w="15" w:type="dxa"/>
            <w:left w:w="108" w:type="dxa"/>
            <w:bottom w:w="15" w:type="dxa"/>
            <w:right w:w="108" w:type="dxa"/>
          </w:tblCellMar>
        </w:tblPrEx>
        <w:trPr>
          <w:trHeight w:val="355" w:hRule="atLeast"/>
          <w:jc w:val="center"/>
        </w:trPr>
        <w:tc>
          <w:tcPr>
            <w:tcW w:w="1080" w:type="dxa"/>
            <w:gridSpan w:val="3"/>
            <w:vMerge w:val="restart"/>
            <w:tcBorders>
              <w:top w:val="nil"/>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3018"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77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79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57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785" w:type="dxa"/>
            <w:gridSpan w:val="2"/>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594" w:type="dxa"/>
            <w:vMerge w:val="continue"/>
            <w:tcBorders>
              <w:top w:val="single" w:color="000000" w:sz="4" w:space="0"/>
              <w:left w:val="nil"/>
              <w:bottom w:val="single" w:color="000000" w:sz="4" w:space="0"/>
              <w:right w:val="single" w:color="000000" w:sz="4" w:space="0"/>
            </w:tcBorders>
            <w:noWrap w:val="0"/>
            <w:vAlign w:val="top"/>
          </w:tcPr>
          <w:p>
            <w:pPr>
              <w:rPr>
                <w:sz w:val="20"/>
              </w:rPr>
            </w:pPr>
          </w:p>
        </w:tc>
        <w:tc>
          <w:tcPr>
            <w:tcW w:w="62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48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450" w:hRule="atLeast"/>
          <w:jc w:val="center"/>
        </w:trPr>
        <w:tc>
          <w:tcPr>
            <w:tcW w:w="1080"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3018" w:type="dxa"/>
            <w:vMerge w:val="continue"/>
            <w:tcBorders>
              <w:top w:val="nil"/>
              <w:left w:val="nil"/>
              <w:bottom w:val="single" w:color="000000" w:sz="4" w:space="0"/>
              <w:right w:val="single" w:color="000000" w:sz="4" w:space="0"/>
            </w:tcBorders>
            <w:noWrap w:val="0"/>
            <w:vAlign w:val="center"/>
          </w:tcPr>
          <w:p>
            <w:pPr>
              <w:rPr>
                <w:sz w:val="20"/>
              </w:rPr>
            </w:pPr>
          </w:p>
        </w:tc>
        <w:tc>
          <w:tcPr>
            <w:tcW w:w="77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79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57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84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小计</w:t>
            </w:r>
          </w:p>
        </w:tc>
        <w:tc>
          <w:tcPr>
            <w:tcW w:w="945" w:type="dxa"/>
            <w:tcBorders>
              <w:top w:val="single" w:color="000000" w:sz="4" w:space="0"/>
              <w:left w:val="nil"/>
              <w:bottom w:val="single" w:color="000000" w:sz="4" w:space="0"/>
              <w:right w:val="single" w:color="000000" w:sz="4" w:space="0"/>
            </w:tcBorders>
            <w:noWrap w:val="0"/>
            <w:vAlign w:val="top"/>
          </w:tcPr>
          <w:p>
            <w:pPr>
              <w:pStyle w:val="4"/>
              <w:widowControl/>
              <w:rPr>
                <w:rFonts w:hint="eastAsia" w:ascii="宋体" w:hAnsi="宋体" w:cs="宋体"/>
                <w:color w:val="000000"/>
                <w:sz w:val="22"/>
                <w:szCs w:val="22"/>
              </w:rPr>
            </w:pPr>
            <w:r>
              <w:rPr>
                <w:rFonts w:hint="eastAsia" w:ascii="宋体" w:hAnsi="宋体" w:cs="宋体"/>
                <w:color w:val="000000"/>
                <w:sz w:val="22"/>
                <w:szCs w:val="22"/>
              </w:rPr>
              <w:t>其中：教育</w:t>
            </w:r>
          </w:p>
          <w:p>
            <w:pPr>
              <w:pStyle w:val="4"/>
              <w:widowControl/>
              <w:rPr>
                <w:rFonts w:hint="eastAsia" w:ascii="宋体" w:hAnsi="宋体" w:cs="宋体"/>
                <w:color w:val="000000"/>
                <w:sz w:val="22"/>
                <w:szCs w:val="22"/>
              </w:rPr>
            </w:pPr>
            <w:r>
              <w:rPr>
                <w:rFonts w:hint="eastAsia" w:ascii="宋体" w:hAnsi="宋体" w:cs="宋体"/>
                <w:color w:val="000000"/>
                <w:sz w:val="22"/>
                <w:szCs w:val="22"/>
              </w:rPr>
              <w:t>收费</w:t>
            </w:r>
          </w:p>
        </w:tc>
        <w:tc>
          <w:tcPr>
            <w:tcW w:w="594" w:type="dxa"/>
            <w:vMerge w:val="continue"/>
            <w:tcBorders>
              <w:top w:val="single" w:color="000000" w:sz="4" w:space="0"/>
              <w:left w:val="nil"/>
              <w:bottom w:val="single" w:color="000000" w:sz="4" w:space="0"/>
              <w:right w:val="single" w:color="000000" w:sz="4" w:space="0"/>
            </w:tcBorders>
            <w:noWrap w:val="0"/>
            <w:vAlign w:val="top"/>
          </w:tcPr>
          <w:p>
            <w:pPr>
              <w:rPr>
                <w:sz w:val="20"/>
              </w:rPr>
            </w:pPr>
          </w:p>
        </w:tc>
        <w:tc>
          <w:tcPr>
            <w:tcW w:w="62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48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450" w:hRule="atLeast"/>
          <w:jc w:val="center"/>
        </w:trPr>
        <w:tc>
          <w:tcPr>
            <w:tcW w:w="333"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类</w:t>
            </w:r>
          </w:p>
        </w:tc>
        <w:tc>
          <w:tcPr>
            <w:tcW w:w="36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款</w:t>
            </w:r>
          </w:p>
        </w:tc>
        <w:tc>
          <w:tcPr>
            <w:tcW w:w="387"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w:t>
            </w:r>
          </w:p>
        </w:tc>
        <w:tc>
          <w:tcPr>
            <w:tcW w:w="3018"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771"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56.74</w:t>
            </w:r>
          </w:p>
        </w:tc>
        <w:tc>
          <w:tcPr>
            <w:tcW w:w="7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56.74</w:t>
            </w:r>
          </w:p>
        </w:tc>
        <w:tc>
          <w:tcPr>
            <w:tcW w:w="57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4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45" w:type="dxa"/>
            <w:tcBorders>
              <w:top w:val="single" w:color="000000" w:sz="4" w:space="0"/>
              <w:left w:val="nil"/>
              <w:bottom w:val="single" w:color="000000" w:sz="4" w:space="0"/>
              <w:right w:val="single" w:color="000000" w:sz="4" w:space="0"/>
            </w:tcBorders>
            <w:noWrap w:val="0"/>
            <w:vAlign w:val="top"/>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594"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62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lang w:val="en-US" w:eastAsia="zh-CN"/>
              </w:rPr>
              <w:t>208</w:t>
            </w:r>
          </w:p>
        </w:tc>
        <w:tc>
          <w:tcPr>
            <w:tcW w:w="301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771"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54.56</w:t>
            </w:r>
          </w:p>
        </w:tc>
        <w:tc>
          <w:tcPr>
            <w:tcW w:w="79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54.56</w:t>
            </w:r>
          </w:p>
        </w:tc>
        <w:tc>
          <w:tcPr>
            <w:tcW w:w="57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4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45" w:type="dxa"/>
            <w:tcBorders>
              <w:top w:val="single" w:color="000000" w:sz="4" w:space="0"/>
              <w:left w:val="nil"/>
              <w:bottom w:val="single" w:color="000000" w:sz="4" w:space="0"/>
              <w:right w:val="single" w:color="000000" w:sz="4" w:space="0"/>
            </w:tcBorders>
            <w:noWrap w:val="0"/>
            <w:vAlign w:val="top"/>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594"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62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lang w:val="en-US" w:eastAsia="zh-CN"/>
              </w:rPr>
              <w:t>20801</w:t>
            </w:r>
          </w:p>
        </w:tc>
        <w:tc>
          <w:tcPr>
            <w:tcW w:w="301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771"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49.79</w:t>
            </w:r>
          </w:p>
        </w:tc>
        <w:tc>
          <w:tcPr>
            <w:tcW w:w="79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49.79</w:t>
            </w:r>
          </w:p>
        </w:tc>
        <w:tc>
          <w:tcPr>
            <w:tcW w:w="57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4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45" w:type="dxa"/>
            <w:tcBorders>
              <w:top w:val="single" w:color="000000" w:sz="4" w:space="0"/>
              <w:left w:val="nil"/>
              <w:bottom w:val="single" w:color="000000" w:sz="4" w:space="0"/>
              <w:right w:val="single" w:color="000000" w:sz="4" w:space="0"/>
            </w:tcBorders>
            <w:noWrap w:val="0"/>
            <w:vAlign w:val="top"/>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594"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62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lang w:val="en-US" w:eastAsia="zh-CN"/>
              </w:rPr>
              <w:t>2080106</w:t>
            </w:r>
          </w:p>
        </w:tc>
        <w:tc>
          <w:tcPr>
            <w:tcW w:w="301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就业管理事务</w:t>
            </w:r>
          </w:p>
        </w:tc>
        <w:tc>
          <w:tcPr>
            <w:tcW w:w="771"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49.79</w:t>
            </w:r>
          </w:p>
        </w:tc>
        <w:tc>
          <w:tcPr>
            <w:tcW w:w="79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49.79</w:t>
            </w:r>
          </w:p>
        </w:tc>
        <w:tc>
          <w:tcPr>
            <w:tcW w:w="57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4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45" w:type="dxa"/>
            <w:tcBorders>
              <w:top w:val="single" w:color="000000" w:sz="4" w:space="0"/>
              <w:left w:val="nil"/>
              <w:bottom w:val="single" w:color="000000" w:sz="4" w:space="0"/>
              <w:right w:val="single" w:color="000000" w:sz="4" w:space="0"/>
            </w:tcBorders>
            <w:noWrap w:val="0"/>
            <w:vAlign w:val="top"/>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594"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62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20805</w:t>
            </w:r>
          </w:p>
        </w:tc>
        <w:tc>
          <w:tcPr>
            <w:tcW w:w="301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77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7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57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4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45" w:type="dxa"/>
            <w:tcBorders>
              <w:top w:val="single" w:color="000000" w:sz="4" w:space="0"/>
              <w:left w:val="nil"/>
              <w:bottom w:val="single" w:color="000000" w:sz="4" w:space="0"/>
              <w:right w:val="single" w:color="000000" w:sz="4" w:space="0"/>
            </w:tcBorders>
            <w:noWrap w:val="0"/>
            <w:vAlign w:val="top"/>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594"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62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2080502</w:t>
            </w:r>
          </w:p>
        </w:tc>
        <w:tc>
          <w:tcPr>
            <w:tcW w:w="301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事业单位离退休</w:t>
            </w:r>
          </w:p>
        </w:tc>
        <w:tc>
          <w:tcPr>
            <w:tcW w:w="771"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79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57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4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45" w:type="dxa"/>
            <w:tcBorders>
              <w:top w:val="single" w:color="000000" w:sz="4" w:space="0"/>
              <w:left w:val="nil"/>
              <w:bottom w:val="single" w:color="000000" w:sz="4" w:space="0"/>
              <w:right w:val="single" w:color="000000" w:sz="4" w:space="0"/>
            </w:tcBorders>
            <w:noWrap w:val="0"/>
            <w:vAlign w:val="top"/>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594"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62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20808</w:t>
            </w:r>
          </w:p>
        </w:tc>
        <w:tc>
          <w:tcPr>
            <w:tcW w:w="301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771"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0.73</w:t>
            </w:r>
          </w:p>
        </w:tc>
        <w:tc>
          <w:tcPr>
            <w:tcW w:w="79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0.73</w:t>
            </w:r>
          </w:p>
        </w:tc>
        <w:tc>
          <w:tcPr>
            <w:tcW w:w="57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4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45" w:type="dxa"/>
            <w:tcBorders>
              <w:top w:val="single" w:color="000000" w:sz="4" w:space="0"/>
              <w:left w:val="nil"/>
              <w:bottom w:val="single" w:color="000000" w:sz="4" w:space="0"/>
              <w:right w:val="single" w:color="000000" w:sz="4" w:space="0"/>
            </w:tcBorders>
            <w:noWrap w:val="0"/>
            <w:vAlign w:val="top"/>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594"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62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2080801</w:t>
            </w:r>
          </w:p>
        </w:tc>
        <w:tc>
          <w:tcPr>
            <w:tcW w:w="301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死亡抚恤</w:t>
            </w:r>
          </w:p>
        </w:tc>
        <w:tc>
          <w:tcPr>
            <w:tcW w:w="771"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0.73</w:t>
            </w:r>
          </w:p>
        </w:tc>
        <w:tc>
          <w:tcPr>
            <w:tcW w:w="79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0.73</w:t>
            </w:r>
          </w:p>
        </w:tc>
        <w:tc>
          <w:tcPr>
            <w:tcW w:w="57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4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45" w:type="dxa"/>
            <w:tcBorders>
              <w:top w:val="single" w:color="000000" w:sz="4" w:space="0"/>
              <w:left w:val="nil"/>
              <w:bottom w:val="single" w:color="000000" w:sz="4" w:space="0"/>
              <w:right w:val="single" w:color="000000" w:sz="4" w:space="0"/>
            </w:tcBorders>
            <w:noWrap w:val="0"/>
            <w:vAlign w:val="top"/>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594"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62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20899</w:t>
            </w:r>
          </w:p>
        </w:tc>
        <w:tc>
          <w:tcPr>
            <w:tcW w:w="301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771"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0.04</w:t>
            </w:r>
          </w:p>
        </w:tc>
        <w:tc>
          <w:tcPr>
            <w:tcW w:w="79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0.04</w:t>
            </w:r>
          </w:p>
        </w:tc>
        <w:tc>
          <w:tcPr>
            <w:tcW w:w="57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4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45" w:type="dxa"/>
            <w:tcBorders>
              <w:top w:val="single" w:color="000000" w:sz="4" w:space="0"/>
              <w:left w:val="nil"/>
              <w:bottom w:val="single" w:color="000000" w:sz="4" w:space="0"/>
              <w:right w:val="single" w:color="000000" w:sz="4" w:space="0"/>
            </w:tcBorders>
            <w:noWrap w:val="0"/>
            <w:vAlign w:val="top"/>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594"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62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2089901</w:t>
            </w:r>
          </w:p>
        </w:tc>
        <w:tc>
          <w:tcPr>
            <w:tcW w:w="301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771"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0.04</w:t>
            </w:r>
          </w:p>
        </w:tc>
        <w:tc>
          <w:tcPr>
            <w:tcW w:w="79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0.04</w:t>
            </w:r>
          </w:p>
        </w:tc>
        <w:tc>
          <w:tcPr>
            <w:tcW w:w="57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4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45" w:type="dxa"/>
            <w:tcBorders>
              <w:top w:val="single" w:color="000000" w:sz="4" w:space="0"/>
              <w:left w:val="nil"/>
              <w:bottom w:val="single" w:color="000000" w:sz="4" w:space="0"/>
              <w:right w:val="single" w:color="000000" w:sz="4" w:space="0"/>
            </w:tcBorders>
            <w:noWrap w:val="0"/>
            <w:vAlign w:val="top"/>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594"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62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210</w:t>
            </w:r>
          </w:p>
        </w:tc>
        <w:tc>
          <w:tcPr>
            <w:tcW w:w="301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771"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79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57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4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45" w:type="dxa"/>
            <w:tcBorders>
              <w:top w:val="single" w:color="000000" w:sz="4" w:space="0"/>
              <w:left w:val="nil"/>
              <w:bottom w:val="single" w:color="000000" w:sz="4" w:space="0"/>
              <w:right w:val="single" w:color="000000" w:sz="4" w:space="0"/>
            </w:tcBorders>
            <w:noWrap w:val="0"/>
            <w:vAlign w:val="top"/>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594"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62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21011</w:t>
            </w:r>
          </w:p>
        </w:tc>
        <w:tc>
          <w:tcPr>
            <w:tcW w:w="301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771"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79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57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4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45" w:type="dxa"/>
            <w:tcBorders>
              <w:top w:val="single" w:color="000000" w:sz="4" w:space="0"/>
              <w:left w:val="nil"/>
              <w:bottom w:val="single" w:color="000000" w:sz="4" w:space="0"/>
              <w:right w:val="single" w:color="000000" w:sz="4" w:space="0"/>
            </w:tcBorders>
            <w:noWrap w:val="0"/>
            <w:vAlign w:val="top"/>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594"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62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2101102</w:t>
            </w:r>
          </w:p>
        </w:tc>
        <w:tc>
          <w:tcPr>
            <w:tcW w:w="301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事业单位医疗</w:t>
            </w:r>
          </w:p>
        </w:tc>
        <w:tc>
          <w:tcPr>
            <w:tcW w:w="771"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79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57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4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45" w:type="dxa"/>
            <w:tcBorders>
              <w:top w:val="single" w:color="000000" w:sz="4" w:space="0"/>
              <w:left w:val="nil"/>
              <w:bottom w:val="single" w:color="000000" w:sz="4" w:space="0"/>
              <w:right w:val="single" w:color="000000" w:sz="4" w:space="0"/>
            </w:tcBorders>
            <w:noWrap w:val="0"/>
            <w:vAlign w:val="top"/>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594"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62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221</w:t>
            </w:r>
          </w:p>
        </w:tc>
        <w:tc>
          <w:tcPr>
            <w:tcW w:w="301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771"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79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57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4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45" w:type="dxa"/>
            <w:tcBorders>
              <w:top w:val="single" w:color="000000" w:sz="4" w:space="0"/>
              <w:left w:val="nil"/>
              <w:bottom w:val="single" w:color="000000" w:sz="4" w:space="0"/>
              <w:right w:val="single" w:color="000000" w:sz="4" w:space="0"/>
            </w:tcBorders>
            <w:noWrap w:val="0"/>
            <w:vAlign w:val="top"/>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594"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62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22102</w:t>
            </w:r>
          </w:p>
        </w:tc>
        <w:tc>
          <w:tcPr>
            <w:tcW w:w="301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771"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79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57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4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45" w:type="dxa"/>
            <w:tcBorders>
              <w:top w:val="single" w:color="000000" w:sz="4" w:space="0"/>
              <w:left w:val="nil"/>
              <w:bottom w:val="single" w:color="000000" w:sz="4" w:space="0"/>
              <w:right w:val="single" w:color="000000" w:sz="4" w:space="0"/>
            </w:tcBorders>
            <w:noWrap w:val="0"/>
            <w:vAlign w:val="top"/>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594"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62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08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2210201</w:t>
            </w:r>
          </w:p>
        </w:tc>
        <w:tc>
          <w:tcPr>
            <w:tcW w:w="301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住房公积金</w:t>
            </w:r>
          </w:p>
        </w:tc>
        <w:tc>
          <w:tcPr>
            <w:tcW w:w="771"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79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57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4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45" w:type="dxa"/>
            <w:tcBorders>
              <w:top w:val="single" w:color="000000" w:sz="4" w:space="0"/>
              <w:left w:val="nil"/>
              <w:bottom w:val="single" w:color="000000" w:sz="4" w:space="0"/>
              <w:right w:val="single" w:color="000000" w:sz="4" w:space="0"/>
            </w:tcBorders>
            <w:noWrap w:val="0"/>
            <w:vAlign w:val="top"/>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594"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62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bl>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三、支出决算表</w:t>
      </w:r>
    </w:p>
    <w:tbl>
      <w:tblPr>
        <w:tblStyle w:val="2"/>
        <w:tblW w:w="9420" w:type="dxa"/>
        <w:jc w:val="center"/>
        <w:tblLayout w:type="fixed"/>
        <w:tblCellMar>
          <w:top w:w="15" w:type="dxa"/>
          <w:left w:w="108" w:type="dxa"/>
          <w:bottom w:w="15" w:type="dxa"/>
          <w:right w:w="108" w:type="dxa"/>
        </w:tblCellMar>
      </w:tblPr>
      <w:tblGrid>
        <w:gridCol w:w="370"/>
        <w:gridCol w:w="375"/>
        <w:gridCol w:w="360"/>
        <w:gridCol w:w="3045"/>
        <w:gridCol w:w="885"/>
        <w:gridCol w:w="900"/>
        <w:gridCol w:w="760"/>
        <w:gridCol w:w="823"/>
        <w:gridCol w:w="950"/>
        <w:gridCol w:w="952"/>
      </w:tblGrid>
      <w:tr>
        <w:tblPrEx>
          <w:tblCellMar>
            <w:top w:w="15" w:type="dxa"/>
            <w:left w:w="108" w:type="dxa"/>
            <w:bottom w:w="15" w:type="dxa"/>
            <w:right w:w="108" w:type="dxa"/>
          </w:tblCellMar>
        </w:tblPrEx>
        <w:trPr>
          <w:trHeight w:val="285" w:hRule="atLeast"/>
          <w:jc w:val="center"/>
        </w:trPr>
        <w:tc>
          <w:tcPr>
            <w:tcW w:w="370" w:type="dxa"/>
            <w:noWrap w:val="0"/>
            <w:vAlign w:val="bottom"/>
          </w:tcPr>
          <w:p>
            <w:pPr>
              <w:pStyle w:val="4"/>
              <w:widowControl/>
              <w:jc w:val="left"/>
              <w:rPr>
                <w:rFonts w:ascii="Arial" w:hAnsi="Arial" w:cs="Arial"/>
                <w:color w:val="000000"/>
                <w:sz w:val="20"/>
                <w:szCs w:val="20"/>
              </w:rPr>
            </w:pPr>
          </w:p>
        </w:tc>
        <w:tc>
          <w:tcPr>
            <w:tcW w:w="375" w:type="dxa"/>
            <w:noWrap w:val="0"/>
            <w:vAlign w:val="bottom"/>
          </w:tcPr>
          <w:p>
            <w:pPr>
              <w:pStyle w:val="4"/>
              <w:widowControl/>
              <w:jc w:val="left"/>
              <w:rPr>
                <w:rFonts w:ascii="Arial" w:hAnsi="Arial" w:cs="Arial"/>
                <w:color w:val="000000"/>
                <w:sz w:val="20"/>
                <w:szCs w:val="20"/>
              </w:rPr>
            </w:pPr>
          </w:p>
        </w:tc>
        <w:tc>
          <w:tcPr>
            <w:tcW w:w="360" w:type="dxa"/>
            <w:noWrap w:val="0"/>
            <w:vAlign w:val="bottom"/>
          </w:tcPr>
          <w:p>
            <w:pPr>
              <w:pStyle w:val="4"/>
              <w:widowControl/>
              <w:jc w:val="left"/>
              <w:rPr>
                <w:rFonts w:ascii="Arial" w:hAnsi="Arial" w:cs="Arial"/>
                <w:color w:val="000000"/>
                <w:sz w:val="20"/>
                <w:szCs w:val="20"/>
              </w:rPr>
            </w:pPr>
          </w:p>
        </w:tc>
        <w:tc>
          <w:tcPr>
            <w:tcW w:w="3045" w:type="dxa"/>
            <w:noWrap w:val="0"/>
            <w:vAlign w:val="bottom"/>
          </w:tcPr>
          <w:p>
            <w:pPr>
              <w:pStyle w:val="4"/>
              <w:widowControl/>
              <w:jc w:val="left"/>
              <w:rPr>
                <w:rFonts w:ascii="Arial" w:hAnsi="Arial" w:cs="Arial"/>
                <w:color w:val="000000"/>
                <w:sz w:val="20"/>
                <w:szCs w:val="20"/>
              </w:rPr>
            </w:pPr>
          </w:p>
        </w:tc>
        <w:tc>
          <w:tcPr>
            <w:tcW w:w="885" w:type="dxa"/>
            <w:noWrap w:val="0"/>
            <w:vAlign w:val="bottom"/>
          </w:tcPr>
          <w:p>
            <w:pPr>
              <w:pStyle w:val="4"/>
              <w:widowControl/>
              <w:jc w:val="left"/>
              <w:rPr>
                <w:rFonts w:ascii="Arial" w:hAnsi="Arial" w:cs="Arial"/>
                <w:color w:val="000000"/>
                <w:sz w:val="20"/>
                <w:szCs w:val="20"/>
              </w:rPr>
            </w:pPr>
          </w:p>
        </w:tc>
        <w:tc>
          <w:tcPr>
            <w:tcW w:w="900" w:type="dxa"/>
            <w:noWrap w:val="0"/>
            <w:vAlign w:val="bottom"/>
          </w:tcPr>
          <w:p>
            <w:pPr>
              <w:pStyle w:val="4"/>
              <w:widowControl/>
              <w:jc w:val="left"/>
              <w:rPr>
                <w:rFonts w:ascii="Arial" w:hAnsi="Arial" w:cs="Arial"/>
                <w:color w:val="000000"/>
                <w:sz w:val="20"/>
                <w:szCs w:val="20"/>
              </w:rPr>
            </w:pPr>
          </w:p>
        </w:tc>
        <w:tc>
          <w:tcPr>
            <w:tcW w:w="760" w:type="dxa"/>
            <w:noWrap w:val="0"/>
            <w:vAlign w:val="bottom"/>
          </w:tcPr>
          <w:p>
            <w:pPr>
              <w:pStyle w:val="4"/>
              <w:widowControl/>
              <w:jc w:val="left"/>
              <w:rPr>
                <w:rFonts w:ascii="Arial" w:hAnsi="Arial" w:cs="Arial"/>
                <w:color w:val="000000"/>
                <w:sz w:val="20"/>
                <w:szCs w:val="20"/>
              </w:rPr>
            </w:pPr>
          </w:p>
        </w:tc>
        <w:tc>
          <w:tcPr>
            <w:tcW w:w="823" w:type="dxa"/>
            <w:noWrap w:val="0"/>
            <w:vAlign w:val="bottom"/>
          </w:tcPr>
          <w:p>
            <w:pPr>
              <w:pStyle w:val="4"/>
              <w:widowControl/>
              <w:jc w:val="left"/>
              <w:rPr>
                <w:rFonts w:ascii="Arial" w:hAnsi="Arial" w:cs="Arial"/>
                <w:color w:val="000000"/>
                <w:sz w:val="20"/>
                <w:szCs w:val="20"/>
              </w:rPr>
            </w:pPr>
          </w:p>
        </w:tc>
        <w:tc>
          <w:tcPr>
            <w:tcW w:w="1902" w:type="dxa"/>
            <w:gridSpan w:val="2"/>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公开03表</w:t>
            </w:r>
          </w:p>
        </w:tc>
      </w:tr>
      <w:tr>
        <w:tblPrEx>
          <w:tblCellMar>
            <w:top w:w="15" w:type="dxa"/>
            <w:left w:w="108" w:type="dxa"/>
            <w:bottom w:w="15" w:type="dxa"/>
            <w:right w:w="108" w:type="dxa"/>
          </w:tblCellMar>
        </w:tblPrEx>
        <w:trPr>
          <w:trHeight w:val="300" w:hRule="atLeast"/>
          <w:jc w:val="center"/>
        </w:trPr>
        <w:tc>
          <w:tcPr>
            <w:tcW w:w="745" w:type="dxa"/>
            <w:gridSpan w:val="2"/>
            <w:tcBorders>
              <w:bottom w:val="single" w:color="000000" w:sz="4" w:space="0"/>
            </w:tcBorders>
            <w:noWrap w:val="0"/>
            <w:vAlign w:val="bottom"/>
          </w:tcPr>
          <w:p>
            <w:pPr>
              <w:pStyle w:val="4"/>
              <w:widowControl/>
              <w:jc w:val="left"/>
              <w:rPr>
                <w:rFonts w:ascii="Arial" w:hAnsi="Arial" w:cs="Arial"/>
                <w:color w:val="000000"/>
                <w:sz w:val="20"/>
                <w:szCs w:val="20"/>
              </w:rPr>
            </w:pPr>
            <w:r>
              <w:rPr>
                <w:rFonts w:hint="eastAsia" w:ascii="宋体" w:hAnsi="宋体" w:cs="宋体"/>
                <w:color w:val="000000"/>
                <w:sz w:val="20"/>
                <w:szCs w:val="20"/>
              </w:rPr>
              <w:t>部门：</w:t>
            </w:r>
          </w:p>
        </w:tc>
        <w:tc>
          <w:tcPr>
            <w:tcW w:w="360" w:type="dxa"/>
            <w:tcBorders>
              <w:bottom w:val="single" w:color="000000" w:sz="4" w:space="0"/>
            </w:tcBorders>
            <w:noWrap w:val="0"/>
            <w:vAlign w:val="bottom"/>
          </w:tcPr>
          <w:p>
            <w:pPr>
              <w:pStyle w:val="4"/>
              <w:widowControl/>
              <w:jc w:val="left"/>
              <w:rPr>
                <w:rFonts w:ascii="Arial" w:hAnsi="Arial" w:cs="Arial"/>
                <w:color w:val="000000"/>
                <w:sz w:val="20"/>
                <w:szCs w:val="20"/>
              </w:rPr>
            </w:pPr>
          </w:p>
        </w:tc>
        <w:tc>
          <w:tcPr>
            <w:tcW w:w="3045" w:type="dxa"/>
            <w:tcBorders>
              <w:bottom w:val="single" w:color="000000" w:sz="4" w:space="0"/>
            </w:tcBorders>
            <w:noWrap w:val="0"/>
            <w:vAlign w:val="bottom"/>
          </w:tcPr>
          <w:p>
            <w:pPr>
              <w:pStyle w:val="4"/>
              <w:widowControl/>
              <w:jc w:val="left"/>
              <w:rPr>
                <w:rFonts w:ascii="Arial" w:hAnsi="Arial" w:cs="Arial"/>
                <w:color w:val="000000"/>
                <w:sz w:val="20"/>
                <w:szCs w:val="20"/>
              </w:rPr>
            </w:pPr>
            <w:r>
              <w:rPr>
                <w:rFonts w:hint="eastAsia" w:ascii="Arial" w:hAnsi="Arial" w:cs="Arial"/>
                <w:color w:val="000000"/>
                <w:sz w:val="20"/>
                <w:szCs w:val="20"/>
              </w:rPr>
              <w:t>八公山区公共就业服务管理中心</w:t>
            </w:r>
          </w:p>
        </w:tc>
        <w:tc>
          <w:tcPr>
            <w:tcW w:w="885" w:type="dxa"/>
            <w:tcBorders>
              <w:bottom w:val="single" w:color="000000" w:sz="4" w:space="0"/>
            </w:tcBorders>
            <w:noWrap w:val="0"/>
            <w:vAlign w:val="bottom"/>
          </w:tcPr>
          <w:p>
            <w:pPr>
              <w:pStyle w:val="4"/>
              <w:widowControl/>
              <w:jc w:val="left"/>
              <w:rPr>
                <w:rFonts w:ascii="Arial" w:hAnsi="Arial" w:cs="Arial"/>
                <w:color w:val="000000"/>
                <w:sz w:val="20"/>
                <w:szCs w:val="20"/>
              </w:rPr>
            </w:pPr>
          </w:p>
        </w:tc>
        <w:tc>
          <w:tcPr>
            <w:tcW w:w="900" w:type="dxa"/>
            <w:tcBorders>
              <w:bottom w:val="single" w:color="000000" w:sz="4" w:space="0"/>
            </w:tcBorders>
            <w:noWrap w:val="0"/>
            <w:vAlign w:val="bottom"/>
          </w:tcPr>
          <w:p>
            <w:pPr>
              <w:pStyle w:val="4"/>
              <w:widowControl/>
              <w:jc w:val="center"/>
              <w:rPr>
                <w:rFonts w:hint="eastAsia" w:ascii="宋体" w:hAnsi="宋体" w:cs="宋体"/>
                <w:color w:val="000000"/>
                <w:sz w:val="24"/>
                <w:szCs w:val="24"/>
              </w:rPr>
            </w:pPr>
          </w:p>
        </w:tc>
        <w:tc>
          <w:tcPr>
            <w:tcW w:w="760" w:type="dxa"/>
            <w:tcBorders>
              <w:bottom w:val="single" w:color="000000" w:sz="4" w:space="0"/>
            </w:tcBorders>
            <w:noWrap w:val="0"/>
            <w:vAlign w:val="bottom"/>
          </w:tcPr>
          <w:p>
            <w:pPr>
              <w:pStyle w:val="4"/>
              <w:widowControl/>
              <w:jc w:val="left"/>
              <w:rPr>
                <w:rFonts w:ascii="Arial" w:hAnsi="Arial" w:cs="Arial"/>
                <w:color w:val="000000"/>
                <w:sz w:val="20"/>
                <w:szCs w:val="20"/>
              </w:rPr>
            </w:pPr>
          </w:p>
        </w:tc>
        <w:tc>
          <w:tcPr>
            <w:tcW w:w="823" w:type="dxa"/>
            <w:tcBorders>
              <w:bottom w:val="single" w:color="000000" w:sz="4" w:space="0"/>
            </w:tcBorders>
            <w:noWrap w:val="0"/>
            <w:vAlign w:val="bottom"/>
          </w:tcPr>
          <w:p>
            <w:pPr>
              <w:pStyle w:val="4"/>
              <w:widowControl/>
              <w:jc w:val="left"/>
              <w:rPr>
                <w:rFonts w:ascii="Arial" w:hAnsi="Arial" w:cs="Arial"/>
                <w:color w:val="000000"/>
                <w:sz w:val="20"/>
                <w:szCs w:val="20"/>
              </w:rPr>
            </w:pPr>
          </w:p>
        </w:tc>
        <w:tc>
          <w:tcPr>
            <w:tcW w:w="1902" w:type="dxa"/>
            <w:gridSpan w:val="2"/>
            <w:tcBorders>
              <w:bottom w:val="single" w:color="000000" w:sz="4" w:space="0"/>
            </w:tcBorders>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trHeight w:val="450" w:hRule="atLeast"/>
          <w:jc w:val="center"/>
        </w:trPr>
        <w:tc>
          <w:tcPr>
            <w:tcW w:w="4150"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885"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本年支出合计</w:t>
            </w:r>
          </w:p>
        </w:tc>
        <w:tc>
          <w:tcPr>
            <w:tcW w:w="90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76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c>
          <w:tcPr>
            <w:tcW w:w="823"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上缴上级支出</w:t>
            </w:r>
          </w:p>
        </w:tc>
        <w:tc>
          <w:tcPr>
            <w:tcW w:w="95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经营支出</w:t>
            </w:r>
          </w:p>
        </w:tc>
        <w:tc>
          <w:tcPr>
            <w:tcW w:w="952"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对附属单位补助支出</w:t>
            </w:r>
          </w:p>
        </w:tc>
      </w:tr>
      <w:tr>
        <w:tblPrEx>
          <w:tblCellMar>
            <w:top w:w="15" w:type="dxa"/>
            <w:left w:w="108" w:type="dxa"/>
            <w:bottom w:w="15" w:type="dxa"/>
            <w:right w:w="108" w:type="dxa"/>
          </w:tblCellMar>
        </w:tblPrEx>
        <w:trPr>
          <w:trHeight w:val="975" w:hRule="atLeast"/>
          <w:jc w:val="center"/>
        </w:trPr>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304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885" w:type="dxa"/>
            <w:vMerge w:val="continue"/>
            <w:tcBorders>
              <w:top w:val="nil"/>
              <w:left w:val="nil"/>
              <w:bottom w:val="single" w:color="000000" w:sz="4" w:space="0"/>
              <w:right w:val="single" w:color="000000" w:sz="4" w:space="0"/>
            </w:tcBorders>
            <w:noWrap w:val="0"/>
            <w:vAlign w:val="center"/>
          </w:tcPr>
          <w:p>
            <w:pPr>
              <w:rPr>
                <w:sz w:val="20"/>
              </w:rPr>
            </w:pPr>
          </w:p>
        </w:tc>
        <w:tc>
          <w:tcPr>
            <w:tcW w:w="900" w:type="dxa"/>
            <w:vMerge w:val="continue"/>
            <w:tcBorders>
              <w:top w:val="nil"/>
              <w:left w:val="nil"/>
              <w:bottom w:val="single" w:color="000000" w:sz="4" w:space="0"/>
              <w:right w:val="single" w:color="000000" w:sz="4" w:space="0"/>
            </w:tcBorders>
            <w:noWrap w:val="0"/>
            <w:vAlign w:val="center"/>
          </w:tcPr>
          <w:p>
            <w:pPr>
              <w:rPr>
                <w:sz w:val="20"/>
              </w:rPr>
            </w:pPr>
          </w:p>
        </w:tc>
        <w:tc>
          <w:tcPr>
            <w:tcW w:w="760" w:type="dxa"/>
            <w:vMerge w:val="continue"/>
            <w:tcBorders>
              <w:top w:val="nil"/>
              <w:left w:val="nil"/>
              <w:bottom w:val="single" w:color="000000" w:sz="4" w:space="0"/>
              <w:right w:val="single" w:color="000000" w:sz="4" w:space="0"/>
            </w:tcBorders>
            <w:noWrap w:val="0"/>
            <w:vAlign w:val="center"/>
          </w:tcPr>
          <w:p>
            <w:pPr>
              <w:rPr>
                <w:sz w:val="20"/>
              </w:rPr>
            </w:pPr>
          </w:p>
        </w:tc>
        <w:tc>
          <w:tcPr>
            <w:tcW w:w="823" w:type="dxa"/>
            <w:vMerge w:val="continue"/>
            <w:tcBorders>
              <w:top w:val="nil"/>
              <w:left w:val="nil"/>
              <w:bottom w:val="single" w:color="000000" w:sz="4" w:space="0"/>
              <w:right w:val="single" w:color="000000" w:sz="4" w:space="0"/>
            </w:tcBorders>
            <w:noWrap w:val="0"/>
            <w:vAlign w:val="center"/>
          </w:tcPr>
          <w:p>
            <w:pPr>
              <w:rPr>
                <w:sz w:val="20"/>
              </w:rPr>
            </w:pPr>
          </w:p>
        </w:tc>
        <w:tc>
          <w:tcPr>
            <w:tcW w:w="950" w:type="dxa"/>
            <w:vMerge w:val="continue"/>
            <w:tcBorders>
              <w:top w:val="nil"/>
              <w:left w:val="nil"/>
              <w:bottom w:val="single" w:color="000000" w:sz="4" w:space="0"/>
              <w:right w:val="single" w:color="000000" w:sz="4" w:space="0"/>
            </w:tcBorders>
            <w:noWrap w:val="0"/>
            <w:vAlign w:val="center"/>
          </w:tcPr>
          <w:p>
            <w:pPr>
              <w:rPr>
                <w:sz w:val="20"/>
              </w:rPr>
            </w:pPr>
          </w:p>
        </w:tc>
        <w:tc>
          <w:tcPr>
            <w:tcW w:w="952" w:type="dxa"/>
            <w:vMerge w:val="continue"/>
            <w:tcBorders>
              <w:top w:val="nil"/>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450" w:hRule="atLeast"/>
          <w:jc w:val="center"/>
        </w:trPr>
        <w:tc>
          <w:tcPr>
            <w:tcW w:w="370"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类</w:t>
            </w:r>
          </w:p>
        </w:tc>
        <w:tc>
          <w:tcPr>
            <w:tcW w:w="37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款</w:t>
            </w:r>
          </w:p>
        </w:tc>
        <w:tc>
          <w:tcPr>
            <w:tcW w:w="36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w:t>
            </w:r>
          </w:p>
        </w:tc>
        <w:tc>
          <w:tcPr>
            <w:tcW w:w="304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8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56.74</w:t>
            </w:r>
          </w:p>
        </w:tc>
        <w:tc>
          <w:tcPr>
            <w:tcW w:w="90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b/>
                <w:bCs/>
                <w:i w:val="0"/>
                <w:iCs w:val="0"/>
                <w:color w:val="000000"/>
                <w:kern w:val="0"/>
                <w:sz w:val="22"/>
                <w:szCs w:val="22"/>
                <w:u w:val="none"/>
                <w:lang w:val="en-US" w:eastAsia="zh-CN" w:bidi="ar"/>
              </w:rPr>
              <w:t>56.74</w:t>
            </w:r>
          </w:p>
        </w:tc>
        <w:tc>
          <w:tcPr>
            <w:tcW w:w="76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2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2"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lang w:val="en-US" w:eastAsia="zh-CN"/>
              </w:rPr>
              <w:t>208</w:t>
            </w:r>
          </w:p>
        </w:tc>
        <w:tc>
          <w:tcPr>
            <w:tcW w:w="30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8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54.56</w:t>
            </w:r>
          </w:p>
        </w:tc>
        <w:tc>
          <w:tcPr>
            <w:tcW w:w="90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54.56</w:t>
            </w:r>
          </w:p>
        </w:tc>
        <w:tc>
          <w:tcPr>
            <w:tcW w:w="76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2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2"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20801</w:t>
            </w:r>
          </w:p>
        </w:tc>
        <w:tc>
          <w:tcPr>
            <w:tcW w:w="30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8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49.79</w:t>
            </w:r>
          </w:p>
        </w:tc>
        <w:tc>
          <w:tcPr>
            <w:tcW w:w="90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49.79</w:t>
            </w:r>
          </w:p>
        </w:tc>
        <w:tc>
          <w:tcPr>
            <w:tcW w:w="76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2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2"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2080106</w:t>
            </w:r>
          </w:p>
        </w:tc>
        <w:tc>
          <w:tcPr>
            <w:tcW w:w="30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就业管理事务</w:t>
            </w:r>
          </w:p>
        </w:tc>
        <w:tc>
          <w:tcPr>
            <w:tcW w:w="8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49.79</w:t>
            </w:r>
          </w:p>
        </w:tc>
        <w:tc>
          <w:tcPr>
            <w:tcW w:w="90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49.79</w:t>
            </w:r>
          </w:p>
        </w:tc>
        <w:tc>
          <w:tcPr>
            <w:tcW w:w="76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2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2"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20805</w:t>
            </w:r>
          </w:p>
        </w:tc>
        <w:tc>
          <w:tcPr>
            <w:tcW w:w="30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8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90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76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2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2"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2080502</w:t>
            </w:r>
          </w:p>
        </w:tc>
        <w:tc>
          <w:tcPr>
            <w:tcW w:w="30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事业单位离退休</w:t>
            </w:r>
          </w:p>
        </w:tc>
        <w:tc>
          <w:tcPr>
            <w:tcW w:w="8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90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76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2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2"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20808</w:t>
            </w:r>
          </w:p>
        </w:tc>
        <w:tc>
          <w:tcPr>
            <w:tcW w:w="30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8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0.73</w:t>
            </w:r>
          </w:p>
        </w:tc>
        <w:tc>
          <w:tcPr>
            <w:tcW w:w="90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0.73</w:t>
            </w:r>
          </w:p>
        </w:tc>
        <w:tc>
          <w:tcPr>
            <w:tcW w:w="76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2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2"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2080801</w:t>
            </w:r>
          </w:p>
        </w:tc>
        <w:tc>
          <w:tcPr>
            <w:tcW w:w="30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死亡抚恤</w:t>
            </w:r>
          </w:p>
        </w:tc>
        <w:tc>
          <w:tcPr>
            <w:tcW w:w="8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0.73</w:t>
            </w:r>
          </w:p>
        </w:tc>
        <w:tc>
          <w:tcPr>
            <w:tcW w:w="90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0.73</w:t>
            </w:r>
          </w:p>
        </w:tc>
        <w:tc>
          <w:tcPr>
            <w:tcW w:w="76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2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2"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20899</w:t>
            </w:r>
          </w:p>
        </w:tc>
        <w:tc>
          <w:tcPr>
            <w:tcW w:w="30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8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0.04</w:t>
            </w:r>
          </w:p>
        </w:tc>
        <w:tc>
          <w:tcPr>
            <w:tcW w:w="90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0.04</w:t>
            </w:r>
          </w:p>
        </w:tc>
        <w:tc>
          <w:tcPr>
            <w:tcW w:w="76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2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2"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2089901</w:t>
            </w:r>
          </w:p>
        </w:tc>
        <w:tc>
          <w:tcPr>
            <w:tcW w:w="30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8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0.04</w:t>
            </w:r>
          </w:p>
        </w:tc>
        <w:tc>
          <w:tcPr>
            <w:tcW w:w="90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0.04</w:t>
            </w:r>
          </w:p>
        </w:tc>
        <w:tc>
          <w:tcPr>
            <w:tcW w:w="76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2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2"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210</w:t>
            </w:r>
          </w:p>
        </w:tc>
        <w:tc>
          <w:tcPr>
            <w:tcW w:w="30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8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90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76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2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2"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21011</w:t>
            </w:r>
          </w:p>
        </w:tc>
        <w:tc>
          <w:tcPr>
            <w:tcW w:w="30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8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90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76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2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2"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2101102</w:t>
            </w:r>
          </w:p>
        </w:tc>
        <w:tc>
          <w:tcPr>
            <w:tcW w:w="30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事业单位医疗</w:t>
            </w:r>
          </w:p>
        </w:tc>
        <w:tc>
          <w:tcPr>
            <w:tcW w:w="8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90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76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2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2"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221</w:t>
            </w:r>
          </w:p>
        </w:tc>
        <w:tc>
          <w:tcPr>
            <w:tcW w:w="30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8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90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76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2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2"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22102</w:t>
            </w:r>
          </w:p>
        </w:tc>
        <w:tc>
          <w:tcPr>
            <w:tcW w:w="30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8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90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76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2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2"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450" w:hRule="atLeast"/>
          <w:jc w:val="center"/>
        </w:trPr>
        <w:tc>
          <w:tcPr>
            <w:tcW w:w="110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2210201</w:t>
            </w:r>
          </w:p>
        </w:tc>
        <w:tc>
          <w:tcPr>
            <w:tcW w:w="304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住房公积金</w:t>
            </w:r>
          </w:p>
        </w:tc>
        <w:tc>
          <w:tcPr>
            <w:tcW w:w="8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90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76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82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952"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bl>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四、财政拨款收入支出决算总表</w:t>
      </w:r>
    </w:p>
    <w:tbl>
      <w:tblPr>
        <w:tblStyle w:val="2"/>
        <w:tblW w:w="9795" w:type="dxa"/>
        <w:jc w:val="center"/>
        <w:tblLayout w:type="fixed"/>
        <w:tblCellMar>
          <w:top w:w="15" w:type="dxa"/>
          <w:left w:w="108" w:type="dxa"/>
          <w:bottom w:w="15" w:type="dxa"/>
          <w:right w:w="108" w:type="dxa"/>
        </w:tblCellMar>
      </w:tblPr>
      <w:tblGrid>
        <w:gridCol w:w="2454"/>
        <w:gridCol w:w="893"/>
        <w:gridCol w:w="424"/>
        <w:gridCol w:w="1136"/>
        <w:gridCol w:w="433"/>
        <w:gridCol w:w="617"/>
        <w:gridCol w:w="1063"/>
        <w:gridCol w:w="1237"/>
        <w:gridCol w:w="1538"/>
      </w:tblGrid>
      <w:tr>
        <w:tblPrEx>
          <w:tblCellMar>
            <w:top w:w="15" w:type="dxa"/>
            <w:left w:w="108" w:type="dxa"/>
            <w:bottom w:w="15" w:type="dxa"/>
            <w:right w:w="108" w:type="dxa"/>
          </w:tblCellMar>
        </w:tblPrEx>
        <w:trPr>
          <w:trHeight w:val="285" w:hRule="atLeast"/>
          <w:jc w:val="center"/>
        </w:trPr>
        <w:tc>
          <w:tcPr>
            <w:tcW w:w="2454" w:type="dxa"/>
            <w:noWrap w:val="0"/>
            <w:vAlign w:val="bottom"/>
          </w:tcPr>
          <w:p>
            <w:pPr>
              <w:pStyle w:val="4"/>
              <w:widowControl/>
              <w:jc w:val="left"/>
              <w:rPr>
                <w:rFonts w:ascii="Arial" w:hAnsi="Arial" w:cs="Arial"/>
                <w:color w:val="000000"/>
                <w:sz w:val="20"/>
                <w:szCs w:val="20"/>
              </w:rPr>
            </w:pPr>
          </w:p>
        </w:tc>
        <w:tc>
          <w:tcPr>
            <w:tcW w:w="1317" w:type="dxa"/>
            <w:gridSpan w:val="2"/>
            <w:noWrap w:val="0"/>
            <w:vAlign w:val="bottom"/>
          </w:tcPr>
          <w:p>
            <w:pPr>
              <w:pStyle w:val="4"/>
              <w:widowControl/>
              <w:jc w:val="left"/>
              <w:rPr>
                <w:rFonts w:ascii="Arial" w:hAnsi="Arial" w:cs="Arial"/>
                <w:color w:val="000000"/>
                <w:sz w:val="20"/>
                <w:szCs w:val="20"/>
              </w:rPr>
            </w:pPr>
          </w:p>
        </w:tc>
        <w:tc>
          <w:tcPr>
            <w:tcW w:w="1569" w:type="dxa"/>
            <w:gridSpan w:val="2"/>
            <w:noWrap w:val="0"/>
            <w:vAlign w:val="bottom"/>
          </w:tcPr>
          <w:p>
            <w:pPr>
              <w:pStyle w:val="4"/>
              <w:widowControl/>
              <w:jc w:val="left"/>
              <w:rPr>
                <w:rFonts w:ascii="Arial" w:hAnsi="Arial" w:cs="Arial"/>
                <w:color w:val="000000"/>
                <w:sz w:val="20"/>
                <w:szCs w:val="20"/>
              </w:rPr>
            </w:pPr>
          </w:p>
        </w:tc>
        <w:tc>
          <w:tcPr>
            <w:tcW w:w="4455" w:type="dxa"/>
            <w:gridSpan w:val="4"/>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公开04表</w:t>
            </w:r>
          </w:p>
        </w:tc>
      </w:tr>
      <w:tr>
        <w:tblPrEx>
          <w:tblCellMar>
            <w:top w:w="15" w:type="dxa"/>
            <w:left w:w="108" w:type="dxa"/>
            <w:bottom w:w="15" w:type="dxa"/>
            <w:right w:w="108" w:type="dxa"/>
          </w:tblCellMar>
        </w:tblPrEx>
        <w:trPr>
          <w:trHeight w:val="270" w:hRule="atLeast"/>
          <w:jc w:val="center"/>
        </w:trPr>
        <w:tc>
          <w:tcPr>
            <w:tcW w:w="2454" w:type="dxa"/>
            <w:tcBorders>
              <w:bottom w:val="single" w:color="000000" w:sz="4" w:space="0"/>
            </w:tcBorders>
            <w:noWrap w:val="0"/>
            <w:vAlign w:val="bottom"/>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部门：八公山区公共就业服务管理中心</w:t>
            </w:r>
          </w:p>
        </w:tc>
        <w:tc>
          <w:tcPr>
            <w:tcW w:w="1317" w:type="dxa"/>
            <w:gridSpan w:val="2"/>
            <w:tcBorders>
              <w:bottom w:val="single" w:color="000000" w:sz="4" w:space="0"/>
            </w:tcBorders>
            <w:noWrap w:val="0"/>
            <w:vAlign w:val="bottom"/>
          </w:tcPr>
          <w:p>
            <w:pPr>
              <w:pStyle w:val="4"/>
              <w:widowControl/>
              <w:jc w:val="center"/>
              <w:rPr>
                <w:rFonts w:hint="eastAsia" w:ascii="宋体" w:hAnsi="宋体" w:cs="宋体"/>
                <w:color w:val="000000"/>
                <w:sz w:val="20"/>
                <w:szCs w:val="20"/>
              </w:rPr>
            </w:pPr>
          </w:p>
        </w:tc>
        <w:tc>
          <w:tcPr>
            <w:tcW w:w="1569" w:type="dxa"/>
            <w:gridSpan w:val="2"/>
            <w:tcBorders>
              <w:bottom w:val="single" w:color="000000" w:sz="4" w:space="0"/>
            </w:tcBorders>
            <w:noWrap w:val="0"/>
            <w:vAlign w:val="bottom"/>
          </w:tcPr>
          <w:p>
            <w:pPr>
              <w:pStyle w:val="4"/>
              <w:widowControl/>
              <w:jc w:val="left"/>
              <w:rPr>
                <w:rFonts w:ascii="Arial" w:hAnsi="Arial" w:cs="Arial"/>
                <w:color w:val="000000"/>
                <w:sz w:val="20"/>
                <w:szCs w:val="20"/>
              </w:rPr>
            </w:pPr>
          </w:p>
        </w:tc>
        <w:tc>
          <w:tcPr>
            <w:tcW w:w="4455" w:type="dxa"/>
            <w:gridSpan w:val="4"/>
            <w:tcBorders>
              <w:bottom w:val="single" w:color="000000" w:sz="4" w:space="0"/>
            </w:tcBorders>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trHeight w:val="300" w:hRule="atLeast"/>
          <w:jc w:val="center"/>
        </w:trPr>
        <w:tc>
          <w:tcPr>
            <w:tcW w:w="334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收     入</w:t>
            </w:r>
          </w:p>
        </w:tc>
        <w:tc>
          <w:tcPr>
            <w:tcW w:w="6448" w:type="dxa"/>
            <w:gridSpan w:val="7"/>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支     出</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金额</w:t>
            </w: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1050"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小计</w:t>
            </w:r>
          </w:p>
        </w:tc>
        <w:tc>
          <w:tcPr>
            <w:tcW w:w="1063"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一般公共预算财政拨款</w:t>
            </w:r>
          </w:p>
        </w:tc>
        <w:tc>
          <w:tcPr>
            <w:tcW w:w="1237"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政府性基金预算财政拨款</w:t>
            </w:r>
          </w:p>
        </w:tc>
        <w:tc>
          <w:tcPr>
            <w:tcW w:w="1538"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国有资本经营预算财政拨款</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栏次</w:t>
            </w: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1</w:t>
            </w: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栏次</w:t>
            </w:r>
          </w:p>
        </w:tc>
        <w:tc>
          <w:tcPr>
            <w:tcW w:w="1050"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2</w:t>
            </w:r>
          </w:p>
        </w:tc>
        <w:tc>
          <w:tcPr>
            <w:tcW w:w="1063"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3</w:t>
            </w:r>
          </w:p>
        </w:tc>
        <w:tc>
          <w:tcPr>
            <w:tcW w:w="1237"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4</w:t>
            </w:r>
          </w:p>
        </w:tc>
        <w:tc>
          <w:tcPr>
            <w:tcW w:w="1538"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0"/>
                <w:szCs w:val="20"/>
              </w:rPr>
              <w:t>5</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一、一般公共预算财政拨款</w:t>
            </w: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default" w:ascii="Times New Roman" w:hAnsi="Times New Roman" w:eastAsia="宋体" w:cs="Times New Roman"/>
                <w:color w:val="000000"/>
                <w:sz w:val="32"/>
                <w:szCs w:val="32"/>
                <w:lang w:val="en-US" w:eastAsia="zh-CN"/>
              </w:rPr>
            </w:pPr>
            <w:r>
              <w:rPr>
                <w:rFonts w:hint="eastAsia" w:ascii="宋体" w:hAnsi="宋体" w:eastAsia="宋体" w:cs="宋体"/>
                <w:color w:val="000000"/>
                <w:sz w:val="22"/>
                <w:szCs w:val="22"/>
                <w:lang w:val="en-US" w:eastAsia="zh-CN"/>
              </w:rPr>
              <w:t>56.74</w:t>
            </w: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一、一般公共服务支出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二、政府性基金预算财政拨款</w:t>
            </w:r>
          </w:p>
        </w:tc>
        <w:tc>
          <w:tcPr>
            <w:tcW w:w="893"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二、外交支出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三、国有资本经营预算财政拨款</w:t>
            </w:r>
          </w:p>
        </w:tc>
        <w:tc>
          <w:tcPr>
            <w:tcW w:w="893"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三、国防支出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四、公共安全支出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五、教育支出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六、科学技术支出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七、文化旅游体育与传媒支出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八、社会保障和就业支出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54.56</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54.56</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九、卫生健康支出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十、节能环保支出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十一、城乡社区支出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十二、农林水支出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十三、交通运输支出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十四、资源勘探工业信息等支出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十五、商业服务业等支出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十六、金融支出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十七、援助其他地区支出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十八、自然资源海洋气象等支出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十九、住房保障支出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二十、粮油物资储备支出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二十一、国有资本经营预算支出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2"/>
                <w:szCs w:val="22"/>
              </w:rPr>
              <w:t>二十二、灾害防治及应急管理支出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2"/>
                <w:szCs w:val="22"/>
              </w:rPr>
              <w:t>二十三、其他支出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b/>
                <w:color w:val="000000"/>
                <w:sz w:val="22"/>
                <w:szCs w:val="22"/>
              </w:rPr>
            </w:pPr>
            <w:r>
              <w:rPr>
                <w:rFonts w:hint="eastAsia" w:ascii="宋体" w:hAnsi="宋体" w:cs="宋体"/>
                <w:b/>
                <w:color w:val="000000"/>
                <w:sz w:val="22"/>
                <w:szCs w:val="22"/>
              </w:rPr>
              <w:t>本年收入合计</w:t>
            </w: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56.74</w:t>
            </w: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二十四、债务还本支出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年初财政拨款结转和结余</w:t>
            </w: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二十五、债务付息支出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一、一般公共预算财政拨款</w:t>
            </w:r>
          </w:p>
        </w:tc>
        <w:tc>
          <w:tcPr>
            <w:tcW w:w="893"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二十六、抗疫特别国债安排的支出</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二、政府性基金预算财政拨款</w:t>
            </w:r>
          </w:p>
        </w:tc>
        <w:tc>
          <w:tcPr>
            <w:tcW w:w="893"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b/>
                <w:color w:val="000000"/>
                <w:sz w:val="22"/>
                <w:szCs w:val="22"/>
              </w:rPr>
              <w:t>本年支出合计</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56.74</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56.74</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r>
              <w:rPr>
                <w:rFonts w:hint="eastAsia" w:ascii="宋体" w:hAnsi="宋体" w:cs="宋体"/>
                <w:color w:val="000000"/>
                <w:sz w:val="22"/>
                <w:szCs w:val="22"/>
              </w:rPr>
              <w:t>三、国有资本经营预算财政拨款</w:t>
            </w:r>
          </w:p>
        </w:tc>
        <w:tc>
          <w:tcPr>
            <w:tcW w:w="893"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年末财政拨款结转和结余</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r>
              <w:rPr>
                <w:rFonts w:hint="eastAsia" w:ascii="宋体" w:hAnsi="宋体" w:cs="宋体"/>
                <w:color w:val="000000"/>
                <w:sz w:val="22"/>
                <w:szCs w:val="22"/>
                <w:lang w:val="en-US" w:eastAsia="zh-CN"/>
              </w:rPr>
              <w:t>0.00</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b/>
                <w:color w:val="000000"/>
                <w:sz w:val="22"/>
                <w:szCs w:val="22"/>
              </w:rPr>
              <w:t>总计</w:t>
            </w:r>
          </w:p>
        </w:tc>
        <w:tc>
          <w:tcPr>
            <w:tcW w:w="893"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宋体" w:hAnsi="宋体" w:eastAsia="宋体" w:cs="宋体"/>
                <w:i w:val="0"/>
                <w:iCs w:val="0"/>
                <w:color w:val="000000"/>
                <w:kern w:val="0"/>
                <w:sz w:val="22"/>
                <w:szCs w:val="22"/>
                <w:u w:val="none"/>
                <w:lang w:val="en-US" w:eastAsia="zh-CN" w:bidi="ar"/>
              </w:rPr>
              <w:t>56.74</w:t>
            </w:r>
          </w:p>
        </w:tc>
        <w:tc>
          <w:tcPr>
            <w:tcW w:w="1560"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b/>
                <w:color w:val="000000"/>
                <w:sz w:val="22"/>
                <w:szCs w:val="22"/>
              </w:rPr>
              <w:t>总计</w:t>
            </w:r>
          </w:p>
        </w:tc>
        <w:tc>
          <w:tcPr>
            <w:tcW w:w="1050" w:type="dxa"/>
            <w:gridSpan w:val="2"/>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r>
              <w:rPr>
                <w:rFonts w:hint="eastAsia" w:ascii="宋体" w:hAnsi="宋体" w:eastAsia="宋体" w:cs="宋体"/>
                <w:i w:val="0"/>
                <w:iCs w:val="0"/>
                <w:color w:val="000000"/>
                <w:kern w:val="0"/>
                <w:sz w:val="22"/>
                <w:szCs w:val="22"/>
                <w:u w:val="none"/>
                <w:lang w:val="en-US" w:eastAsia="zh-CN" w:bidi="ar"/>
              </w:rPr>
              <w:t>56.74</w:t>
            </w:r>
          </w:p>
        </w:tc>
        <w:tc>
          <w:tcPr>
            <w:tcW w:w="1063"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56.74</w:t>
            </w:r>
          </w:p>
        </w:tc>
        <w:tc>
          <w:tcPr>
            <w:tcW w:w="1237" w:type="dxa"/>
            <w:tcBorders>
              <w:top w:val="single" w:color="000000" w:sz="4" w:space="0"/>
              <w:left w:val="nil"/>
              <w:bottom w:val="single" w:color="000000" w:sz="4" w:space="0"/>
              <w:right w:val="single" w:color="000000" w:sz="4" w:space="0"/>
            </w:tcBorders>
            <w:noWrap w:val="0"/>
            <w:vAlign w:val="center"/>
          </w:tcPr>
          <w:p>
            <w:pPr>
              <w:widowControl/>
              <w:jc w:val="right"/>
              <w:rPr>
                <w:rFonts w:ascii="Times New Roman" w:hAnsi="Times New Roman" w:cs="Times New Roman"/>
                <w:color w:val="000000"/>
                <w:sz w:val="32"/>
                <w:szCs w:val="32"/>
              </w:rPr>
            </w:pPr>
            <w:r>
              <w:rPr>
                <w:rFonts w:hint="eastAsia" w:ascii="宋体" w:hAnsi="宋体" w:cs="宋体"/>
                <w:color w:val="000000"/>
                <w:sz w:val="22"/>
                <w:szCs w:val="22"/>
                <w:lang w:val="en-US" w:eastAsia="zh-CN"/>
              </w:rPr>
              <w:t>0.00</w:t>
            </w:r>
          </w:p>
        </w:tc>
        <w:tc>
          <w:tcPr>
            <w:tcW w:w="1538"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bl>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五、一般公共预算财政拨款支出决算表</w:t>
      </w:r>
    </w:p>
    <w:tbl>
      <w:tblPr>
        <w:tblStyle w:val="2"/>
        <w:tblW w:w="0" w:type="auto"/>
        <w:jc w:val="center"/>
        <w:tblLayout w:type="fixed"/>
        <w:tblCellMar>
          <w:top w:w="15" w:type="dxa"/>
          <w:left w:w="108" w:type="dxa"/>
          <w:bottom w:w="15" w:type="dxa"/>
          <w:right w:w="108" w:type="dxa"/>
        </w:tblCellMar>
      </w:tblPr>
      <w:tblGrid>
        <w:gridCol w:w="409"/>
        <w:gridCol w:w="420"/>
        <w:gridCol w:w="375"/>
        <w:gridCol w:w="3090"/>
        <w:gridCol w:w="1425"/>
        <w:gridCol w:w="1575"/>
        <w:gridCol w:w="1485"/>
      </w:tblGrid>
      <w:tr>
        <w:tblPrEx>
          <w:tblCellMar>
            <w:top w:w="15" w:type="dxa"/>
            <w:left w:w="108" w:type="dxa"/>
            <w:bottom w:w="15" w:type="dxa"/>
            <w:right w:w="108" w:type="dxa"/>
          </w:tblCellMar>
        </w:tblPrEx>
        <w:trPr>
          <w:trHeight w:val="360" w:hRule="atLeast"/>
          <w:jc w:val="center"/>
        </w:trPr>
        <w:tc>
          <w:tcPr>
            <w:tcW w:w="8779" w:type="dxa"/>
            <w:gridSpan w:val="7"/>
            <w:noWrap w:val="0"/>
            <w:vAlign w:val="bottom"/>
          </w:tcPr>
          <w:p>
            <w:pPr>
              <w:pStyle w:val="4"/>
              <w:widowControl/>
              <w:ind w:firstLine="7276"/>
              <w:jc w:val="left"/>
              <w:rPr>
                <w:rFonts w:ascii="Arial" w:hAnsi="Arial" w:cs="Arial"/>
                <w:color w:val="000000"/>
                <w:sz w:val="20"/>
                <w:szCs w:val="20"/>
              </w:rPr>
            </w:pPr>
            <w:r>
              <w:rPr>
                <w:rFonts w:hint="eastAsia" w:ascii="宋体" w:hAnsi="宋体" w:cs="宋体"/>
                <w:color w:val="000000"/>
                <w:sz w:val="20"/>
                <w:szCs w:val="20"/>
              </w:rPr>
              <w:t>公开05表</w:t>
            </w:r>
          </w:p>
        </w:tc>
      </w:tr>
      <w:tr>
        <w:tblPrEx>
          <w:tblCellMar>
            <w:top w:w="15" w:type="dxa"/>
            <w:left w:w="108" w:type="dxa"/>
            <w:bottom w:w="15" w:type="dxa"/>
            <w:right w:w="108" w:type="dxa"/>
          </w:tblCellMar>
        </w:tblPrEx>
        <w:trPr>
          <w:trHeight w:val="450" w:hRule="atLeast"/>
          <w:jc w:val="center"/>
        </w:trPr>
        <w:tc>
          <w:tcPr>
            <w:tcW w:w="8779" w:type="dxa"/>
            <w:gridSpan w:val="7"/>
            <w:tcBorders>
              <w:bottom w:val="single" w:color="000000" w:sz="4" w:space="0"/>
            </w:tcBorders>
            <w:noWrap w:val="0"/>
            <w:vAlign w:val="center"/>
          </w:tcPr>
          <w:p>
            <w:pPr>
              <w:pStyle w:val="4"/>
              <w:widowControl/>
              <w:jc w:val="left"/>
              <w:rPr>
                <w:rFonts w:ascii="Arial" w:hAnsi="Arial" w:cs="Arial"/>
                <w:color w:val="000000"/>
                <w:sz w:val="20"/>
                <w:szCs w:val="20"/>
              </w:rPr>
            </w:pPr>
            <w:r>
              <w:rPr>
                <w:rFonts w:hint="eastAsia" w:ascii="宋体" w:hAnsi="宋体" w:cs="宋体"/>
                <w:color w:val="000000"/>
                <w:sz w:val="20"/>
                <w:szCs w:val="20"/>
              </w:rPr>
              <w:t>部门：八公山区公共就业服务管理中心                                                               金额单位：万元</w:t>
            </w:r>
          </w:p>
        </w:tc>
      </w:tr>
      <w:tr>
        <w:tblPrEx>
          <w:tblCellMar>
            <w:top w:w="15" w:type="dxa"/>
            <w:left w:w="108" w:type="dxa"/>
            <w:bottom w:w="15" w:type="dxa"/>
            <w:right w:w="108" w:type="dxa"/>
          </w:tblCellMar>
        </w:tblPrEx>
        <w:trPr>
          <w:trHeight w:val="781" w:hRule="atLeast"/>
          <w:jc w:val="center"/>
        </w:trPr>
        <w:tc>
          <w:tcPr>
            <w:tcW w:w="1204" w:type="dxa"/>
            <w:gridSpan w:val="3"/>
            <w:vMerge w:val="restart"/>
            <w:tcBorders>
              <w:top w:val="nil"/>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3090"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4485"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本年支出</w:t>
            </w:r>
          </w:p>
        </w:tc>
      </w:tr>
      <w:tr>
        <w:tblPrEx>
          <w:tblCellMar>
            <w:top w:w="15" w:type="dxa"/>
            <w:left w:w="108" w:type="dxa"/>
            <w:bottom w:w="15" w:type="dxa"/>
            <w:right w:w="108" w:type="dxa"/>
          </w:tblCellMar>
        </w:tblPrEx>
        <w:trPr>
          <w:trHeight w:val="300" w:hRule="atLeast"/>
          <w:jc w:val="center"/>
        </w:trPr>
        <w:tc>
          <w:tcPr>
            <w:tcW w:w="1204"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309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425"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1575"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1485"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r>
      <w:tr>
        <w:tblPrEx>
          <w:tblCellMar>
            <w:top w:w="15" w:type="dxa"/>
            <w:left w:w="108" w:type="dxa"/>
            <w:bottom w:w="15" w:type="dxa"/>
            <w:right w:w="108" w:type="dxa"/>
          </w:tblCellMar>
        </w:tblPrEx>
        <w:trPr>
          <w:trHeight w:val="286" w:hRule="atLeast"/>
          <w:jc w:val="center"/>
        </w:trPr>
        <w:tc>
          <w:tcPr>
            <w:tcW w:w="1204"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309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425" w:type="dxa"/>
            <w:vMerge w:val="continue"/>
            <w:tcBorders>
              <w:top w:val="nil"/>
              <w:left w:val="nil"/>
              <w:bottom w:val="single" w:color="000000" w:sz="4" w:space="0"/>
              <w:right w:val="single" w:color="000000" w:sz="4" w:space="0"/>
            </w:tcBorders>
            <w:noWrap w:val="0"/>
            <w:vAlign w:val="center"/>
          </w:tcPr>
          <w:p>
            <w:pPr>
              <w:rPr>
                <w:sz w:val="20"/>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48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870" w:hRule="atLeast"/>
          <w:jc w:val="center"/>
        </w:trPr>
        <w:tc>
          <w:tcPr>
            <w:tcW w:w="1204"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309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425" w:type="dxa"/>
            <w:vMerge w:val="continue"/>
            <w:tcBorders>
              <w:top w:val="nil"/>
              <w:left w:val="nil"/>
              <w:bottom w:val="single" w:color="000000" w:sz="4" w:space="0"/>
              <w:right w:val="single" w:color="000000" w:sz="4" w:space="0"/>
            </w:tcBorders>
            <w:noWrap w:val="0"/>
            <w:vAlign w:val="center"/>
          </w:tcPr>
          <w:p>
            <w:pPr>
              <w:rPr>
                <w:sz w:val="20"/>
              </w:rPr>
            </w:pPr>
          </w:p>
        </w:tc>
        <w:tc>
          <w:tcPr>
            <w:tcW w:w="157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48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673" w:hRule="atLeast"/>
          <w:jc w:val="center"/>
        </w:trPr>
        <w:tc>
          <w:tcPr>
            <w:tcW w:w="409"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类</w:t>
            </w:r>
          </w:p>
        </w:tc>
        <w:tc>
          <w:tcPr>
            <w:tcW w:w="42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款</w:t>
            </w:r>
          </w:p>
        </w:tc>
        <w:tc>
          <w:tcPr>
            <w:tcW w:w="37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w:t>
            </w:r>
          </w:p>
        </w:tc>
        <w:tc>
          <w:tcPr>
            <w:tcW w:w="309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14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r>
              <w:rPr>
                <w:rFonts w:hint="eastAsia" w:ascii="宋体" w:hAnsi="宋体" w:eastAsia="宋体" w:cs="宋体"/>
                <w:b/>
                <w:bCs/>
                <w:i w:val="0"/>
                <w:iCs w:val="0"/>
                <w:color w:val="000000"/>
                <w:kern w:val="0"/>
                <w:sz w:val="22"/>
                <w:szCs w:val="22"/>
                <w:u w:val="none"/>
                <w:lang w:val="en-US" w:eastAsia="zh-CN" w:bidi="ar"/>
              </w:rPr>
              <w:t>56.74</w:t>
            </w:r>
          </w:p>
        </w:tc>
        <w:tc>
          <w:tcPr>
            <w:tcW w:w="157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r>
              <w:rPr>
                <w:rFonts w:hint="eastAsia" w:ascii="宋体" w:hAnsi="宋体" w:eastAsia="宋体" w:cs="宋体"/>
                <w:b/>
                <w:bCs/>
                <w:i w:val="0"/>
                <w:iCs w:val="0"/>
                <w:color w:val="000000"/>
                <w:kern w:val="0"/>
                <w:sz w:val="22"/>
                <w:szCs w:val="22"/>
                <w:u w:val="none"/>
                <w:lang w:val="en-US" w:eastAsia="zh-CN" w:bidi="ar"/>
              </w:rPr>
              <w:t>56.74</w:t>
            </w:r>
          </w:p>
        </w:tc>
        <w:tc>
          <w:tcPr>
            <w:tcW w:w="1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634" w:hRule="atLeast"/>
          <w:jc w:val="center"/>
        </w:trPr>
        <w:tc>
          <w:tcPr>
            <w:tcW w:w="120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208</w:t>
            </w:r>
          </w:p>
        </w:tc>
        <w:tc>
          <w:tcPr>
            <w:tcW w:w="30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54.56</w:t>
            </w:r>
          </w:p>
        </w:tc>
        <w:tc>
          <w:tcPr>
            <w:tcW w:w="157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54.56</w:t>
            </w:r>
          </w:p>
        </w:tc>
        <w:tc>
          <w:tcPr>
            <w:tcW w:w="1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799" w:hRule="atLeast"/>
          <w:jc w:val="center"/>
        </w:trPr>
        <w:tc>
          <w:tcPr>
            <w:tcW w:w="120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20801</w:t>
            </w:r>
          </w:p>
        </w:tc>
        <w:tc>
          <w:tcPr>
            <w:tcW w:w="30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4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49.79</w:t>
            </w:r>
          </w:p>
        </w:tc>
        <w:tc>
          <w:tcPr>
            <w:tcW w:w="157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49.79</w:t>
            </w:r>
          </w:p>
        </w:tc>
        <w:tc>
          <w:tcPr>
            <w:tcW w:w="1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811" w:hRule="atLeast"/>
          <w:jc w:val="center"/>
        </w:trPr>
        <w:tc>
          <w:tcPr>
            <w:tcW w:w="120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2080106</w:t>
            </w:r>
          </w:p>
        </w:tc>
        <w:tc>
          <w:tcPr>
            <w:tcW w:w="30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就业管理事务</w:t>
            </w:r>
          </w:p>
        </w:tc>
        <w:tc>
          <w:tcPr>
            <w:tcW w:w="14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49.79</w:t>
            </w:r>
          </w:p>
        </w:tc>
        <w:tc>
          <w:tcPr>
            <w:tcW w:w="157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49.79</w:t>
            </w:r>
          </w:p>
        </w:tc>
        <w:tc>
          <w:tcPr>
            <w:tcW w:w="1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539" w:hRule="atLeast"/>
          <w:jc w:val="center"/>
        </w:trPr>
        <w:tc>
          <w:tcPr>
            <w:tcW w:w="120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20805</w:t>
            </w:r>
          </w:p>
        </w:tc>
        <w:tc>
          <w:tcPr>
            <w:tcW w:w="30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57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803" w:hRule="atLeast"/>
          <w:jc w:val="center"/>
        </w:trPr>
        <w:tc>
          <w:tcPr>
            <w:tcW w:w="120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2080502</w:t>
            </w:r>
          </w:p>
        </w:tc>
        <w:tc>
          <w:tcPr>
            <w:tcW w:w="30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事业单位离退休</w:t>
            </w:r>
          </w:p>
        </w:tc>
        <w:tc>
          <w:tcPr>
            <w:tcW w:w="14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57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4.00</w:t>
            </w:r>
          </w:p>
        </w:tc>
        <w:tc>
          <w:tcPr>
            <w:tcW w:w="1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814" w:hRule="atLeast"/>
          <w:jc w:val="center"/>
        </w:trPr>
        <w:tc>
          <w:tcPr>
            <w:tcW w:w="120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20808</w:t>
            </w:r>
          </w:p>
        </w:tc>
        <w:tc>
          <w:tcPr>
            <w:tcW w:w="30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抚恤</w:t>
            </w:r>
          </w:p>
        </w:tc>
        <w:tc>
          <w:tcPr>
            <w:tcW w:w="14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0.73</w:t>
            </w:r>
          </w:p>
        </w:tc>
        <w:tc>
          <w:tcPr>
            <w:tcW w:w="157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0.73</w:t>
            </w:r>
          </w:p>
        </w:tc>
        <w:tc>
          <w:tcPr>
            <w:tcW w:w="1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814" w:hRule="atLeast"/>
          <w:jc w:val="center"/>
        </w:trPr>
        <w:tc>
          <w:tcPr>
            <w:tcW w:w="120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2080801</w:t>
            </w:r>
          </w:p>
        </w:tc>
        <w:tc>
          <w:tcPr>
            <w:tcW w:w="30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死亡抚恤</w:t>
            </w:r>
          </w:p>
        </w:tc>
        <w:tc>
          <w:tcPr>
            <w:tcW w:w="14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0.73</w:t>
            </w:r>
          </w:p>
        </w:tc>
        <w:tc>
          <w:tcPr>
            <w:tcW w:w="157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0.73</w:t>
            </w:r>
          </w:p>
        </w:tc>
        <w:tc>
          <w:tcPr>
            <w:tcW w:w="1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814" w:hRule="atLeast"/>
          <w:jc w:val="center"/>
        </w:trPr>
        <w:tc>
          <w:tcPr>
            <w:tcW w:w="120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20899</w:t>
            </w:r>
          </w:p>
        </w:tc>
        <w:tc>
          <w:tcPr>
            <w:tcW w:w="309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0.04</w:t>
            </w:r>
          </w:p>
        </w:tc>
        <w:tc>
          <w:tcPr>
            <w:tcW w:w="157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0.04</w:t>
            </w:r>
          </w:p>
        </w:tc>
        <w:tc>
          <w:tcPr>
            <w:tcW w:w="1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814" w:hRule="atLeast"/>
          <w:jc w:val="center"/>
        </w:trPr>
        <w:tc>
          <w:tcPr>
            <w:tcW w:w="120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2089901</w:t>
            </w:r>
          </w:p>
        </w:tc>
        <w:tc>
          <w:tcPr>
            <w:tcW w:w="309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4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0.04</w:t>
            </w:r>
          </w:p>
        </w:tc>
        <w:tc>
          <w:tcPr>
            <w:tcW w:w="157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0.04</w:t>
            </w:r>
          </w:p>
        </w:tc>
        <w:tc>
          <w:tcPr>
            <w:tcW w:w="1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814" w:hRule="atLeast"/>
          <w:jc w:val="center"/>
        </w:trPr>
        <w:tc>
          <w:tcPr>
            <w:tcW w:w="120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210</w:t>
            </w:r>
          </w:p>
        </w:tc>
        <w:tc>
          <w:tcPr>
            <w:tcW w:w="30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4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157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1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814" w:hRule="atLeast"/>
          <w:jc w:val="center"/>
        </w:trPr>
        <w:tc>
          <w:tcPr>
            <w:tcW w:w="120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21011</w:t>
            </w:r>
          </w:p>
        </w:tc>
        <w:tc>
          <w:tcPr>
            <w:tcW w:w="30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4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157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1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814" w:hRule="atLeast"/>
          <w:jc w:val="center"/>
        </w:trPr>
        <w:tc>
          <w:tcPr>
            <w:tcW w:w="120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2101102</w:t>
            </w:r>
          </w:p>
        </w:tc>
        <w:tc>
          <w:tcPr>
            <w:tcW w:w="30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事业单位医疗</w:t>
            </w:r>
          </w:p>
        </w:tc>
        <w:tc>
          <w:tcPr>
            <w:tcW w:w="14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157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0.54</w:t>
            </w:r>
          </w:p>
        </w:tc>
        <w:tc>
          <w:tcPr>
            <w:tcW w:w="1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814" w:hRule="atLeast"/>
          <w:jc w:val="center"/>
        </w:trPr>
        <w:tc>
          <w:tcPr>
            <w:tcW w:w="120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221</w:t>
            </w:r>
          </w:p>
        </w:tc>
        <w:tc>
          <w:tcPr>
            <w:tcW w:w="30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4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157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1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814" w:hRule="atLeast"/>
          <w:jc w:val="center"/>
        </w:trPr>
        <w:tc>
          <w:tcPr>
            <w:tcW w:w="120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22102</w:t>
            </w:r>
          </w:p>
        </w:tc>
        <w:tc>
          <w:tcPr>
            <w:tcW w:w="30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4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157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1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r>
        <w:tblPrEx>
          <w:tblCellMar>
            <w:top w:w="15" w:type="dxa"/>
            <w:left w:w="108" w:type="dxa"/>
            <w:bottom w:w="15" w:type="dxa"/>
            <w:right w:w="108" w:type="dxa"/>
          </w:tblCellMar>
        </w:tblPrEx>
        <w:trPr>
          <w:trHeight w:val="814" w:hRule="atLeast"/>
          <w:jc w:val="center"/>
        </w:trPr>
        <w:tc>
          <w:tcPr>
            <w:tcW w:w="1204"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2210201</w:t>
            </w:r>
          </w:p>
        </w:tc>
        <w:tc>
          <w:tcPr>
            <w:tcW w:w="309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住房公积金</w:t>
            </w:r>
          </w:p>
        </w:tc>
        <w:tc>
          <w:tcPr>
            <w:tcW w:w="142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157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1.65</w:t>
            </w:r>
          </w:p>
        </w:tc>
        <w:tc>
          <w:tcPr>
            <w:tcW w:w="1485"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r>
              <w:rPr>
                <w:rFonts w:hint="eastAsia" w:ascii="宋体" w:hAnsi="宋体" w:cs="宋体"/>
                <w:color w:val="000000"/>
                <w:sz w:val="22"/>
                <w:szCs w:val="22"/>
                <w:lang w:val="en-US" w:eastAsia="zh-CN"/>
              </w:rPr>
              <w:t>0.00</w:t>
            </w:r>
          </w:p>
        </w:tc>
      </w:tr>
    </w:tbl>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六、一般公共预算财政拨款基本支出决算表</w:t>
      </w:r>
    </w:p>
    <w:tbl>
      <w:tblPr>
        <w:tblStyle w:val="2"/>
        <w:tblW w:w="9902" w:type="dxa"/>
        <w:jc w:val="center"/>
        <w:tblLayout w:type="fixed"/>
        <w:tblCellMar>
          <w:top w:w="0" w:type="dxa"/>
          <w:left w:w="108" w:type="dxa"/>
          <w:bottom w:w="0" w:type="dxa"/>
          <w:right w:w="108" w:type="dxa"/>
        </w:tblCellMar>
      </w:tblPr>
      <w:tblGrid>
        <w:gridCol w:w="715"/>
        <w:gridCol w:w="2040"/>
        <w:gridCol w:w="735"/>
        <w:gridCol w:w="714"/>
        <w:gridCol w:w="1446"/>
        <w:gridCol w:w="675"/>
        <w:gridCol w:w="900"/>
        <w:gridCol w:w="1740"/>
        <w:gridCol w:w="701"/>
        <w:gridCol w:w="236"/>
      </w:tblGrid>
      <w:tr>
        <w:tblPrEx>
          <w:tblCellMar>
            <w:top w:w="0" w:type="dxa"/>
            <w:left w:w="108" w:type="dxa"/>
            <w:bottom w:w="0" w:type="dxa"/>
            <w:right w:w="108" w:type="dxa"/>
          </w:tblCellMar>
        </w:tblPrEx>
        <w:trPr>
          <w:gridAfter w:val="1"/>
          <w:wAfter w:w="236" w:type="dxa"/>
          <w:trHeight w:val="225" w:hRule="atLeast"/>
          <w:jc w:val="center"/>
        </w:trPr>
        <w:tc>
          <w:tcPr>
            <w:tcW w:w="715" w:type="dxa"/>
            <w:tcBorders>
              <w:top w:val="nil"/>
              <w:left w:val="nil"/>
              <w:bottom w:val="nil"/>
              <w:right w:val="nil"/>
            </w:tcBorders>
            <w:shd w:val="clear" w:color="auto" w:fill="FFFFFF"/>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　</w:t>
            </w:r>
          </w:p>
        </w:tc>
        <w:tc>
          <w:tcPr>
            <w:tcW w:w="2040" w:type="dxa"/>
            <w:tcBorders>
              <w:top w:val="nil"/>
              <w:left w:val="nil"/>
              <w:bottom w:val="nil"/>
              <w:right w:val="nil"/>
            </w:tcBorders>
            <w:shd w:val="clear" w:color="auto" w:fill="FFFFFF"/>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　</w:t>
            </w:r>
          </w:p>
        </w:tc>
        <w:tc>
          <w:tcPr>
            <w:tcW w:w="735" w:type="dxa"/>
            <w:tcBorders>
              <w:top w:val="nil"/>
              <w:left w:val="nil"/>
              <w:bottom w:val="nil"/>
              <w:right w:val="nil"/>
            </w:tcBorders>
            <w:shd w:val="clear" w:color="auto" w:fill="FFFFFF"/>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　</w:t>
            </w:r>
          </w:p>
        </w:tc>
        <w:tc>
          <w:tcPr>
            <w:tcW w:w="714" w:type="dxa"/>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1446" w:type="dxa"/>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675" w:type="dxa"/>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900" w:type="dxa"/>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2441" w:type="dxa"/>
            <w:gridSpan w:val="2"/>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p>
            <w:pPr>
              <w:pStyle w:val="4"/>
              <w:widowControl/>
              <w:ind w:right="97"/>
              <w:jc w:val="right"/>
              <w:rPr>
                <w:rFonts w:hint="eastAsia" w:ascii="宋体" w:hAnsi="宋体" w:cs="宋体"/>
                <w:color w:val="000000"/>
                <w:sz w:val="20"/>
                <w:szCs w:val="20"/>
              </w:rPr>
            </w:pPr>
            <w:r>
              <w:rPr>
                <w:rFonts w:hint="eastAsia" w:ascii="宋体" w:hAnsi="宋体" w:cs="宋体"/>
                <w:color w:val="000000"/>
                <w:sz w:val="20"/>
                <w:szCs w:val="20"/>
              </w:rPr>
              <w:t>公开06表</w:t>
            </w:r>
          </w:p>
        </w:tc>
      </w:tr>
      <w:tr>
        <w:tblPrEx>
          <w:tblCellMar>
            <w:top w:w="0" w:type="dxa"/>
            <w:left w:w="108" w:type="dxa"/>
            <w:bottom w:w="0" w:type="dxa"/>
            <w:right w:w="108" w:type="dxa"/>
          </w:tblCellMar>
        </w:tblPrEx>
        <w:trPr>
          <w:gridAfter w:val="1"/>
          <w:wAfter w:w="236" w:type="dxa"/>
          <w:trHeight w:val="240" w:hRule="atLeast"/>
          <w:jc w:val="center"/>
        </w:trPr>
        <w:tc>
          <w:tcPr>
            <w:tcW w:w="2755" w:type="dxa"/>
            <w:gridSpan w:val="2"/>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r>
              <w:rPr>
                <w:rFonts w:hint="eastAsia" w:ascii="宋体" w:hAnsi="宋体" w:cs="宋体"/>
                <w:color w:val="000000"/>
                <w:sz w:val="20"/>
                <w:szCs w:val="20"/>
              </w:rPr>
              <w:t>部门</w:t>
            </w:r>
            <w:r>
              <w:rPr>
                <w:rFonts w:ascii="Arial" w:hAnsi="Arial" w:cs="Arial"/>
                <w:color w:val="000000"/>
                <w:sz w:val="20"/>
                <w:szCs w:val="20"/>
              </w:rPr>
              <w:t>：</w:t>
            </w:r>
            <w:r>
              <w:rPr>
                <w:rFonts w:hint="eastAsia" w:ascii="Arial" w:hAnsi="Arial" w:cs="Arial"/>
                <w:color w:val="000000"/>
                <w:sz w:val="20"/>
                <w:szCs w:val="20"/>
              </w:rPr>
              <w:t>八公山区公共就业服务管理中心</w:t>
            </w:r>
          </w:p>
        </w:tc>
        <w:tc>
          <w:tcPr>
            <w:tcW w:w="735" w:type="dxa"/>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p>
        </w:tc>
        <w:tc>
          <w:tcPr>
            <w:tcW w:w="714" w:type="dxa"/>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p>
        </w:tc>
        <w:tc>
          <w:tcPr>
            <w:tcW w:w="1446" w:type="dxa"/>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p>
        </w:tc>
        <w:tc>
          <w:tcPr>
            <w:tcW w:w="675" w:type="dxa"/>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p>
        </w:tc>
        <w:tc>
          <w:tcPr>
            <w:tcW w:w="900" w:type="dxa"/>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p>
        </w:tc>
        <w:tc>
          <w:tcPr>
            <w:tcW w:w="2441" w:type="dxa"/>
            <w:gridSpan w:val="2"/>
            <w:tcBorders>
              <w:top w:val="nil"/>
              <w:left w:val="nil"/>
              <w:bottom w:val="single" w:color="000000" w:sz="4" w:space="0"/>
              <w:right w:val="nil"/>
            </w:tcBorders>
            <w:noWrap w:val="0"/>
            <w:vAlign w:val="center"/>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0" w:type="dxa"/>
            <w:left w:w="108" w:type="dxa"/>
            <w:bottom w:w="0" w:type="dxa"/>
            <w:right w:w="108" w:type="dxa"/>
          </w:tblCellMar>
        </w:tblPrEx>
        <w:trPr>
          <w:gridAfter w:val="1"/>
          <w:wAfter w:w="236" w:type="dxa"/>
          <w:trHeight w:val="495"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科目编码</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科目名称</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决算数</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科目编码</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科目名称</w:t>
            </w: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决算数</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科目编码</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科目名称</w:t>
            </w:r>
          </w:p>
        </w:tc>
        <w:tc>
          <w:tcPr>
            <w:tcW w:w="701"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决算数</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工资福利支出</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35.91</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商品和服务支出</w:t>
            </w: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eastAsia="宋体" w:cs="宋体"/>
                <w:color w:val="000000"/>
                <w:sz w:val="18"/>
                <w:szCs w:val="18"/>
              </w:rPr>
            </w:pPr>
            <w:r>
              <w:rPr>
                <w:rFonts w:hint="eastAsia" w:ascii="宋体" w:hAnsi="宋体" w:eastAsia="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16.10</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债务利息及费用支出</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30101</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基本工资</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24.86</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30201</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办公费</w:t>
            </w: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eastAsia="宋体" w:cs="宋体"/>
                <w:color w:val="000000"/>
                <w:sz w:val="18"/>
                <w:szCs w:val="18"/>
              </w:rPr>
            </w:pPr>
            <w:r>
              <w:rPr>
                <w:rFonts w:hint="eastAsia" w:ascii="宋体" w:hAnsi="宋体" w:eastAsia="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45.28</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30701</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国内债务付息</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30102</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津贴补贴</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0.00</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30202</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印刷费</w:t>
            </w: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eastAsia="宋体" w:cs="宋体"/>
                <w:color w:val="000000"/>
                <w:sz w:val="18"/>
                <w:szCs w:val="18"/>
              </w:rPr>
            </w:pPr>
            <w:r>
              <w:rPr>
                <w:rFonts w:hint="eastAsia" w:ascii="宋体" w:hAnsi="宋体" w:eastAsia="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0.95</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30702</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国外债务付息</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30103</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奖金</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8.83</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30203</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咨询费</w:t>
            </w:r>
          </w:p>
        </w:tc>
        <w:tc>
          <w:tcPr>
            <w:tcW w:w="67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sz w:val="18"/>
                <w:szCs w:val="18"/>
              </w:rPr>
            </w:pPr>
            <w:r>
              <w:rPr>
                <w:rFonts w:hint="eastAsia" w:ascii="宋体" w:hAnsi="宋体" w:cs="宋体"/>
                <w:color w:val="000000"/>
                <w:sz w:val="22"/>
                <w:szCs w:val="22"/>
                <w:lang w:val="en-US" w:eastAsia="zh-CN"/>
              </w:rPr>
              <w:t>0.00</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30703</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国内债务发行费用</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30106</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伙食补助费</w:t>
            </w:r>
          </w:p>
        </w:tc>
        <w:tc>
          <w:tcPr>
            <w:tcW w:w="73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30204</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手续费</w:t>
            </w:r>
          </w:p>
        </w:tc>
        <w:tc>
          <w:tcPr>
            <w:tcW w:w="67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sz w:val="18"/>
                <w:szCs w:val="18"/>
              </w:rPr>
            </w:pPr>
            <w:r>
              <w:rPr>
                <w:rFonts w:hint="eastAsia" w:ascii="宋体" w:hAnsi="宋体" w:cs="宋体"/>
                <w:color w:val="000000"/>
                <w:sz w:val="22"/>
                <w:szCs w:val="22"/>
                <w:lang w:val="en-US" w:eastAsia="zh-CN"/>
              </w:rPr>
              <w:t>0.00</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30704</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国外债务发行费用</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30107</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绩效工资</w:t>
            </w:r>
          </w:p>
        </w:tc>
        <w:tc>
          <w:tcPr>
            <w:tcW w:w="73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30205</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水费</w:t>
            </w: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eastAsia="宋体" w:cs="宋体"/>
                <w:color w:val="000000"/>
                <w:sz w:val="18"/>
                <w:szCs w:val="18"/>
              </w:rPr>
            </w:pPr>
            <w:r>
              <w:rPr>
                <w:rFonts w:hint="eastAsia" w:ascii="宋体" w:hAnsi="宋体" w:eastAsia="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0.27</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资本性支出</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30108</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机关事业单位基本养老保险费</w:t>
            </w:r>
          </w:p>
        </w:tc>
        <w:tc>
          <w:tcPr>
            <w:tcW w:w="73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30206</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电费</w:t>
            </w: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eastAsia="宋体" w:cs="宋体"/>
                <w:color w:val="000000"/>
                <w:sz w:val="18"/>
                <w:szCs w:val="18"/>
              </w:rPr>
            </w:pPr>
            <w:r>
              <w:rPr>
                <w:rFonts w:hint="eastAsia" w:ascii="宋体" w:hAnsi="宋体" w:eastAsia="宋体" w:cs="宋体"/>
                <w:color w:val="000000"/>
                <w:sz w:val="18"/>
                <w:szCs w:val="18"/>
              </w:rPr>
              <w:t>　0.00</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31001</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房屋建筑物购建</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30109</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职业年金缴费</w:t>
            </w:r>
          </w:p>
        </w:tc>
        <w:tc>
          <w:tcPr>
            <w:tcW w:w="73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30207</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邮电费</w:t>
            </w: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eastAsia="宋体" w:cs="宋体"/>
                <w:color w:val="000000"/>
                <w:sz w:val="18"/>
                <w:szCs w:val="18"/>
              </w:rPr>
            </w:pPr>
            <w:r>
              <w:rPr>
                <w:rFonts w:hint="eastAsia" w:ascii="宋体" w:hAnsi="宋体" w:eastAsia="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0.23</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31002</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办公设备购置</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30110</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职工基本医疗保险缴费</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0.54</w:t>
            </w:r>
            <w:r>
              <w:rPr>
                <w:rFonts w:hint="eastAsia" w:ascii="宋体" w:hAnsi="宋体" w:cs="宋体"/>
                <w:color w:val="000000"/>
                <w:sz w:val="18"/>
                <w:szCs w:val="18"/>
              </w:rPr>
              <w:t>　</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30208</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取暖费</w:t>
            </w:r>
          </w:p>
        </w:tc>
        <w:tc>
          <w:tcPr>
            <w:tcW w:w="67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sz w:val="18"/>
                <w:szCs w:val="18"/>
              </w:rPr>
            </w:pPr>
            <w:r>
              <w:rPr>
                <w:rFonts w:hint="eastAsia" w:ascii="宋体" w:hAnsi="宋体" w:cs="宋体"/>
                <w:color w:val="000000"/>
                <w:sz w:val="22"/>
                <w:szCs w:val="22"/>
                <w:lang w:val="en-US" w:eastAsia="zh-CN"/>
              </w:rPr>
              <w:t>0.00</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31003</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专用设备购置</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30111</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公务员医疗补助缴费</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0.00</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30209</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物业管理费</w:t>
            </w:r>
          </w:p>
        </w:tc>
        <w:tc>
          <w:tcPr>
            <w:tcW w:w="67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sz w:val="18"/>
                <w:szCs w:val="18"/>
              </w:rPr>
            </w:pPr>
            <w:r>
              <w:rPr>
                <w:rFonts w:hint="eastAsia" w:ascii="宋体" w:hAnsi="宋体" w:cs="宋体"/>
                <w:color w:val="000000"/>
                <w:sz w:val="22"/>
                <w:szCs w:val="22"/>
                <w:lang w:val="en-US" w:eastAsia="zh-CN"/>
              </w:rPr>
              <w:t>0.00</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31005</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基础设施建设</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30112</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其他社会保障缴费</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0.04</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30211</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差旅费</w:t>
            </w: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eastAsia="宋体" w:cs="宋体"/>
                <w:color w:val="000000"/>
                <w:sz w:val="18"/>
                <w:szCs w:val="18"/>
              </w:rPr>
            </w:pPr>
            <w:r>
              <w:rPr>
                <w:rFonts w:hint="eastAsia" w:ascii="宋体" w:hAnsi="宋体" w:eastAsia="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0.21</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31006</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大型修缮</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30113</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住房公积金</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1.65</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30212</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因公出国（境）费用</w:t>
            </w: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eastAsia="宋体" w:cs="宋体"/>
                <w:color w:val="000000"/>
                <w:sz w:val="18"/>
                <w:szCs w:val="18"/>
              </w:rPr>
            </w:pPr>
            <w:r>
              <w:rPr>
                <w:rFonts w:hint="eastAsia" w:ascii="宋体" w:hAnsi="宋体" w:cs="宋体"/>
                <w:color w:val="000000"/>
                <w:sz w:val="22"/>
                <w:szCs w:val="22"/>
                <w:lang w:val="en-US" w:eastAsia="zh-CN"/>
              </w:rPr>
              <w:t>0.00</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31007</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信息网络及软件购置更新</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30114</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医疗费</w:t>
            </w:r>
          </w:p>
        </w:tc>
        <w:tc>
          <w:tcPr>
            <w:tcW w:w="73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30213</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维修（护）费</w:t>
            </w: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eastAsia="宋体" w:cs="宋体"/>
                <w:color w:val="000000"/>
                <w:sz w:val="18"/>
                <w:szCs w:val="18"/>
              </w:rPr>
            </w:pPr>
            <w:r>
              <w:rPr>
                <w:rFonts w:hint="eastAsia" w:ascii="宋体" w:hAnsi="宋体" w:eastAsia="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1.98</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31008</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物资储备</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30199</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其他工资福利支出</w:t>
            </w:r>
          </w:p>
        </w:tc>
        <w:tc>
          <w:tcPr>
            <w:tcW w:w="73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30214</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租赁费</w:t>
            </w:r>
          </w:p>
        </w:tc>
        <w:tc>
          <w:tcPr>
            <w:tcW w:w="67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sz w:val="18"/>
                <w:szCs w:val="18"/>
              </w:rPr>
            </w:pPr>
            <w:r>
              <w:rPr>
                <w:rFonts w:hint="eastAsia" w:ascii="宋体" w:hAnsi="宋体" w:cs="宋体"/>
                <w:color w:val="000000"/>
                <w:sz w:val="22"/>
                <w:szCs w:val="22"/>
                <w:lang w:val="en-US" w:eastAsia="zh-CN"/>
              </w:rPr>
              <w:t>0.00</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31009</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土地补偿</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对个人和家庭的补助</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4.73</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30215</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会议费</w:t>
            </w:r>
          </w:p>
        </w:tc>
        <w:tc>
          <w:tcPr>
            <w:tcW w:w="67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sz w:val="18"/>
                <w:szCs w:val="18"/>
              </w:rPr>
            </w:pPr>
            <w:r>
              <w:rPr>
                <w:rFonts w:hint="eastAsia" w:ascii="宋体" w:hAnsi="宋体" w:cs="宋体"/>
                <w:color w:val="000000"/>
                <w:sz w:val="22"/>
                <w:szCs w:val="22"/>
                <w:lang w:val="en-US" w:eastAsia="zh-CN"/>
              </w:rPr>
              <w:t>0.00</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31010</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安置补助</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30301</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离休费</w:t>
            </w:r>
          </w:p>
        </w:tc>
        <w:tc>
          <w:tcPr>
            <w:tcW w:w="73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30216</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培训费</w:t>
            </w: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eastAsia="宋体" w:cs="宋体"/>
                <w:color w:val="000000"/>
                <w:sz w:val="18"/>
                <w:szCs w:val="18"/>
              </w:rPr>
            </w:pPr>
            <w:r>
              <w:rPr>
                <w:rFonts w:hint="eastAsia" w:ascii="宋体" w:hAnsi="宋体" w:eastAsia="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0.02</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31011</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地上附着物和青苗补偿</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30302</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退休费</w:t>
            </w:r>
          </w:p>
        </w:tc>
        <w:tc>
          <w:tcPr>
            <w:tcW w:w="73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30217</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公务招待费</w:t>
            </w:r>
          </w:p>
        </w:tc>
        <w:tc>
          <w:tcPr>
            <w:tcW w:w="67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sz w:val="18"/>
                <w:szCs w:val="18"/>
              </w:rPr>
            </w:pPr>
            <w:r>
              <w:rPr>
                <w:rFonts w:hint="eastAsia" w:ascii="宋体" w:hAnsi="宋体" w:cs="宋体"/>
                <w:color w:val="000000"/>
                <w:sz w:val="22"/>
                <w:szCs w:val="22"/>
                <w:lang w:val="en-US" w:eastAsia="zh-CN"/>
              </w:rPr>
              <w:t>0.00</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31012</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拆迁补偿</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30303</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退职（役）费</w:t>
            </w:r>
          </w:p>
        </w:tc>
        <w:tc>
          <w:tcPr>
            <w:tcW w:w="73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30218</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专用材料费</w:t>
            </w:r>
          </w:p>
        </w:tc>
        <w:tc>
          <w:tcPr>
            <w:tcW w:w="67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sz w:val="18"/>
                <w:szCs w:val="18"/>
              </w:rPr>
            </w:pPr>
            <w:r>
              <w:rPr>
                <w:rFonts w:hint="eastAsia" w:ascii="宋体" w:hAnsi="宋体" w:cs="宋体"/>
                <w:color w:val="000000"/>
                <w:sz w:val="22"/>
                <w:szCs w:val="22"/>
                <w:lang w:val="en-US" w:eastAsia="zh-CN"/>
              </w:rPr>
              <w:t>0.00</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31013</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公务用车购置</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30304</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抚恤金</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0.73</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30224</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被装购置费</w:t>
            </w:r>
          </w:p>
        </w:tc>
        <w:tc>
          <w:tcPr>
            <w:tcW w:w="67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sz w:val="18"/>
                <w:szCs w:val="18"/>
              </w:rPr>
            </w:pPr>
            <w:r>
              <w:rPr>
                <w:rFonts w:hint="eastAsia" w:ascii="宋体" w:hAnsi="宋体" w:cs="宋体"/>
                <w:color w:val="000000"/>
                <w:sz w:val="22"/>
                <w:szCs w:val="22"/>
                <w:lang w:val="en-US" w:eastAsia="zh-CN"/>
              </w:rPr>
              <w:t>0.00</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31019</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其他交通工具购置</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30305</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生活补助</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4.00</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30225</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专用燃料费</w:t>
            </w:r>
          </w:p>
        </w:tc>
        <w:tc>
          <w:tcPr>
            <w:tcW w:w="67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sz w:val="18"/>
                <w:szCs w:val="18"/>
              </w:rPr>
            </w:pPr>
            <w:r>
              <w:rPr>
                <w:rFonts w:hint="eastAsia" w:ascii="宋体" w:hAnsi="宋体" w:cs="宋体"/>
                <w:color w:val="000000"/>
                <w:sz w:val="22"/>
                <w:szCs w:val="22"/>
                <w:lang w:val="en-US" w:eastAsia="zh-CN"/>
              </w:rPr>
              <w:t>0.00</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31021</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文物和陈列品购置</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30306</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救济费</w:t>
            </w:r>
          </w:p>
        </w:tc>
        <w:tc>
          <w:tcPr>
            <w:tcW w:w="73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30226</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劳务费</w:t>
            </w: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eastAsia="宋体" w:cs="宋体"/>
                <w:color w:val="000000"/>
                <w:sz w:val="18"/>
                <w:szCs w:val="18"/>
              </w:rPr>
            </w:pPr>
            <w:r>
              <w:rPr>
                <w:rFonts w:hint="eastAsia" w:ascii="宋体" w:hAnsi="宋体" w:eastAsia="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3.96</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31022</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无形资产购置</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30307</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医疗费补助</w:t>
            </w:r>
          </w:p>
        </w:tc>
        <w:tc>
          <w:tcPr>
            <w:tcW w:w="73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30227</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委托业务费</w:t>
            </w: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eastAsia="宋体" w:cs="宋体"/>
                <w:color w:val="000000"/>
                <w:sz w:val="18"/>
                <w:szCs w:val="18"/>
              </w:rPr>
            </w:pPr>
            <w:r>
              <w:rPr>
                <w:rFonts w:hint="eastAsia" w:ascii="宋体" w:hAnsi="宋体" w:eastAsia="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0.27</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31099</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其他资本性支出</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30308</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助学金</w:t>
            </w:r>
          </w:p>
        </w:tc>
        <w:tc>
          <w:tcPr>
            <w:tcW w:w="73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30228</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工会经费</w:t>
            </w: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eastAsia="宋体" w:cs="宋体"/>
                <w:color w:val="000000"/>
                <w:sz w:val="18"/>
                <w:szCs w:val="18"/>
              </w:rPr>
            </w:pPr>
            <w:r>
              <w:rPr>
                <w:rFonts w:hint="eastAsia" w:ascii="宋体" w:hAnsi="宋体" w:eastAsia="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1.21</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对企业补助</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30309</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奖励金</w:t>
            </w:r>
          </w:p>
        </w:tc>
        <w:tc>
          <w:tcPr>
            <w:tcW w:w="73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30229</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福利费</w:t>
            </w: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eastAsia="宋体" w:cs="宋体"/>
                <w:color w:val="000000"/>
                <w:sz w:val="18"/>
                <w:szCs w:val="18"/>
              </w:rPr>
            </w:pPr>
            <w:r>
              <w:rPr>
                <w:rFonts w:hint="eastAsia" w:ascii="宋体" w:hAnsi="宋体" w:eastAsia="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0.25</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31201</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资本金注入</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30310</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个人农业生产补贴</w:t>
            </w:r>
          </w:p>
        </w:tc>
        <w:tc>
          <w:tcPr>
            <w:tcW w:w="73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30231</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公务用车运行维护费</w:t>
            </w: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eastAsia="宋体" w:cs="宋体"/>
                <w:color w:val="000000"/>
                <w:sz w:val="18"/>
                <w:szCs w:val="18"/>
              </w:rPr>
            </w:pPr>
            <w:r>
              <w:rPr>
                <w:rFonts w:hint="eastAsia" w:ascii="宋体" w:hAnsi="宋体" w:eastAsia="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1.59</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31203</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政府投资基金股权投资</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30399</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对其他个人和家庭的补助支出</w:t>
            </w:r>
          </w:p>
        </w:tc>
        <w:tc>
          <w:tcPr>
            <w:tcW w:w="73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30239</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其他交通费用</w:t>
            </w:r>
          </w:p>
        </w:tc>
        <w:tc>
          <w:tcPr>
            <w:tcW w:w="67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sz w:val="18"/>
                <w:szCs w:val="18"/>
              </w:rPr>
            </w:pPr>
            <w:r>
              <w:rPr>
                <w:rFonts w:hint="eastAsia" w:ascii="宋体" w:hAnsi="宋体" w:cs="宋体"/>
                <w:color w:val="000000"/>
                <w:sz w:val="22"/>
                <w:szCs w:val="22"/>
                <w:lang w:val="en-US" w:eastAsia="zh-CN"/>
              </w:rPr>
              <w:t>0.00</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31204</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费用补贴</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30240</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税金及附加费用</w:t>
            </w:r>
          </w:p>
        </w:tc>
        <w:tc>
          <w:tcPr>
            <w:tcW w:w="67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eastAsia="宋体" w:cs="宋体"/>
                <w:color w:val="000000"/>
                <w:sz w:val="18"/>
                <w:szCs w:val="18"/>
              </w:rPr>
            </w:pPr>
            <w:r>
              <w:rPr>
                <w:rFonts w:hint="eastAsia" w:ascii="宋体" w:hAnsi="宋体" w:cs="宋体"/>
                <w:color w:val="000000"/>
                <w:sz w:val="22"/>
                <w:szCs w:val="22"/>
                <w:lang w:val="en-US" w:eastAsia="zh-CN"/>
              </w:rPr>
              <w:t>0.00</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31205</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利息补贴</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30299</w:t>
            </w: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其他商品和服务支出</w:t>
            </w: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eastAsia="宋体" w:cs="宋体"/>
                <w:color w:val="000000"/>
                <w:sz w:val="18"/>
                <w:szCs w:val="18"/>
              </w:rPr>
            </w:pPr>
            <w:r>
              <w:rPr>
                <w:rFonts w:hint="eastAsia" w:ascii="宋体" w:hAnsi="宋体" w:eastAsia="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0.65</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31299</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其他对企业补助</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其他支出</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39906</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赠与</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39907</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国家赔偿费用支出</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gridAfter w:val="1"/>
          <w:wAfter w:w="236" w:type="dxa"/>
          <w:trHeight w:val="222" w:hRule="atLeast"/>
          <w:jc w:val="center"/>
        </w:trPr>
        <w:tc>
          <w:tcPr>
            <w:tcW w:w="71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20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39908</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对民间非营利组织和群众性自治组织补贴</w:t>
            </w:r>
          </w:p>
        </w:tc>
        <w:tc>
          <w:tcPr>
            <w:tcW w:w="701"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18"/>
                <w:szCs w:val="18"/>
              </w:rPr>
            </w:pPr>
            <w:r>
              <w:rPr>
                <w:rFonts w:hint="eastAsia" w:ascii="宋体" w:hAnsi="宋体" w:cs="宋体"/>
                <w:color w:val="000000"/>
                <w:sz w:val="22"/>
                <w:szCs w:val="22"/>
                <w:lang w:val="en-US" w:eastAsia="zh-CN"/>
              </w:rPr>
              <w:t>0.00</w:t>
            </w:r>
          </w:p>
        </w:tc>
      </w:tr>
      <w:tr>
        <w:tblPrEx>
          <w:tblCellMar>
            <w:top w:w="0" w:type="dxa"/>
            <w:left w:w="108" w:type="dxa"/>
            <w:bottom w:w="0" w:type="dxa"/>
            <w:right w:w="108" w:type="dxa"/>
          </w:tblCellMar>
        </w:tblPrEx>
        <w:trPr>
          <w:trHeight w:val="222" w:hRule="atLeast"/>
          <w:jc w:val="center"/>
        </w:trPr>
        <w:tc>
          <w:tcPr>
            <w:tcW w:w="275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18"/>
                <w:szCs w:val="18"/>
              </w:rPr>
            </w:pPr>
            <w:r>
              <w:rPr>
                <w:rFonts w:hint="eastAsia" w:ascii="宋体" w:hAnsi="宋体" w:cs="宋体"/>
                <w:color w:val="000000"/>
                <w:sz w:val="18"/>
                <w:szCs w:val="18"/>
              </w:rPr>
              <w:t>　</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14"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44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67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90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39999</w:t>
            </w:r>
          </w:p>
        </w:tc>
        <w:tc>
          <w:tcPr>
            <w:tcW w:w="17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其他支出</w:t>
            </w:r>
          </w:p>
        </w:tc>
        <w:tc>
          <w:tcPr>
            <w:tcW w:w="701"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236" w:type="dxa"/>
            <w:tcBorders>
              <w:left w:val="nil"/>
            </w:tcBorders>
            <w:noWrap w:val="0"/>
            <w:vAlign w:val="center"/>
          </w:tcPr>
          <w:p>
            <w:pPr>
              <w:widowControl/>
              <w:jc w:val="left"/>
              <w:rPr>
                <w:rFonts w:hint="eastAsia" w:ascii="宋体" w:hAnsi="宋体" w:cs="宋体"/>
                <w:color w:val="000000"/>
                <w:sz w:val="18"/>
                <w:szCs w:val="18"/>
              </w:rPr>
            </w:pPr>
          </w:p>
        </w:tc>
      </w:tr>
      <w:tr>
        <w:tblPrEx>
          <w:tblCellMar>
            <w:top w:w="0" w:type="dxa"/>
            <w:left w:w="108" w:type="dxa"/>
            <w:bottom w:w="0" w:type="dxa"/>
            <w:right w:w="108" w:type="dxa"/>
          </w:tblCellMar>
        </w:tblPrEx>
        <w:trPr>
          <w:trHeight w:val="222" w:hRule="atLeast"/>
          <w:jc w:val="center"/>
        </w:trPr>
        <w:tc>
          <w:tcPr>
            <w:tcW w:w="275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18"/>
                <w:szCs w:val="18"/>
              </w:rPr>
            </w:pPr>
            <w:r>
              <w:rPr>
                <w:rFonts w:hint="eastAsia" w:ascii="宋体" w:hAnsi="宋体" w:cs="宋体"/>
                <w:color w:val="000000"/>
                <w:sz w:val="18"/>
                <w:szCs w:val="18"/>
              </w:rPr>
              <w:t>人员经费合计</w:t>
            </w:r>
          </w:p>
        </w:tc>
        <w:tc>
          <w:tcPr>
            <w:tcW w:w="73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40.64</w:t>
            </w:r>
          </w:p>
        </w:tc>
        <w:tc>
          <w:tcPr>
            <w:tcW w:w="5475" w:type="dxa"/>
            <w:gridSpan w:val="5"/>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18"/>
                <w:szCs w:val="18"/>
              </w:rPr>
            </w:pPr>
            <w:r>
              <w:rPr>
                <w:rFonts w:hint="eastAsia" w:ascii="宋体" w:hAnsi="宋体" w:cs="宋体"/>
                <w:color w:val="000000"/>
                <w:sz w:val="18"/>
                <w:szCs w:val="18"/>
              </w:rPr>
              <w:t>公用经费合计</w:t>
            </w:r>
          </w:p>
        </w:tc>
        <w:tc>
          <w:tcPr>
            <w:tcW w:w="701"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r>
              <w:rPr>
                <w:rFonts w:hint="eastAsia" w:ascii="宋体" w:hAnsi="宋体" w:eastAsia="宋体" w:cs="宋体"/>
                <w:i w:val="0"/>
                <w:iCs w:val="0"/>
                <w:color w:val="000000"/>
                <w:kern w:val="0"/>
                <w:sz w:val="18"/>
                <w:szCs w:val="18"/>
                <w:u w:val="none"/>
                <w:lang w:val="en-US" w:eastAsia="zh-CN" w:bidi="ar"/>
              </w:rPr>
              <w:t>16.10</w:t>
            </w:r>
          </w:p>
        </w:tc>
        <w:tc>
          <w:tcPr>
            <w:tcW w:w="236" w:type="dxa"/>
            <w:noWrap w:val="0"/>
            <w:vAlign w:val="center"/>
          </w:tcPr>
          <w:p>
            <w:pPr>
              <w:rPr>
                <w:rFonts w:hint="eastAsia" w:ascii="宋体" w:hAnsi="Calibri" w:eastAsia="宋体"/>
                <w:sz w:val="24"/>
                <w:szCs w:val="24"/>
              </w:rPr>
            </w:pPr>
          </w:p>
        </w:tc>
      </w:tr>
    </w:tbl>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jc w:val="center"/>
        <w:rPr>
          <w:rFonts w:hint="eastAsia" w:ascii="黑体" w:hAnsi="宋体" w:eastAsia="黑体" w:cs="黑体"/>
          <w:color w:val="000000"/>
          <w:sz w:val="32"/>
          <w:szCs w:val="32"/>
        </w:rPr>
      </w:pPr>
      <w:r>
        <w:rPr>
          <w:rFonts w:hint="eastAsia" w:ascii="黑体" w:hAnsi="宋体" w:eastAsia="黑体" w:cs="黑体"/>
          <w:color w:val="000000"/>
          <w:sz w:val="32"/>
          <w:szCs w:val="32"/>
        </w:rPr>
        <w:t>七、政府性基金预算财政拨款收入支出决算表</w:t>
      </w:r>
    </w:p>
    <w:p>
      <w:pPr>
        <w:pStyle w:val="4"/>
        <w:widowControl/>
        <w:rPr>
          <w:rFonts w:hint="eastAsia" w:ascii="黑体" w:hAnsi="宋体" w:eastAsia="黑体" w:cs="黑体"/>
          <w:color w:val="000000"/>
          <w:sz w:val="20"/>
          <w:szCs w:val="20"/>
        </w:rPr>
      </w:pPr>
      <w:r>
        <w:rPr>
          <w:rFonts w:hint="eastAsia" w:ascii="黑体" w:hAnsi="宋体" w:eastAsia="黑体" w:cs="黑体"/>
          <w:color w:val="000000"/>
          <w:sz w:val="20"/>
          <w:szCs w:val="20"/>
        </w:rPr>
        <w:t xml:space="preserve">                                                                               </w:t>
      </w:r>
      <w:r>
        <w:rPr>
          <w:rFonts w:hint="eastAsia" w:ascii="宋体" w:hAnsi="宋体" w:cs="宋体"/>
          <w:color w:val="000000"/>
          <w:sz w:val="20"/>
          <w:szCs w:val="20"/>
        </w:rPr>
        <w:t>公开07表</w:t>
      </w:r>
    </w:p>
    <w:tbl>
      <w:tblPr>
        <w:tblStyle w:val="2"/>
        <w:tblW w:w="9180" w:type="dxa"/>
        <w:jc w:val="center"/>
        <w:tblLayout w:type="fixed"/>
        <w:tblCellMar>
          <w:top w:w="0" w:type="dxa"/>
          <w:left w:w="108" w:type="dxa"/>
          <w:bottom w:w="0" w:type="dxa"/>
          <w:right w:w="108" w:type="dxa"/>
        </w:tblCellMar>
      </w:tblPr>
      <w:tblGrid>
        <w:gridCol w:w="430"/>
        <w:gridCol w:w="430"/>
        <w:gridCol w:w="430"/>
        <w:gridCol w:w="540"/>
        <w:gridCol w:w="460"/>
        <w:gridCol w:w="580"/>
        <w:gridCol w:w="640"/>
        <w:gridCol w:w="480"/>
        <w:gridCol w:w="430"/>
        <w:gridCol w:w="430"/>
        <w:gridCol w:w="430"/>
        <w:gridCol w:w="430"/>
        <w:gridCol w:w="430"/>
        <w:gridCol w:w="460"/>
        <w:gridCol w:w="820"/>
        <w:gridCol w:w="880"/>
        <w:gridCol w:w="880"/>
      </w:tblGrid>
      <w:tr>
        <w:tblPrEx>
          <w:tblCellMar>
            <w:top w:w="0" w:type="dxa"/>
            <w:left w:w="108" w:type="dxa"/>
            <w:bottom w:w="0" w:type="dxa"/>
            <w:right w:w="108" w:type="dxa"/>
          </w:tblCellMar>
        </w:tblPrEx>
        <w:trPr>
          <w:trHeight w:val="255" w:hRule="atLeast"/>
          <w:jc w:val="center"/>
        </w:trPr>
        <w:tc>
          <w:tcPr>
            <w:tcW w:w="3510" w:type="dxa"/>
            <w:gridSpan w:val="7"/>
            <w:tcBorders>
              <w:top w:val="nil"/>
              <w:left w:val="nil"/>
              <w:bottom w:val="nil"/>
              <w:right w:val="nil"/>
            </w:tcBorders>
            <w:noWrap w:val="0"/>
            <w:vAlign w:val="bottom"/>
          </w:tcPr>
          <w:p>
            <w:pPr>
              <w:pStyle w:val="4"/>
              <w:widowControl/>
              <w:jc w:val="left"/>
              <w:rPr>
                <w:rFonts w:ascii="Arial" w:hAnsi="Arial" w:cs="Arial"/>
                <w:color w:val="000000"/>
                <w:sz w:val="20"/>
                <w:szCs w:val="20"/>
              </w:rPr>
            </w:pPr>
            <w:r>
              <w:rPr>
                <w:rFonts w:hint="eastAsia" w:ascii="宋体" w:hAnsi="宋体" w:cs="宋体"/>
                <w:color w:val="000000"/>
                <w:sz w:val="20"/>
                <w:szCs w:val="20"/>
              </w:rPr>
              <w:t>部门：八公山区公共就业服务管理中心</w:t>
            </w:r>
          </w:p>
        </w:tc>
        <w:tc>
          <w:tcPr>
            <w:tcW w:w="48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6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82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1760" w:type="dxa"/>
            <w:gridSpan w:val="2"/>
            <w:tcBorders>
              <w:top w:val="nil"/>
              <w:left w:val="nil"/>
              <w:bottom w:val="nil"/>
              <w:right w:val="nil"/>
            </w:tcBorders>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0" w:type="dxa"/>
            <w:left w:w="108" w:type="dxa"/>
            <w:bottom w:w="0" w:type="dxa"/>
            <w:right w:w="108" w:type="dxa"/>
          </w:tblCellMar>
        </w:tblPrEx>
        <w:trPr>
          <w:trHeight w:val="465" w:hRule="atLeast"/>
          <w:jc w:val="center"/>
        </w:trPr>
        <w:tc>
          <w:tcPr>
            <w:tcW w:w="129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540"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1680"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年初结转和结余</w:t>
            </w:r>
          </w:p>
        </w:tc>
        <w:tc>
          <w:tcPr>
            <w:tcW w:w="1340"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本年收入</w:t>
            </w:r>
          </w:p>
        </w:tc>
        <w:tc>
          <w:tcPr>
            <w:tcW w:w="1290"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本年支出</w:t>
            </w:r>
          </w:p>
        </w:tc>
        <w:tc>
          <w:tcPr>
            <w:tcW w:w="3040" w:type="dxa"/>
            <w:gridSpan w:val="4"/>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年末结转和结余</w:t>
            </w:r>
          </w:p>
        </w:tc>
      </w:tr>
      <w:tr>
        <w:tblPrEx>
          <w:tblCellMar>
            <w:top w:w="0" w:type="dxa"/>
            <w:left w:w="108" w:type="dxa"/>
            <w:bottom w:w="0" w:type="dxa"/>
            <w:right w:w="108" w:type="dxa"/>
          </w:tblCellMar>
        </w:tblPrEx>
        <w:trPr>
          <w:trHeight w:val="615" w:hRule="atLeast"/>
          <w:jc w:val="center"/>
        </w:trPr>
        <w:tc>
          <w:tcPr>
            <w:tcW w:w="12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sz w:val="20"/>
              </w:rPr>
            </w:pPr>
          </w:p>
        </w:tc>
        <w:tc>
          <w:tcPr>
            <w:tcW w:w="54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46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58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基本支出结转</w:t>
            </w:r>
          </w:p>
        </w:tc>
        <w:tc>
          <w:tcPr>
            <w:tcW w:w="64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项目支出结转</w:t>
            </w:r>
          </w:p>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和结余</w:t>
            </w:r>
          </w:p>
        </w:tc>
        <w:tc>
          <w:tcPr>
            <w:tcW w:w="48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c>
          <w:tcPr>
            <w:tcW w:w="46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82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基本支出结转</w:t>
            </w:r>
          </w:p>
        </w:tc>
        <w:tc>
          <w:tcPr>
            <w:tcW w:w="1760" w:type="dxa"/>
            <w:gridSpan w:val="2"/>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项目支出结转和结余</w:t>
            </w:r>
          </w:p>
        </w:tc>
      </w:tr>
      <w:tr>
        <w:tblPrEx>
          <w:tblCellMar>
            <w:top w:w="0" w:type="dxa"/>
            <w:left w:w="108" w:type="dxa"/>
            <w:bottom w:w="0" w:type="dxa"/>
            <w:right w:w="108" w:type="dxa"/>
          </w:tblCellMar>
        </w:tblPrEx>
        <w:trPr>
          <w:trHeight w:val="308" w:hRule="atLeast"/>
          <w:jc w:val="center"/>
        </w:trPr>
        <w:tc>
          <w:tcPr>
            <w:tcW w:w="12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sz w:val="20"/>
              </w:rPr>
            </w:pPr>
          </w:p>
        </w:tc>
        <w:tc>
          <w:tcPr>
            <w:tcW w:w="54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460" w:type="dxa"/>
            <w:vMerge w:val="continue"/>
            <w:tcBorders>
              <w:top w:val="nil"/>
              <w:left w:val="nil"/>
              <w:bottom w:val="single" w:color="000000" w:sz="4" w:space="0"/>
              <w:right w:val="single" w:color="000000" w:sz="4" w:space="0"/>
            </w:tcBorders>
            <w:noWrap w:val="0"/>
            <w:vAlign w:val="center"/>
          </w:tcPr>
          <w:p>
            <w:pPr>
              <w:rPr>
                <w:sz w:val="20"/>
              </w:rPr>
            </w:pPr>
          </w:p>
        </w:tc>
        <w:tc>
          <w:tcPr>
            <w:tcW w:w="580" w:type="dxa"/>
            <w:vMerge w:val="continue"/>
            <w:tcBorders>
              <w:top w:val="nil"/>
              <w:left w:val="nil"/>
              <w:bottom w:val="single" w:color="000000" w:sz="4" w:space="0"/>
              <w:right w:val="single" w:color="000000" w:sz="4" w:space="0"/>
            </w:tcBorders>
            <w:noWrap w:val="0"/>
            <w:vAlign w:val="center"/>
          </w:tcPr>
          <w:p>
            <w:pPr>
              <w:rPr>
                <w:sz w:val="20"/>
              </w:rPr>
            </w:pPr>
          </w:p>
        </w:tc>
        <w:tc>
          <w:tcPr>
            <w:tcW w:w="640" w:type="dxa"/>
            <w:vMerge w:val="continue"/>
            <w:tcBorders>
              <w:top w:val="nil"/>
              <w:left w:val="nil"/>
              <w:bottom w:val="single" w:color="000000" w:sz="4" w:space="0"/>
              <w:right w:val="single" w:color="000000" w:sz="4" w:space="0"/>
            </w:tcBorders>
            <w:noWrap w:val="0"/>
            <w:vAlign w:val="center"/>
          </w:tcPr>
          <w:p>
            <w:pPr>
              <w:rPr>
                <w:sz w:val="20"/>
              </w:rPr>
            </w:pPr>
          </w:p>
        </w:tc>
        <w:tc>
          <w:tcPr>
            <w:tcW w:w="48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60" w:type="dxa"/>
            <w:vMerge w:val="continue"/>
            <w:tcBorders>
              <w:top w:val="nil"/>
              <w:left w:val="nil"/>
              <w:bottom w:val="single" w:color="000000" w:sz="4" w:space="0"/>
              <w:right w:val="single" w:color="000000" w:sz="4" w:space="0"/>
            </w:tcBorders>
            <w:noWrap w:val="0"/>
            <w:vAlign w:val="center"/>
          </w:tcPr>
          <w:p>
            <w:pPr>
              <w:rPr>
                <w:sz w:val="20"/>
              </w:rPr>
            </w:pPr>
          </w:p>
        </w:tc>
        <w:tc>
          <w:tcPr>
            <w:tcW w:w="820" w:type="dxa"/>
            <w:vMerge w:val="continue"/>
            <w:tcBorders>
              <w:top w:val="nil"/>
              <w:left w:val="nil"/>
              <w:bottom w:val="single" w:color="000000" w:sz="4" w:space="0"/>
              <w:right w:val="single" w:color="000000" w:sz="4" w:space="0"/>
            </w:tcBorders>
            <w:noWrap w:val="0"/>
            <w:vAlign w:val="center"/>
          </w:tcPr>
          <w:p>
            <w:pPr>
              <w:rPr>
                <w:sz w:val="20"/>
              </w:rPr>
            </w:pPr>
          </w:p>
        </w:tc>
        <w:tc>
          <w:tcPr>
            <w:tcW w:w="88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项目支出结转</w:t>
            </w:r>
          </w:p>
        </w:tc>
        <w:tc>
          <w:tcPr>
            <w:tcW w:w="88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项目支出结余</w:t>
            </w:r>
          </w:p>
        </w:tc>
      </w:tr>
      <w:tr>
        <w:tblPrEx>
          <w:tblCellMar>
            <w:top w:w="0" w:type="dxa"/>
            <w:left w:w="108" w:type="dxa"/>
            <w:bottom w:w="0" w:type="dxa"/>
            <w:right w:w="108" w:type="dxa"/>
          </w:tblCellMar>
        </w:tblPrEx>
        <w:trPr>
          <w:trHeight w:val="2006" w:hRule="atLeast"/>
          <w:jc w:val="center"/>
        </w:trPr>
        <w:tc>
          <w:tcPr>
            <w:tcW w:w="12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sz w:val="20"/>
              </w:rPr>
            </w:pPr>
          </w:p>
        </w:tc>
        <w:tc>
          <w:tcPr>
            <w:tcW w:w="54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460" w:type="dxa"/>
            <w:vMerge w:val="continue"/>
            <w:tcBorders>
              <w:top w:val="nil"/>
              <w:left w:val="nil"/>
              <w:bottom w:val="single" w:color="000000" w:sz="4" w:space="0"/>
              <w:right w:val="single" w:color="000000" w:sz="4" w:space="0"/>
            </w:tcBorders>
            <w:noWrap w:val="0"/>
            <w:vAlign w:val="center"/>
          </w:tcPr>
          <w:p>
            <w:pPr>
              <w:rPr>
                <w:sz w:val="20"/>
              </w:rPr>
            </w:pPr>
          </w:p>
        </w:tc>
        <w:tc>
          <w:tcPr>
            <w:tcW w:w="580" w:type="dxa"/>
            <w:vMerge w:val="continue"/>
            <w:tcBorders>
              <w:top w:val="nil"/>
              <w:left w:val="nil"/>
              <w:bottom w:val="single" w:color="000000" w:sz="4" w:space="0"/>
              <w:right w:val="single" w:color="000000" w:sz="4" w:space="0"/>
            </w:tcBorders>
            <w:noWrap w:val="0"/>
            <w:vAlign w:val="center"/>
          </w:tcPr>
          <w:p>
            <w:pPr>
              <w:rPr>
                <w:sz w:val="20"/>
              </w:rPr>
            </w:pPr>
          </w:p>
        </w:tc>
        <w:tc>
          <w:tcPr>
            <w:tcW w:w="640" w:type="dxa"/>
            <w:vMerge w:val="continue"/>
            <w:tcBorders>
              <w:top w:val="nil"/>
              <w:left w:val="nil"/>
              <w:bottom w:val="single" w:color="000000" w:sz="4" w:space="0"/>
              <w:right w:val="single" w:color="000000" w:sz="4" w:space="0"/>
            </w:tcBorders>
            <w:noWrap w:val="0"/>
            <w:vAlign w:val="center"/>
          </w:tcPr>
          <w:p>
            <w:pPr>
              <w:rPr>
                <w:sz w:val="20"/>
              </w:rPr>
            </w:pPr>
          </w:p>
        </w:tc>
        <w:tc>
          <w:tcPr>
            <w:tcW w:w="48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60" w:type="dxa"/>
            <w:vMerge w:val="continue"/>
            <w:tcBorders>
              <w:top w:val="nil"/>
              <w:left w:val="nil"/>
              <w:bottom w:val="single" w:color="000000" w:sz="4" w:space="0"/>
              <w:right w:val="single" w:color="000000" w:sz="4" w:space="0"/>
            </w:tcBorders>
            <w:noWrap w:val="0"/>
            <w:vAlign w:val="center"/>
          </w:tcPr>
          <w:p>
            <w:pPr>
              <w:rPr>
                <w:sz w:val="20"/>
              </w:rPr>
            </w:pPr>
          </w:p>
        </w:tc>
        <w:tc>
          <w:tcPr>
            <w:tcW w:w="820" w:type="dxa"/>
            <w:vMerge w:val="continue"/>
            <w:tcBorders>
              <w:top w:val="nil"/>
              <w:left w:val="nil"/>
              <w:bottom w:val="single" w:color="000000" w:sz="4" w:space="0"/>
              <w:right w:val="single" w:color="000000" w:sz="4" w:space="0"/>
            </w:tcBorders>
            <w:noWrap w:val="0"/>
            <w:vAlign w:val="center"/>
          </w:tcPr>
          <w:p>
            <w:pPr>
              <w:rPr>
                <w:sz w:val="20"/>
              </w:rPr>
            </w:pPr>
          </w:p>
        </w:tc>
        <w:tc>
          <w:tcPr>
            <w:tcW w:w="880" w:type="dxa"/>
            <w:vMerge w:val="continue"/>
            <w:tcBorders>
              <w:top w:val="nil"/>
              <w:left w:val="nil"/>
              <w:bottom w:val="single" w:color="000000" w:sz="4" w:space="0"/>
              <w:right w:val="single" w:color="000000" w:sz="4" w:space="0"/>
            </w:tcBorders>
            <w:noWrap w:val="0"/>
            <w:vAlign w:val="center"/>
          </w:tcPr>
          <w:p>
            <w:pPr>
              <w:rPr>
                <w:sz w:val="20"/>
              </w:rPr>
            </w:pPr>
          </w:p>
        </w:tc>
        <w:tc>
          <w:tcPr>
            <w:tcW w:w="880" w:type="dxa"/>
            <w:vMerge w:val="continue"/>
            <w:tcBorders>
              <w:top w:val="nil"/>
              <w:left w:val="nil"/>
              <w:bottom w:val="single" w:color="000000" w:sz="4" w:space="0"/>
              <w:right w:val="single" w:color="000000" w:sz="4" w:space="0"/>
            </w:tcBorders>
            <w:noWrap w:val="0"/>
            <w:vAlign w:val="center"/>
          </w:tcPr>
          <w:p>
            <w:pPr>
              <w:rPr>
                <w:sz w:val="20"/>
              </w:rPr>
            </w:pPr>
          </w:p>
        </w:tc>
      </w:tr>
      <w:tr>
        <w:tblPrEx>
          <w:tblCellMar>
            <w:top w:w="0" w:type="dxa"/>
            <w:left w:w="108" w:type="dxa"/>
            <w:bottom w:w="0" w:type="dxa"/>
            <w:right w:w="108" w:type="dxa"/>
          </w:tblCellMar>
        </w:tblPrEx>
        <w:trPr>
          <w:trHeight w:val="308" w:hRule="atLeast"/>
          <w:jc w:val="center"/>
        </w:trPr>
        <w:tc>
          <w:tcPr>
            <w:tcW w:w="430"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类</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款</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项</w:t>
            </w:r>
          </w:p>
        </w:tc>
        <w:tc>
          <w:tcPr>
            <w:tcW w:w="54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460" w:type="dxa"/>
            <w:tcBorders>
              <w:top w:val="single" w:color="000000" w:sz="4" w:space="0"/>
              <w:left w:val="nil"/>
              <w:bottom w:val="single" w:color="000000" w:sz="4" w:space="0"/>
              <w:right w:val="single" w:color="000000" w:sz="4" w:space="0"/>
            </w:tcBorders>
            <w:noWrap w:val="0"/>
            <w:vAlign w:val="center"/>
          </w:tcPr>
          <w:p>
            <w:pPr>
              <w:widowControl/>
              <w:rPr>
                <w:rFonts w:hint="eastAsia" w:ascii="宋体" w:hAnsi="宋体" w:cs="宋体"/>
                <w:b/>
                <w:color w:val="000000"/>
                <w:sz w:val="22"/>
                <w:szCs w:val="22"/>
              </w:rPr>
            </w:pPr>
          </w:p>
        </w:tc>
        <w:tc>
          <w:tcPr>
            <w:tcW w:w="58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p>
        </w:tc>
        <w:tc>
          <w:tcPr>
            <w:tcW w:w="64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p>
        </w:tc>
        <w:tc>
          <w:tcPr>
            <w:tcW w:w="48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p>
        </w:tc>
        <w:tc>
          <w:tcPr>
            <w:tcW w:w="43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p>
        </w:tc>
        <w:tc>
          <w:tcPr>
            <w:tcW w:w="43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p>
        </w:tc>
        <w:tc>
          <w:tcPr>
            <w:tcW w:w="43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p>
        </w:tc>
        <w:tc>
          <w:tcPr>
            <w:tcW w:w="43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p>
        </w:tc>
        <w:tc>
          <w:tcPr>
            <w:tcW w:w="43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p>
        </w:tc>
        <w:tc>
          <w:tcPr>
            <w:tcW w:w="46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p>
        </w:tc>
        <w:tc>
          <w:tcPr>
            <w:tcW w:w="82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p>
        </w:tc>
        <w:tc>
          <w:tcPr>
            <w:tcW w:w="88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p>
        </w:tc>
        <w:tc>
          <w:tcPr>
            <w:tcW w:w="88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p>
        </w:tc>
      </w:tr>
      <w:tr>
        <w:tblPrEx>
          <w:tblCellMar>
            <w:top w:w="0" w:type="dxa"/>
            <w:left w:w="108" w:type="dxa"/>
            <w:bottom w:w="0" w:type="dxa"/>
            <w:right w:w="108" w:type="dxa"/>
          </w:tblCellMar>
        </w:tblPrEx>
        <w:trPr>
          <w:trHeight w:val="500" w:hRule="atLeast"/>
          <w:jc w:val="center"/>
        </w:trPr>
        <w:tc>
          <w:tcPr>
            <w:tcW w:w="129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540"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22"/>
                <w:szCs w:val="22"/>
              </w:rPr>
            </w:pPr>
          </w:p>
        </w:tc>
        <w:tc>
          <w:tcPr>
            <w:tcW w:w="460" w:type="dxa"/>
            <w:tcBorders>
              <w:top w:val="single" w:color="000000" w:sz="4" w:space="0"/>
              <w:left w:val="nil"/>
              <w:bottom w:val="single" w:color="000000" w:sz="4" w:space="0"/>
              <w:right w:val="single" w:color="000000" w:sz="4" w:space="0"/>
            </w:tcBorders>
            <w:noWrap w:val="0"/>
            <w:vAlign w:val="center"/>
          </w:tcPr>
          <w:p>
            <w:pPr>
              <w:widowControl/>
              <w:rPr>
                <w:rFonts w:hint="eastAsia" w:ascii="宋体" w:hAnsi="宋体" w:cs="宋体"/>
                <w:color w:val="000000"/>
                <w:sz w:val="22"/>
                <w:szCs w:val="22"/>
              </w:rPr>
            </w:pPr>
          </w:p>
        </w:tc>
        <w:tc>
          <w:tcPr>
            <w:tcW w:w="58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64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8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3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3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3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3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3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6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82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88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880"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550" w:hRule="atLeast"/>
          <w:jc w:val="center"/>
        </w:trPr>
        <w:tc>
          <w:tcPr>
            <w:tcW w:w="1290" w:type="dxa"/>
            <w:gridSpan w:val="3"/>
            <w:tcBorders>
              <w:top w:val="nil"/>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540"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color w:val="000000"/>
                <w:sz w:val="22"/>
                <w:szCs w:val="22"/>
              </w:rPr>
            </w:pPr>
          </w:p>
        </w:tc>
        <w:tc>
          <w:tcPr>
            <w:tcW w:w="46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58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64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8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3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3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3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3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3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6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82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88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88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r>
      <w:tr>
        <w:tblPrEx>
          <w:tblCellMar>
            <w:top w:w="0" w:type="dxa"/>
            <w:left w:w="108" w:type="dxa"/>
            <w:bottom w:w="0" w:type="dxa"/>
            <w:right w:w="108" w:type="dxa"/>
          </w:tblCellMar>
        </w:tblPrEx>
        <w:trPr>
          <w:trHeight w:val="559" w:hRule="atLeast"/>
          <w:jc w:val="center"/>
        </w:trPr>
        <w:tc>
          <w:tcPr>
            <w:tcW w:w="1290" w:type="dxa"/>
            <w:gridSpan w:val="3"/>
            <w:tcBorders>
              <w:top w:val="nil"/>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540" w:type="dxa"/>
            <w:tcBorders>
              <w:top w:val="nil"/>
              <w:left w:val="nil"/>
              <w:bottom w:val="single" w:color="000000" w:sz="4" w:space="0"/>
              <w:right w:val="single" w:color="000000" w:sz="4" w:space="0"/>
            </w:tcBorders>
            <w:noWrap w:val="0"/>
            <w:vAlign w:val="center"/>
          </w:tcPr>
          <w:p>
            <w:pPr>
              <w:widowControl/>
              <w:jc w:val="left"/>
              <w:rPr>
                <w:rFonts w:hint="eastAsia" w:ascii="宋体" w:hAnsi="宋体" w:cs="宋体"/>
                <w:color w:val="000000"/>
                <w:sz w:val="22"/>
                <w:szCs w:val="22"/>
              </w:rPr>
            </w:pPr>
          </w:p>
        </w:tc>
        <w:tc>
          <w:tcPr>
            <w:tcW w:w="46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58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64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8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3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3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3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3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3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46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82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88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880" w:type="dxa"/>
            <w:tcBorders>
              <w:top w:val="nil"/>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r>
    </w:tbl>
    <w:p>
      <w:pPr>
        <w:pStyle w:val="4"/>
        <w:widowControl/>
        <w:rPr>
          <w:rFonts w:hint="eastAsia" w:ascii="黑体" w:hAnsi="宋体" w:eastAsia="黑体" w:cs="黑体"/>
          <w:color w:val="000000"/>
          <w:sz w:val="32"/>
          <w:szCs w:val="32"/>
        </w:rPr>
      </w:pPr>
      <w:r>
        <w:rPr>
          <w:rFonts w:hint="eastAsia" w:ascii="楷体_GB2312" w:eastAsia="楷体_GB2312" w:cs="楷体_GB2312"/>
          <w:color w:val="000000"/>
          <w:sz w:val="32"/>
          <w:szCs w:val="32"/>
        </w:rPr>
        <w:t>八公山区公共就业服务管理中心</w:t>
      </w:r>
      <w:r>
        <w:rPr>
          <w:rFonts w:ascii="楷体_GB2312" w:eastAsia="楷体_GB2312" w:cs="楷体_GB2312"/>
          <w:color w:val="000000"/>
          <w:sz w:val="32"/>
          <w:szCs w:val="32"/>
        </w:rPr>
        <w:t>没有政府性基金收入，也没有使用政府性基金安排的支出，故此表无数据。</w:t>
      </w:r>
    </w:p>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rPr>
          <w:rFonts w:hint="eastAsia" w:ascii="黑体" w:hAnsi="宋体" w:eastAsia="黑体" w:cs="黑体"/>
          <w:color w:val="000000"/>
          <w:sz w:val="32"/>
          <w:szCs w:val="32"/>
        </w:rPr>
      </w:pPr>
    </w:p>
    <w:p>
      <w:pPr>
        <w:pStyle w:val="4"/>
        <w:widowControl/>
        <w:rPr>
          <w:rFonts w:hint="eastAsia" w:ascii="黑体" w:hAnsi="宋体" w:eastAsia="黑体" w:cs="黑体"/>
          <w:color w:val="000000"/>
          <w:sz w:val="32"/>
          <w:szCs w:val="32"/>
        </w:rPr>
      </w:pPr>
    </w:p>
    <w:p>
      <w:pPr>
        <w:pStyle w:val="4"/>
        <w:widowControl/>
        <w:rPr>
          <w:rFonts w:hint="eastAsia" w:ascii="黑体" w:hAnsi="宋体" w:eastAsia="黑体" w:cs="黑体"/>
          <w:color w:val="000000"/>
          <w:sz w:val="32"/>
          <w:szCs w:val="32"/>
        </w:rPr>
      </w:pPr>
    </w:p>
    <w:p>
      <w:pPr>
        <w:pStyle w:val="4"/>
        <w:widowControl/>
        <w:rPr>
          <w:rFonts w:hint="eastAsia" w:ascii="黑体" w:hAnsi="宋体" w:eastAsia="黑体" w:cs="黑体"/>
          <w:color w:val="000000"/>
          <w:sz w:val="32"/>
          <w:szCs w:val="32"/>
        </w:rPr>
      </w:pPr>
    </w:p>
    <w:p>
      <w:pPr>
        <w:pStyle w:val="4"/>
        <w:widowControl/>
        <w:rPr>
          <w:rFonts w:hint="eastAsia" w:ascii="黑体" w:hAnsi="宋体" w:eastAsia="黑体" w:cs="黑体"/>
          <w:color w:val="000000"/>
          <w:sz w:val="32"/>
          <w:szCs w:val="32"/>
        </w:rPr>
      </w:pP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八、国有资本经营预算财政拨款支出决算表</w:t>
      </w:r>
    </w:p>
    <w:tbl>
      <w:tblPr>
        <w:tblStyle w:val="2"/>
        <w:tblW w:w="0" w:type="auto"/>
        <w:tblInd w:w="93" w:type="dxa"/>
        <w:tblLayout w:type="fixed"/>
        <w:tblCellMar>
          <w:top w:w="15" w:type="dxa"/>
          <w:left w:w="108" w:type="dxa"/>
          <w:bottom w:w="15" w:type="dxa"/>
          <w:right w:w="108" w:type="dxa"/>
        </w:tblCellMar>
      </w:tblPr>
      <w:tblGrid>
        <w:gridCol w:w="573"/>
        <w:gridCol w:w="573"/>
        <w:gridCol w:w="574"/>
        <w:gridCol w:w="1425"/>
        <w:gridCol w:w="1252"/>
        <w:gridCol w:w="2191"/>
        <w:gridCol w:w="2191"/>
      </w:tblGrid>
      <w:tr>
        <w:tblPrEx>
          <w:tblCellMar>
            <w:top w:w="15" w:type="dxa"/>
            <w:left w:w="108" w:type="dxa"/>
            <w:bottom w:w="15" w:type="dxa"/>
            <w:right w:w="108" w:type="dxa"/>
          </w:tblCellMar>
        </w:tblPrEx>
        <w:trPr>
          <w:trHeight w:val="360" w:hRule="atLeast"/>
        </w:trPr>
        <w:tc>
          <w:tcPr>
            <w:tcW w:w="8779" w:type="dxa"/>
            <w:gridSpan w:val="7"/>
            <w:noWrap w:val="0"/>
            <w:vAlign w:val="bottom"/>
          </w:tcPr>
          <w:p>
            <w:pPr>
              <w:pStyle w:val="4"/>
              <w:widowControl/>
              <w:ind w:firstLine="7276"/>
              <w:jc w:val="left"/>
              <w:rPr>
                <w:rFonts w:ascii="Arial" w:hAnsi="Arial" w:cs="Arial"/>
                <w:color w:val="000000"/>
                <w:sz w:val="20"/>
                <w:szCs w:val="20"/>
              </w:rPr>
            </w:pPr>
            <w:r>
              <w:rPr>
                <w:rFonts w:hint="eastAsia" w:ascii="宋体" w:hAnsi="宋体" w:cs="宋体"/>
                <w:color w:val="000000"/>
                <w:sz w:val="20"/>
                <w:szCs w:val="20"/>
              </w:rPr>
              <w:t>公开08表</w:t>
            </w:r>
          </w:p>
        </w:tc>
      </w:tr>
      <w:tr>
        <w:tblPrEx>
          <w:tblCellMar>
            <w:top w:w="15" w:type="dxa"/>
            <w:left w:w="108" w:type="dxa"/>
            <w:bottom w:w="15" w:type="dxa"/>
            <w:right w:w="108" w:type="dxa"/>
          </w:tblCellMar>
        </w:tblPrEx>
        <w:trPr>
          <w:trHeight w:val="450" w:hRule="atLeast"/>
        </w:trPr>
        <w:tc>
          <w:tcPr>
            <w:tcW w:w="8779" w:type="dxa"/>
            <w:gridSpan w:val="7"/>
            <w:tcBorders>
              <w:bottom w:val="single" w:color="000000" w:sz="4" w:space="0"/>
            </w:tcBorders>
            <w:noWrap w:val="0"/>
            <w:vAlign w:val="center"/>
          </w:tcPr>
          <w:p>
            <w:pPr>
              <w:pStyle w:val="4"/>
              <w:widowControl/>
              <w:jc w:val="left"/>
              <w:rPr>
                <w:rFonts w:ascii="Arial" w:hAnsi="Arial" w:cs="Arial"/>
                <w:color w:val="000000"/>
                <w:sz w:val="20"/>
                <w:szCs w:val="20"/>
              </w:rPr>
            </w:pPr>
            <w:r>
              <w:rPr>
                <w:rFonts w:hint="eastAsia" w:ascii="宋体" w:hAnsi="宋体" w:cs="宋体"/>
                <w:color w:val="000000"/>
                <w:sz w:val="20"/>
                <w:szCs w:val="20"/>
              </w:rPr>
              <w:t>部门：八公山区公共就业服务管理中心                                       金额单位：万元</w:t>
            </w:r>
          </w:p>
        </w:tc>
      </w:tr>
      <w:tr>
        <w:tblPrEx>
          <w:tblCellMar>
            <w:top w:w="15" w:type="dxa"/>
            <w:left w:w="108" w:type="dxa"/>
            <w:bottom w:w="15" w:type="dxa"/>
            <w:right w:w="108" w:type="dxa"/>
          </w:tblCellMar>
        </w:tblPrEx>
        <w:trPr>
          <w:trHeight w:val="781" w:hRule="atLeast"/>
        </w:trPr>
        <w:tc>
          <w:tcPr>
            <w:tcW w:w="1720" w:type="dxa"/>
            <w:gridSpan w:val="3"/>
            <w:vMerge w:val="restart"/>
            <w:tcBorders>
              <w:top w:val="nil"/>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1425"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5634"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本年支出</w:t>
            </w:r>
          </w:p>
        </w:tc>
      </w:tr>
      <w:tr>
        <w:tblPrEx>
          <w:tblCellMar>
            <w:top w:w="15" w:type="dxa"/>
            <w:left w:w="108" w:type="dxa"/>
            <w:bottom w:w="15" w:type="dxa"/>
            <w:right w:w="108" w:type="dxa"/>
          </w:tblCellMar>
        </w:tblPrEx>
        <w:trPr>
          <w:trHeight w:val="300" w:hRule="atLeast"/>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2191"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2191"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r>
      <w:tr>
        <w:tblPrEx>
          <w:tblCellMar>
            <w:top w:w="15" w:type="dxa"/>
            <w:left w:w="108" w:type="dxa"/>
            <w:bottom w:w="15" w:type="dxa"/>
            <w:right w:w="108" w:type="dxa"/>
          </w:tblCellMar>
        </w:tblPrEx>
        <w:trPr>
          <w:trHeight w:val="286" w:hRule="atLeast"/>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continue"/>
            <w:tcBorders>
              <w:top w:val="nil"/>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454" w:hRule="atLeast"/>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continue"/>
            <w:tcBorders>
              <w:top w:val="nil"/>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673"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类</w:t>
            </w:r>
          </w:p>
        </w:tc>
        <w:tc>
          <w:tcPr>
            <w:tcW w:w="573"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款</w:t>
            </w:r>
          </w:p>
        </w:tc>
        <w:tc>
          <w:tcPr>
            <w:tcW w:w="574"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w:t>
            </w:r>
          </w:p>
        </w:tc>
        <w:tc>
          <w:tcPr>
            <w:tcW w:w="142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1252"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b/>
                <w:color w:val="000000"/>
                <w:sz w:val="22"/>
                <w:szCs w:val="22"/>
              </w:rPr>
            </w:pPr>
          </w:p>
        </w:tc>
      </w:tr>
      <w:tr>
        <w:tblPrEx>
          <w:tblCellMar>
            <w:top w:w="15" w:type="dxa"/>
            <w:left w:w="108" w:type="dxa"/>
            <w:bottom w:w="15" w:type="dxa"/>
            <w:right w:w="108" w:type="dxa"/>
          </w:tblCellMar>
        </w:tblPrEx>
        <w:trPr>
          <w:trHeight w:val="634" w:hRule="atLeast"/>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142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22"/>
                <w:szCs w:val="22"/>
              </w:rPr>
            </w:pPr>
          </w:p>
        </w:tc>
        <w:tc>
          <w:tcPr>
            <w:tcW w:w="1252"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r>
      <w:tr>
        <w:tblPrEx>
          <w:tblCellMar>
            <w:top w:w="15" w:type="dxa"/>
            <w:left w:w="108" w:type="dxa"/>
            <w:bottom w:w="15" w:type="dxa"/>
            <w:right w:w="108" w:type="dxa"/>
          </w:tblCellMar>
        </w:tblPrEx>
        <w:trPr>
          <w:trHeight w:val="799" w:hRule="atLeast"/>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1425" w:type="dxa"/>
            <w:tcBorders>
              <w:top w:val="single" w:color="000000" w:sz="4" w:space="0"/>
              <w:left w:val="nil"/>
              <w:bottom w:val="single" w:color="000000" w:sz="4" w:space="0"/>
              <w:right w:val="single" w:color="000000" w:sz="4" w:space="0"/>
            </w:tcBorders>
            <w:noWrap w:val="0"/>
            <w:vAlign w:val="center"/>
          </w:tcPr>
          <w:p>
            <w:pPr>
              <w:widowControl/>
              <w:jc w:val="left"/>
              <w:rPr>
                <w:rFonts w:hint="eastAsia" w:ascii="宋体" w:hAnsi="宋体" w:cs="宋体"/>
                <w:color w:val="000000"/>
                <w:sz w:val="22"/>
                <w:szCs w:val="22"/>
              </w:rPr>
            </w:pPr>
          </w:p>
        </w:tc>
        <w:tc>
          <w:tcPr>
            <w:tcW w:w="1252"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widowControl/>
              <w:jc w:val="right"/>
              <w:rPr>
                <w:rFonts w:hint="eastAsia" w:ascii="宋体" w:hAnsi="宋体" w:cs="宋体"/>
                <w:color w:val="000000"/>
                <w:sz w:val="22"/>
                <w:szCs w:val="22"/>
              </w:rPr>
            </w:pPr>
          </w:p>
        </w:tc>
      </w:tr>
    </w:tbl>
    <w:p>
      <w:pPr>
        <w:pStyle w:val="4"/>
        <w:widowControl/>
        <w:rPr>
          <w:rFonts w:hint="eastAsia" w:ascii="黑体" w:hAnsi="宋体" w:eastAsia="黑体" w:cs="黑体"/>
          <w:color w:val="000000"/>
          <w:sz w:val="20"/>
          <w:szCs w:val="20"/>
        </w:rPr>
      </w:pPr>
      <w:r>
        <w:rPr>
          <w:rFonts w:hint="eastAsia" w:ascii="楷体_GB2312" w:eastAsia="楷体_GB2312" w:cs="楷体_GB2312"/>
          <w:color w:val="000000"/>
          <w:sz w:val="32"/>
          <w:szCs w:val="32"/>
        </w:rPr>
        <w:t>八公山区公共就业服务管理中心</w:t>
      </w:r>
      <w:r>
        <w:rPr>
          <w:rFonts w:ascii="楷体_GB2312" w:eastAsia="楷体_GB2312" w:cs="楷体_GB2312"/>
          <w:color w:val="000000"/>
          <w:sz w:val="32"/>
          <w:szCs w:val="32"/>
        </w:rPr>
        <w:t>没有使用国有资本经营预算财政拨款安排的支出，故此表无数据。</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第三部分 八公山区公共就业服务管理中心2020年度部门决算情况说明</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一、收入支出决算总体情况说明</w:t>
      </w:r>
    </w:p>
    <w:p>
      <w:pPr>
        <w:pStyle w:val="4"/>
        <w:widowControl/>
        <w:ind w:firstLine="640"/>
        <w:rPr>
          <w:rFonts w:hint="eastAsia" w:ascii="仿宋_GB2312" w:eastAsia="仿宋_GB2312" w:cs="仿宋_GB2312"/>
          <w:color w:val="000000"/>
          <w:sz w:val="32"/>
          <w:szCs w:val="32"/>
          <w:lang w:eastAsia="zh-CN"/>
        </w:rPr>
      </w:pPr>
      <w:r>
        <w:rPr>
          <w:rFonts w:ascii="仿宋_GB2312" w:eastAsia="仿宋_GB2312" w:cs="仿宋_GB2312"/>
          <w:color w:val="000000"/>
          <w:sz w:val="32"/>
          <w:szCs w:val="32"/>
        </w:rPr>
        <w:t>2020年度收入总计</w:t>
      </w:r>
      <w:r>
        <w:rPr>
          <w:rFonts w:hint="eastAsia" w:ascii="仿宋" w:hAnsi="仿宋" w:eastAsia="仿宋" w:cs="仿宋"/>
          <w:i w:val="0"/>
          <w:iCs w:val="0"/>
          <w:color w:val="000000"/>
          <w:kern w:val="0"/>
          <w:sz w:val="32"/>
          <w:szCs w:val="32"/>
          <w:u w:val="none"/>
          <w:lang w:val="en-US" w:eastAsia="zh-CN" w:bidi="ar"/>
        </w:rPr>
        <w:t>56.74</w:t>
      </w:r>
      <w:r>
        <w:rPr>
          <w:rFonts w:ascii="仿宋_GB2312" w:eastAsia="仿宋_GB2312" w:cs="仿宋_GB2312"/>
          <w:color w:val="000000"/>
          <w:sz w:val="32"/>
          <w:szCs w:val="32"/>
        </w:rPr>
        <w:t>万元（含使用非财政拨款结转结余和年初结转结余）、支出总计</w:t>
      </w:r>
      <w:r>
        <w:rPr>
          <w:rFonts w:hint="eastAsia" w:ascii="仿宋" w:hAnsi="仿宋" w:eastAsia="仿宋" w:cs="仿宋"/>
          <w:i w:val="0"/>
          <w:iCs w:val="0"/>
          <w:color w:val="000000"/>
          <w:kern w:val="0"/>
          <w:sz w:val="32"/>
          <w:szCs w:val="32"/>
          <w:u w:val="none"/>
          <w:lang w:val="en-US" w:eastAsia="zh-CN" w:bidi="ar"/>
        </w:rPr>
        <w:t>56.74</w:t>
      </w:r>
      <w:r>
        <w:rPr>
          <w:rFonts w:ascii="仿宋_GB2312" w:eastAsia="仿宋_GB2312" w:cs="仿宋_GB2312"/>
          <w:color w:val="000000"/>
          <w:sz w:val="32"/>
          <w:szCs w:val="32"/>
        </w:rPr>
        <w:t>万元（含结余分配和年末结转结余）。与2019年相比，收、支总计各减少</w:t>
      </w:r>
      <w:r>
        <w:rPr>
          <w:rFonts w:hint="eastAsia" w:ascii="仿宋_GB2312" w:eastAsia="仿宋_GB2312" w:cs="仿宋_GB2312"/>
          <w:color w:val="000000"/>
          <w:sz w:val="32"/>
          <w:szCs w:val="32"/>
          <w:lang w:val="en-US" w:eastAsia="zh-CN"/>
        </w:rPr>
        <w:t>12.44</w:t>
      </w:r>
      <w:r>
        <w:rPr>
          <w:rFonts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17.98</w:t>
      </w:r>
      <w:r>
        <w:rPr>
          <w:rFonts w:ascii="仿宋_GB2312" w:eastAsia="仿宋_GB2312" w:cs="仿宋_GB2312"/>
          <w:color w:val="000000"/>
          <w:sz w:val="32"/>
          <w:szCs w:val="32"/>
        </w:rPr>
        <w:t>%，主要原因：是</w:t>
      </w:r>
      <w:r>
        <w:rPr>
          <w:rFonts w:hint="eastAsia" w:ascii="仿宋" w:hAnsi="仿宋" w:eastAsia="仿宋" w:cs="仿宋"/>
          <w:color w:val="000000"/>
          <w:sz w:val="32"/>
          <w:szCs w:val="32"/>
          <w:lang w:eastAsia="zh-CN"/>
        </w:rPr>
        <w:t>社会保障和就业支出、卫生健康支出、住房保障支出减少。</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二、收入决算情况说明</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2020年度收入合计</w:t>
      </w:r>
      <w:r>
        <w:rPr>
          <w:rFonts w:hint="eastAsia" w:ascii="仿宋_GB2312" w:eastAsia="仿宋_GB2312" w:cs="仿宋_GB2312"/>
          <w:color w:val="000000"/>
          <w:sz w:val="32"/>
          <w:szCs w:val="32"/>
          <w:lang w:val="en-US" w:eastAsia="zh-CN"/>
        </w:rPr>
        <w:t>56.74</w:t>
      </w:r>
      <w:r>
        <w:rPr>
          <w:rFonts w:ascii="仿宋_GB2312" w:eastAsia="仿宋_GB2312" w:cs="仿宋_GB2312"/>
          <w:color w:val="000000"/>
          <w:sz w:val="32"/>
          <w:szCs w:val="32"/>
        </w:rPr>
        <w:t>万元，其中：财政拨款收入</w:t>
      </w:r>
      <w:r>
        <w:rPr>
          <w:rFonts w:hint="eastAsia" w:ascii="仿宋_GB2312" w:eastAsia="仿宋_GB2312" w:cs="仿宋_GB2312"/>
          <w:color w:val="000000"/>
          <w:sz w:val="32"/>
          <w:szCs w:val="32"/>
          <w:lang w:val="en-US" w:eastAsia="zh-CN"/>
        </w:rPr>
        <w:t>56.74</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三、支出决算情况说明</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2020年度支出合计</w:t>
      </w:r>
      <w:r>
        <w:rPr>
          <w:rFonts w:hint="eastAsia" w:ascii="仿宋_GB2312" w:eastAsia="仿宋_GB2312" w:cs="仿宋_GB2312"/>
          <w:color w:val="000000"/>
          <w:sz w:val="32"/>
          <w:szCs w:val="32"/>
          <w:lang w:val="en-US" w:eastAsia="zh-CN"/>
        </w:rPr>
        <w:t>56.74</w:t>
      </w:r>
      <w:r>
        <w:rPr>
          <w:rFonts w:ascii="仿宋_GB2312" w:eastAsia="仿宋_GB2312" w:cs="仿宋_GB2312"/>
          <w:color w:val="000000"/>
          <w:sz w:val="32"/>
          <w:szCs w:val="32"/>
        </w:rPr>
        <w:t>万元，其中：基本支出</w:t>
      </w:r>
      <w:r>
        <w:rPr>
          <w:rFonts w:hint="eastAsia" w:ascii="仿宋_GB2312" w:eastAsia="仿宋_GB2312" w:cs="仿宋_GB2312"/>
          <w:color w:val="000000"/>
          <w:sz w:val="32"/>
          <w:szCs w:val="32"/>
          <w:lang w:val="en-US" w:eastAsia="zh-CN"/>
        </w:rPr>
        <w:t>56.74</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四、财政拨款收入支出决算总体情况说明</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2020年度财政拨款收入总计</w:t>
      </w:r>
      <w:r>
        <w:rPr>
          <w:rFonts w:hint="eastAsia" w:ascii="仿宋_GB2312" w:eastAsia="仿宋_GB2312" w:cs="仿宋_GB2312"/>
          <w:color w:val="000000"/>
          <w:sz w:val="32"/>
          <w:szCs w:val="32"/>
          <w:lang w:val="en-US" w:eastAsia="zh-CN"/>
        </w:rPr>
        <w:t>56.74</w:t>
      </w:r>
      <w:r>
        <w:rPr>
          <w:rFonts w:ascii="仿宋_GB2312" w:eastAsia="仿宋_GB2312" w:cs="仿宋_GB2312"/>
          <w:color w:val="000000"/>
          <w:sz w:val="32"/>
          <w:szCs w:val="32"/>
        </w:rPr>
        <w:t>万元（含年初财政拨款结转结余），支出总计</w:t>
      </w:r>
      <w:r>
        <w:rPr>
          <w:rFonts w:hint="eastAsia" w:ascii="仿宋_GB2312" w:eastAsia="仿宋_GB2312" w:cs="仿宋_GB2312"/>
          <w:color w:val="000000"/>
          <w:sz w:val="32"/>
          <w:szCs w:val="32"/>
          <w:lang w:val="en-US" w:eastAsia="zh-CN"/>
        </w:rPr>
        <w:t>56.74</w:t>
      </w:r>
      <w:r>
        <w:rPr>
          <w:rFonts w:ascii="仿宋_GB2312" w:eastAsia="仿宋_GB2312" w:cs="仿宋_GB2312"/>
          <w:color w:val="000000"/>
          <w:sz w:val="32"/>
          <w:szCs w:val="32"/>
        </w:rPr>
        <w:t>万元（含年末财政拨款结转和结余）。与2019年相比，财政拨款收、支总计各减少</w:t>
      </w:r>
      <w:r>
        <w:rPr>
          <w:rFonts w:hint="eastAsia" w:ascii="仿宋_GB2312" w:eastAsia="仿宋_GB2312" w:cs="仿宋_GB2312"/>
          <w:color w:val="000000"/>
          <w:sz w:val="32"/>
          <w:szCs w:val="32"/>
          <w:lang w:val="en-US" w:eastAsia="zh-CN"/>
        </w:rPr>
        <w:t>12.44</w:t>
      </w:r>
      <w:r>
        <w:rPr>
          <w:rFonts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17.98</w:t>
      </w:r>
      <w:r>
        <w:rPr>
          <w:rFonts w:ascii="仿宋_GB2312" w:eastAsia="仿宋_GB2312" w:cs="仿宋_GB2312"/>
          <w:color w:val="000000"/>
          <w:sz w:val="32"/>
          <w:szCs w:val="32"/>
        </w:rPr>
        <w:t>%，主要原因：是</w:t>
      </w:r>
      <w:r>
        <w:rPr>
          <w:rFonts w:hint="eastAsia" w:ascii="仿宋" w:hAnsi="仿宋" w:eastAsia="仿宋" w:cs="仿宋"/>
          <w:color w:val="000000"/>
          <w:sz w:val="32"/>
          <w:szCs w:val="32"/>
          <w:lang w:eastAsia="zh-CN"/>
        </w:rPr>
        <w:t>社会保障和就业支出、卫生健康支出、住房保障支出减少。</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五、一般公共预算财政拨款支出决算情况说明</w:t>
      </w:r>
    </w:p>
    <w:p>
      <w:pPr>
        <w:pStyle w:val="4"/>
        <w:widowControl/>
        <w:ind w:firstLine="640"/>
        <w:rPr>
          <w:rFonts w:ascii="楷体_GB2312" w:eastAsia="楷体_GB2312" w:cs="楷体_GB2312"/>
          <w:color w:val="000000"/>
          <w:sz w:val="32"/>
          <w:szCs w:val="32"/>
        </w:rPr>
      </w:pPr>
      <w:r>
        <w:rPr>
          <w:rFonts w:ascii="楷体_GB2312" w:eastAsia="楷体_GB2312" w:cs="楷体_GB2312"/>
          <w:color w:val="000000"/>
          <w:sz w:val="32"/>
          <w:szCs w:val="32"/>
        </w:rPr>
        <w:t>（一）一般公共预算财政拨款支出决算总体情况。</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2020年度一般公共预算财政拨款支出</w:t>
      </w:r>
      <w:r>
        <w:rPr>
          <w:rFonts w:hint="eastAsia" w:ascii="仿宋_GB2312" w:eastAsia="仿宋_GB2312" w:cs="仿宋_GB2312"/>
          <w:color w:val="000000"/>
          <w:sz w:val="32"/>
          <w:szCs w:val="32"/>
          <w:lang w:val="en-US" w:eastAsia="zh-CN"/>
        </w:rPr>
        <w:t>56.74</w:t>
      </w:r>
      <w:r>
        <w:rPr>
          <w:rFonts w:ascii="仿宋_GB2312" w:eastAsia="仿宋_GB2312" w:cs="仿宋_GB2312"/>
          <w:color w:val="000000"/>
          <w:sz w:val="32"/>
          <w:szCs w:val="32"/>
        </w:rPr>
        <w:t>万元，占本年支出的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%。与2019年相比，一般公共预算财政拨款支出减少</w:t>
      </w:r>
      <w:r>
        <w:rPr>
          <w:rFonts w:hint="eastAsia" w:ascii="仿宋_GB2312" w:eastAsia="仿宋_GB2312" w:cs="仿宋_GB2312"/>
          <w:color w:val="000000"/>
          <w:sz w:val="32"/>
          <w:szCs w:val="32"/>
          <w:lang w:val="en-US" w:eastAsia="zh-CN"/>
        </w:rPr>
        <w:t>12.44</w:t>
      </w:r>
      <w:r>
        <w:rPr>
          <w:rFonts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17.98</w:t>
      </w:r>
      <w:r>
        <w:rPr>
          <w:rFonts w:ascii="仿宋_GB2312" w:eastAsia="仿宋_GB2312" w:cs="仿宋_GB2312"/>
          <w:color w:val="000000"/>
          <w:sz w:val="32"/>
          <w:szCs w:val="32"/>
        </w:rPr>
        <w:t>%。主要原因是</w:t>
      </w:r>
      <w:r>
        <w:rPr>
          <w:rFonts w:hint="eastAsia" w:ascii="仿宋" w:hAnsi="仿宋" w:eastAsia="仿宋" w:cs="仿宋"/>
          <w:color w:val="000000"/>
          <w:sz w:val="32"/>
          <w:szCs w:val="32"/>
          <w:lang w:eastAsia="zh-CN"/>
        </w:rPr>
        <w:t>社会保障和就业支出、卫生健康支出、住房保障支出减少。</w:t>
      </w:r>
    </w:p>
    <w:p>
      <w:pPr>
        <w:pStyle w:val="4"/>
        <w:widowControl/>
        <w:ind w:firstLine="640"/>
        <w:rPr>
          <w:rFonts w:ascii="楷体_GB2312" w:eastAsia="楷体_GB2312" w:cs="楷体_GB2312"/>
          <w:color w:val="000000"/>
          <w:sz w:val="32"/>
          <w:szCs w:val="32"/>
        </w:rPr>
      </w:pPr>
      <w:r>
        <w:rPr>
          <w:rFonts w:ascii="楷体_GB2312" w:eastAsia="楷体_GB2312" w:cs="楷体_GB2312"/>
          <w:color w:val="000000"/>
          <w:sz w:val="32"/>
          <w:szCs w:val="32"/>
        </w:rPr>
        <w:t>（二）一般公共预算财政拨款支出决算结构情况。</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2020年度一般公共预算财政拨款支出</w:t>
      </w:r>
      <w:r>
        <w:rPr>
          <w:rFonts w:hint="eastAsia" w:ascii="仿宋_GB2312" w:eastAsia="仿宋_GB2312" w:cs="仿宋_GB2312"/>
          <w:color w:val="000000"/>
          <w:sz w:val="32"/>
          <w:szCs w:val="32"/>
          <w:lang w:val="en-US" w:eastAsia="zh-CN"/>
        </w:rPr>
        <w:t>56.74</w:t>
      </w:r>
      <w:r>
        <w:rPr>
          <w:rFonts w:ascii="仿宋_GB2312" w:eastAsia="仿宋_GB2312" w:cs="仿宋_GB2312"/>
          <w:color w:val="000000"/>
          <w:sz w:val="32"/>
          <w:szCs w:val="32"/>
        </w:rPr>
        <w:t>万元，主要用于以下方面：</w:t>
      </w:r>
      <w:r>
        <w:rPr>
          <w:rFonts w:hint="eastAsia" w:ascii="仿宋" w:hAnsi="仿宋" w:eastAsia="仿宋" w:cs="仿宋"/>
          <w:b/>
          <w:sz w:val="32"/>
          <w:szCs w:val="32"/>
        </w:rPr>
        <w:t>社会保障和就业（类）</w:t>
      </w:r>
      <w:r>
        <w:rPr>
          <w:rFonts w:hint="eastAsia" w:ascii="仿宋" w:hAnsi="仿宋" w:eastAsia="仿宋" w:cs="仿宋"/>
          <w:sz w:val="32"/>
          <w:szCs w:val="32"/>
        </w:rPr>
        <w:t>支出</w:t>
      </w:r>
      <w:r>
        <w:rPr>
          <w:rFonts w:hint="eastAsia" w:ascii="仿宋_GB2312" w:eastAsia="仿宋_GB2312" w:cs="仿宋_GB2312"/>
          <w:color w:val="000000"/>
          <w:sz w:val="32"/>
          <w:szCs w:val="32"/>
          <w:lang w:val="en-US" w:eastAsia="zh-CN"/>
        </w:rPr>
        <w:t>54.56</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96</w:t>
      </w:r>
      <w:r>
        <w:rPr>
          <w:rFonts w:ascii="仿宋_GB2312" w:eastAsia="仿宋_GB2312" w:cs="仿宋_GB2312"/>
          <w:color w:val="000000"/>
          <w:sz w:val="32"/>
          <w:szCs w:val="32"/>
        </w:rPr>
        <w:t>%;</w:t>
      </w:r>
      <w:r>
        <w:rPr>
          <w:rFonts w:hint="eastAsia" w:ascii="仿宋" w:hAnsi="仿宋" w:eastAsia="仿宋" w:cs="仿宋"/>
          <w:b/>
          <w:sz w:val="32"/>
          <w:szCs w:val="32"/>
        </w:rPr>
        <w:t>卫生健康（类）</w:t>
      </w:r>
      <w:r>
        <w:rPr>
          <w:rFonts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0.54</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w:t>
      </w:r>
      <w:r>
        <w:rPr>
          <w:rFonts w:ascii="仿宋_GB2312" w:eastAsia="仿宋_GB2312" w:cs="仿宋_GB2312"/>
          <w:color w:val="000000"/>
          <w:sz w:val="32"/>
          <w:szCs w:val="32"/>
        </w:rPr>
        <w:t>%；</w:t>
      </w:r>
      <w:r>
        <w:rPr>
          <w:rFonts w:hint="eastAsia" w:ascii="仿宋" w:hAnsi="仿宋" w:eastAsia="仿宋" w:cs="仿宋"/>
          <w:b/>
          <w:sz w:val="32"/>
          <w:szCs w:val="32"/>
        </w:rPr>
        <w:t>住房保障</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lang w:val="en-US" w:eastAsia="zh-CN"/>
        </w:rPr>
        <w:t>1.65</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3</w:t>
      </w:r>
      <w:r>
        <w:rPr>
          <w:rFonts w:ascii="仿宋_GB2312" w:eastAsia="仿宋_GB2312" w:cs="仿宋_GB2312"/>
          <w:color w:val="000000"/>
          <w:sz w:val="32"/>
          <w:szCs w:val="32"/>
        </w:rPr>
        <w:t>%。</w:t>
      </w:r>
    </w:p>
    <w:p>
      <w:pPr>
        <w:pStyle w:val="4"/>
        <w:widowControl/>
        <w:ind w:firstLine="640"/>
        <w:rPr>
          <w:rFonts w:ascii="楷体_GB2312" w:eastAsia="楷体_GB2312" w:cs="楷体_GB2312"/>
          <w:color w:val="000000"/>
          <w:sz w:val="32"/>
          <w:szCs w:val="32"/>
        </w:rPr>
      </w:pPr>
      <w:r>
        <w:rPr>
          <w:rFonts w:ascii="楷体_GB2312" w:eastAsia="楷体_GB2312" w:cs="楷体_GB2312"/>
          <w:color w:val="000000"/>
          <w:sz w:val="32"/>
          <w:szCs w:val="32"/>
        </w:rPr>
        <w:t>（三）一般公共预算财政拨款支出决算具体情况。</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2020年度一般公共预算财政拨款支出年初预算为</w:t>
      </w:r>
      <w:r>
        <w:rPr>
          <w:rFonts w:hint="eastAsia" w:ascii="仿宋_GB2312" w:eastAsia="仿宋_GB2312" w:cs="仿宋_GB2312"/>
          <w:color w:val="000000"/>
          <w:sz w:val="32"/>
          <w:szCs w:val="32"/>
          <w:lang w:val="en-US" w:eastAsia="zh-CN"/>
        </w:rPr>
        <w:t>56.74</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56.74</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%。其中:基本支出</w:t>
      </w:r>
      <w:r>
        <w:rPr>
          <w:rFonts w:hint="eastAsia" w:ascii="仿宋_GB2312" w:eastAsia="仿宋_GB2312" w:cs="仿宋_GB2312"/>
          <w:color w:val="000000"/>
          <w:sz w:val="32"/>
          <w:szCs w:val="32"/>
          <w:lang w:val="en-US" w:eastAsia="zh-CN"/>
        </w:rPr>
        <w:t>56.74</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%；项目支出</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万元。具体情况如下：</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1.</w:t>
      </w:r>
      <w:r>
        <w:rPr>
          <w:rFonts w:hint="eastAsia" w:ascii="仿宋" w:hAnsi="仿宋" w:eastAsia="仿宋" w:cs="仿宋"/>
          <w:b/>
          <w:sz w:val="32"/>
          <w:szCs w:val="32"/>
        </w:rPr>
        <w:t>社会保障和就业支出（类）人力资源和社会保障管理事务类（款）就业管理事务（项）</w:t>
      </w:r>
      <w:r>
        <w:rPr>
          <w:rFonts w:hint="eastAsia" w:ascii="仿宋" w:hAnsi="仿宋" w:eastAsia="仿宋" w:cs="仿宋"/>
          <w:color w:val="000000"/>
          <w:sz w:val="32"/>
          <w:szCs w:val="32"/>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49.79</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49.79</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w:t>
      </w:r>
      <w:r>
        <w:rPr>
          <w:rFonts w:hint="eastAsia" w:ascii="仿宋" w:hAnsi="仿宋" w:eastAsia="仿宋" w:cs="仿宋"/>
          <w:b/>
          <w:sz w:val="32"/>
          <w:szCs w:val="32"/>
        </w:rPr>
        <w:t>社会保障和就业支出（类）行政事业单位</w:t>
      </w:r>
      <w:r>
        <w:rPr>
          <w:rFonts w:hint="eastAsia" w:ascii="仿宋" w:hAnsi="仿宋" w:eastAsia="仿宋" w:cs="仿宋"/>
          <w:b/>
          <w:sz w:val="32"/>
          <w:szCs w:val="32"/>
          <w:lang w:eastAsia="zh-CN"/>
        </w:rPr>
        <w:t>养老支出</w:t>
      </w:r>
      <w:r>
        <w:rPr>
          <w:rFonts w:hint="eastAsia" w:ascii="仿宋" w:hAnsi="仿宋" w:eastAsia="仿宋" w:cs="仿宋"/>
          <w:b/>
          <w:sz w:val="32"/>
          <w:szCs w:val="32"/>
        </w:rPr>
        <w:t>（款）  事业单位离退休（项）</w:t>
      </w:r>
      <w:r>
        <w:rPr>
          <w:rFonts w:hint="eastAsia" w:ascii="仿宋" w:hAnsi="仿宋" w:eastAsia="仿宋" w:cs="仿宋"/>
          <w:color w:val="000000"/>
          <w:sz w:val="32"/>
          <w:szCs w:val="32"/>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4.00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4.00</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3.</w:t>
      </w:r>
      <w:r>
        <w:rPr>
          <w:rFonts w:hint="eastAsia" w:ascii="仿宋" w:hAnsi="仿宋" w:eastAsia="仿宋" w:cs="仿宋"/>
          <w:b/>
          <w:sz w:val="32"/>
          <w:szCs w:val="32"/>
        </w:rPr>
        <w:t>社会保障和就业支出（类）抚恤（款）死亡抚恤（项）</w:t>
      </w:r>
      <w:r>
        <w:rPr>
          <w:rFonts w:ascii="仿宋_GB2312" w:eastAsia="仿宋_GB2312" w:cs="仿宋_GB2312"/>
          <w:b/>
          <w:color w:val="000000"/>
          <w:sz w:val="32"/>
          <w:szCs w:val="32"/>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0.73</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0.73</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4.</w:t>
      </w:r>
      <w:r>
        <w:rPr>
          <w:rFonts w:hint="eastAsia" w:ascii="仿宋" w:hAnsi="仿宋" w:eastAsia="仿宋" w:cs="仿宋"/>
          <w:b/>
          <w:sz w:val="32"/>
          <w:szCs w:val="32"/>
        </w:rPr>
        <w:t>社会保障和就业支出（类）其他社会保障和就业支出（款）其他社会保障和就业支出（项）</w:t>
      </w:r>
      <w:r>
        <w:rPr>
          <w:rFonts w:hint="eastAsia" w:ascii="仿宋" w:hAnsi="仿宋" w:eastAsia="仿宋" w:cs="仿宋"/>
          <w:b/>
          <w:color w:val="000000"/>
          <w:sz w:val="32"/>
          <w:szCs w:val="32"/>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0.04</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0.04</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5．</w:t>
      </w:r>
      <w:r>
        <w:rPr>
          <w:rFonts w:hint="eastAsia" w:ascii="仿宋" w:hAnsi="仿宋" w:eastAsia="仿宋" w:cs="仿宋"/>
          <w:b/>
          <w:sz w:val="32"/>
          <w:szCs w:val="32"/>
        </w:rPr>
        <w:t>住房保障（类）住房保障支出（款）住房改革支出（款）住房公积金（项）</w:t>
      </w:r>
      <w:r>
        <w:rPr>
          <w:rFonts w:hint="eastAsia" w:ascii="仿宋" w:hAnsi="仿宋" w:eastAsia="仿宋" w:cs="仿宋"/>
          <w:b/>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1.65</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1.65</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eastAsia" w:ascii="仿宋" w:hAnsi="仿宋" w:eastAsia="仿宋" w:cs="仿宋"/>
          <w:b/>
          <w:sz w:val="32"/>
          <w:szCs w:val="32"/>
          <w:lang w:eastAsia="zh-CN"/>
        </w:rPr>
      </w:pPr>
      <w:r>
        <w:rPr>
          <w:rFonts w:hint="eastAsia" w:ascii="仿宋" w:hAnsi="仿宋" w:eastAsia="仿宋" w:cs="仿宋"/>
          <w:b/>
          <w:sz w:val="32"/>
          <w:szCs w:val="32"/>
          <w:lang w:val="en-US" w:eastAsia="zh-CN"/>
        </w:rPr>
        <w:t>6</w:t>
      </w:r>
      <w:r>
        <w:rPr>
          <w:rFonts w:hint="eastAsia" w:ascii="仿宋" w:hAnsi="仿宋" w:eastAsia="仿宋" w:cs="仿宋"/>
          <w:b/>
          <w:sz w:val="32"/>
          <w:szCs w:val="32"/>
        </w:rPr>
        <w:t>.</w:t>
      </w:r>
      <w:r>
        <w:rPr>
          <w:rFonts w:hint="eastAsia" w:ascii="仿宋" w:hAnsi="仿宋" w:eastAsia="仿宋" w:cs="仿宋"/>
          <w:b/>
          <w:sz w:val="32"/>
          <w:szCs w:val="32"/>
          <w:lang w:eastAsia="zh-CN"/>
        </w:rPr>
        <w:t>卫生健康支出</w:t>
      </w:r>
      <w:r>
        <w:rPr>
          <w:rFonts w:hint="eastAsia" w:ascii="仿宋" w:hAnsi="仿宋" w:eastAsia="仿宋" w:cs="仿宋"/>
          <w:b/>
          <w:sz w:val="32"/>
          <w:szCs w:val="32"/>
        </w:rPr>
        <w:t>（类）行政事业单位医疗</w:t>
      </w:r>
      <w:r>
        <w:rPr>
          <w:rFonts w:hint="eastAsia" w:ascii="仿宋" w:hAnsi="仿宋" w:eastAsia="仿宋" w:cs="仿宋"/>
          <w:b/>
          <w:sz w:val="32"/>
          <w:szCs w:val="32"/>
          <w:lang w:eastAsia="zh-CN"/>
        </w:rPr>
        <w:t>（款）</w:t>
      </w:r>
      <w:r>
        <w:rPr>
          <w:rFonts w:hint="eastAsia" w:ascii="仿宋" w:hAnsi="仿宋" w:eastAsia="仿宋" w:cs="仿宋"/>
          <w:b/>
          <w:sz w:val="32"/>
          <w:szCs w:val="32"/>
        </w:rPr>
        <w:t>事业单位医疗（项）</w:t>
      </w:r>
      <w:r>
        <w:rPr>
          <w:rFonts w:hint="eastAsia" w:ascii="仿宋" w:hAnsi="仿宋" w:eastAsia="仿宋" w:cs="仿宋"/>
          <w:b/>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0.54</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0.54</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六、一般公共预算财政拨款基本支出决算情况说明</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2020年度财政拨款基本支出</w:t>
      </w:r>
      <w:r>
        <w:rPr>
          <w:rFonts w:hint="eastAsia" w:ascii="仿宋_GB2312" w:eastAsia="仿宋_GB2312" w:cs="仿宋_GB2312"/>
          <w:color w:val="000000"/>
          <w:sz w:val="32"/>
          <w:szCs w:val="32"/>
          <w:lang w:val="en-US" w:eastAsia="zh-CN"/>
        </w:rPr>
        <w:t>56.74</w:t>
      </w:r>
      <w:r>
        <w:rPr>
          <w:rFonts w:ascii="仿宋_GB2312" w:eastAsia="仿宋_GB2312" w:cs="仿宋_GB2312"/>
          <w:color w:val="000000"/>
          <w:sz w:val="32"/>
          <w:szCs w:val="32"/>
        </w:rPr>
        <w:t>万元，其中：人员经费</w:t>
      </w:r>
      <w:r>
        <w:rPr>
          <w:rFonts w:hint="eastAsia" w:ascii="仿宋_GB2312" w:eastAsia="仿宋_GB2312" w:cs="仿宋_GB2312"/>
          <w:color w:val="000000"/>
          <w:sz w:val="32"/>
          <w:szCs w:val="32"/>
          <w:lang w:val="en-US" w:eastAsia="zh-CN"/>
        </w:rPr>
        <w:t>40.64</w:t>
      </w:r>
      <w:r>
        <w:rPr>
          <w:rFonts w:ascii="仿宋_GB2312" w:eastAsia="仿宋_GB2312" w:cs="仿宋_GB2312"/>
          <w:color w:val="000000"/>
          <w:sz w:val="32"/>
          <w:szCs w:val="32"/>
        </w:rPr>
        <w:t>万元，主要包括:</w:t>
      </w:r>
      <w:r>
        <w:rPr>
          <w:rFonts w:hint="eastAsia" w:ascii="仿宋" w:hAnsi="仿宋" w:eastAsia="仿宋" w:cs="仿宋"/>
          <w:sz w:val="32"/>
          <w:szCs w:val="32"/>
        </w:rPr>
        <w:t>基本工资、津贴补贴、奖金、机关事业单位基本养老保险缴费、其他社会保障缴费、住房公积金、其他工资福利支出、生活补助、其他对个人和家庭的补助支出；</w:t>
      </w:r>
      <w:r>
        <w:rPr>
          <w:rFonts w:ascii="仿宋_GB2312" w:eastAsia="仿宋_GB2312" w:cs="仿宋_GB2312"/>
          <w:color w:val="000000"/>
          <w:sz w:val="32"/>
          <w:szCs w:val="32"/>
        </w:rPr>
        <w:t>公用经费</w:t>
      </w:r>
      <w:r>
        <w:rPr>
          <w:rFonts w:hint="eastAsia" w:ascii="仿宋_GB2312" w:eastAsia="仿宋_GB2312" w:cs="仿宋_GB2312"/>
          <w:color w:val="000000"/>
          <w:sz w:val="32"/>
          <w:szCs w:val="32"/>
          <w:lang w:val="en-US" w:eastAsia="zh-CN"/>
        </w:rPr>
        <w:t>16.10</w:t>
      </w:r>
      <w:r>
        <w:rPr>
          <w:rFonts w:ascii="仿宋_GB2312" w:eastAsia="仿宋_GB2312" w:cs="仿宋_GB2312"/>
          <w:color w:val="000000"/>
          <w:sz w:val="32"/>
          <w:szCs w:val="32"/>
        </w:rPr>
        <w:t>万元，主要包括：</w:t>
      </w:r>
      <w:r>
        <w:rPr>
          <w:rFonts w:hint="eastAsia" w:ascii="仿宋" w:hAnsi="仿宋" w:eastAsia="仿宋" w:cs="仿宋"/>
          <w:sz w:val="32"/>
          <w:szCs w:val="32"/>
        </w:rPr>
        <w:t>办公费、印刷费、水费、电费、邮电费、物业管理费、差旅费、维修（护）费、培训费、委托业务费、福利费、公务用车运行维护费、其他商品和服务支出等。</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七、政府性基金财政拨款收入支出决算情况说明</w:t>
      </w:r>
    </w:p>
    <w:p>
      <w:pPr>
        <w:ind w:firstLine="640" w:firstLineChars="200"/>
        <w:rPr>
          <w:rFonts w:ascii="仿宋_GB2312" w:hAnsi="仿宋"/>
          <w:szCs w:val="32"/>
        </w:rPr>
      </w:pPr>
      <w:r>
        <w:rPr>
          <w:rFonts w:hint="eastAsia" w:ascii="仿宋_GB2312" w:hAnsi="仿宋"/>
          <w:szCs w:val="32"/>
        </w:rPr>
        <w:t>八公山区公共就业管理服务中心没有政府性基金收入，也没有使用政府性基金安排的支出。</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八、国有资本经营预算财政拨款支出情况说明</w:t>
      </w:r>
    </w:p>
    <w:p>
      <w:pPr>
        <w:pStyle w:val="4"/>
        <w:widowControl/>
        <w:ind w:firstLine="640"/>
        <w:rPr>
          <w:rFonts w:ascii="楷体_GB2312" w:eastAsia="楷体_GB2312" w:cs="楷体_GB2312"/>
          <w:color w:val="000000"/>
          <w:sz w:val="32"/>
          <w:szCs w:val="32"/>
        </w:rPr>
      </w:pPr>
      <w:r>
        <w:rPr>
          <w:rFonts w:hint="eastAsia" w:ascii="楷体_GB2312" w:eastAsia="楷体_GB2312" w:cs="楷体_GB2312"/>
          <w:color w:val="000000"/>
          <w:sz w:val="32"/>
          <w:szCs w:val="32"/>
        </w:rPr>
        <w:t>八公山区公共就业服务管理中心</w:t>
      </w:r>
      <w:r>
        <w:rPr>
          <w:rFonts w:ascii="楷体_GB2312" w:eastAsia="楷体_GB2312" w:cs="楷体_GB2312"/>
          <w:color w:val="000000"/>
          <w:sz w:val="32"/>
          <w:szCs w:val="32"/>
        </w:rPr>
        <w:t>没有国有资本经营预算财政拨款收入，也没有使用国有资本经营预算财政拨款安排的支出。</w:t>
      </w:r>
    </w:p>
    <w:p>
      <w:pPr>
        <w:pStyle w:val="4"/>
        <w:widowControl/>
        <w:snapToGrid w:val="0"/>
        <w:spacing w:line="600" w:lineRule="atLeast"/>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九、其他重要事项情况说明</w:t>
      </w:r>
    </w:p>
    <w:p>
      <w:pPr>
        <w:pStyle w:val="4"/>
        <w:widowControl/>
        <w:snapToGrid w:val="0"/>
        <w:spacing w:line="600" w:lineRule="atLeast"/>
        <w:ind w:firstLine="640"/>
        <w:rPr>
          <w:rFonts w:ascii="楷体_GB2312" w:eastAsia="楷体_GB2312" w:cs="楷体_GB2312"/>
          <w:color w:val="000000"/>
          <w:sz w:val="32"/>
          <w:szCs w:val="32"/>
        </w:rPr>
      </w:pPr>
      <w:r>
        <w:rPr>
          <w:rFonts w:ascii="楷体_GB2312" w:eastAsia="楷体_GB2312" w:cs="楷体_GB2312"/>
          <w:color w:val="000000"/>
          <w:sz w:val="32"/>
          <w:szCs w:val="32"/>
        </w:rPr>
        <w:t>（一）机关运行经费支出情况。</w:t>
      </w:r>
    </w:p>
    <w:p>
      <w:pPr>
        <w:ind w:firstLine="640" w:firstLineChars="200"/>
        <w:rPr>
          <w:rFonts w:ascii="仿宋_GB2312" w:hAnsi="仿宋"/>
          <w:szCs w:val="32"/>
        </w:rPr>
      </w:pPr>
      <w:r>
        <w:rPr>
          <w:rFonts w:hint="eastAsia" w:ascii="仿宋_GB2312" w:hAnsi="仿宋"/>
          <w:szCs w:val="32"/>
        </w:rPr>
        <w:t>本单位属全额</w:t>
      </w:r>
      <w:r>
        <w:rPr>
          <w:rFonts w:ascii="仿宋_GB2312" w:hAnsi="仿宋"/>
          <w:szCs w:val="32"/>
        </w:rPr>
        <w:t>拨款事业单位非</w:t>
      </w:r>
      <w:r>
        <w:rPr>
          <w:rFonts w:hint="eastAsia" w:ascii="仿宋_GB2312" w:hAnsi="仿宋"/>
          <w:szCs w:val="32"/>
        </w:rPr>
        <w:t>行政单位或参照公务员法管理的事业单位，没有</w:t>
      </w:r>
      <w:r>
        <w:rPr>
          <w:rFonts w:hint="eastAsia" w:ascii="仿宋_GB2312" w:hAnsi="楷体"/>
          <w:szCs w:val="32"/>
        </w:rPr>
        <w:t>机关运行经费。</w:t>
      </w:r>
    </w:p>
    <w:p>
      <w:pPr>
        <w:pStyle w:val="4"/>
        <w:widowControl/>
        <w:snapToGrid w:val="0"/>
        <w:spacing w:line="600" w:lineRule="atLeast"/>
        <w:ind w:firstLine="640"/>
        <w:rPr>
          <w:rFonts w:ascii="楷体_GB2312" w:eastAsia="楷体_GB2312" w:cs="楷体_GB2312"/>
          <w:color w:val="000000"/>
          <w:sz w:val="32"/>
          <w:szCs w:val="32"/>
        </w:rPr>
      </w:pPr>
      <w:r>
        <w:rPr>
          <w:rFonts w:ascii="楷体_GB2312" w:eastAsia="楷体_GB2312" w:cs="楷体_GB2312"/>
          <w:color w:val="000000"/>
          <w:sz w:val="32"/>
          <w:szCs w:val="32"/>
        </w:rPr>
        <w:t>（二）政府采购支出情况。</w:t>
      </w:r>
    </w:p>
    <w:p>
      <w:pPr>
        <w:ind w:firstLine="630"/>
        <w:rPr>
          <w:rFonts w:ascii="仿宋" w:hAnsi="仿宋" w:eastAsia="仿宋"/>
          <w:color w:val="000000"/>
          <w:szCs w:val="32"/>
        </w:rPr>
      </w:pPr>
      <w:r>
        <w:rPr>
          <w:rFonts w:hint="eastAsia" w:ascii="仿宋" w:hAnsi="仿宋" w:eastAsia="仿宋"/>
          <w:color w:val="000000"/>
          <w:szCs w:val="32"/>
        </w:rPr>
        <w:t>本单位</w:t>
      </w:r>
      <w:r>
        <w:rPr>
          <w:rFonts w:ascii="仿宋" w:hAnsi="仿宋" w:eastAsia="仿宋"/>
          <w:color w:val="000000"/>
          <w:szCs w:val="32"/>
        </w:rPr>
        <w:t>没有政府采购计划，故没有数据</w:t>
      </w:r>
      <w:r>
        <w:rPr>
          <w:rFonts w:hint="eastAsia" w:ascii="仿宋" w:hAnsi="仿宋" w:eastAsia="仿宋"/>
          <w:color w:val="000000"/>
          <w:szCs w:val="32"/>
        </w:rPr>
        <w:t>。</w:t>
      </w:r>
    </w:p>
    <w:p>
      <w:pPr>
        <w:pStyle w:val="4"/>
        <w:widowControl/>
        <w:snapToGrid w:val="0"/>
        <w:spacing w:line="600" w:lineRule="atLeast"/>
        <w:ind w:firstLine="640"/>
        <w:rPr>
          <w:rFonts w:ascii="楷体_GB2312" w:eastAsia="楷体_GB2312" w:cs="楷体_GB2312"/>
          <w:color w:val="000000"/>
          <w:sz w:val="32"/>
          <w:szCs w:val="32"/>
        </w:rPr>
      </w:pPr>
      <w:r>
        <w:rPr>
          <w:rFonts w:ascii="楷体_GB2312" w:eastAsia="楷体_GB2312" w:cs="楷体_GB2312"/>
          <w:color w:val="000000"/>
          <w:sz w:val="32"/>
          <w:szCs w:val="32"/>
        </w:rPr>
        <w:t>（三）国有资产占有使用情况。</w:t>
      </w:r>
    </w:p>
    <w:p>
      <w:pPr>
        <w:adjustRightInd w:val="0"/>
        <w:snapToGrid w:val="0"/>
        <w:spacing w:line="600" w:lineRule="exact"/>
        <w:ind w:firstLine="640" w:firstLineChars="200"/>
        <w:rPr>
          <w:rFonts w:ascii="仿宋_GB2312" w:hAnsi="仿宋"/>
          <w:szCs w:val="32"/>
        </w:rPr>
      </w:pPr>
      <w:r>
        <w:rPr>
          <w:rFonts w:ascii="仿宋_GB2312" w:eastAsia="仿宋_GB2312" w:cs="仿宋_GB2312"/>
          <w:color w:val="000000"/>
          <w:sz w:val="32"/>
          <w:szCs w:val="32"/>
        </w:rPr>
        <w:t>截至2020年12月31日，</w:t>
      </w:r>
      <w:r>
        <w:rPr>
          <w:rFonts w:hint="eastAsia" w:ascii="仿宋_GB2312" w:hAnsi="仿宋"/>
          <w:szCs w:val="32"/>
        </w:rPr>
        <w:t>八公山区公共就业管理服务中心共有车辆</w:t>
      </w:r>
      <w:r>
        <w:rPr>
          <w:rFonts w:ascii="仿宋_GB2312" w:hAnsi="仿宋"/>
          <w:szCs w:val="32"/>
        </w:rPr>
        <w:t>1</w:t>
      </w:r>
      <w:r>
        <w:rPr>
          <w:rFonts w:hint="eastAsia" w:ascii="仿宋_GB2312" w:hAnsi="仿宋"/>
          <w:szCs w:val="32"/>
        </w:rPr>
        <w:t>辆，其中：其他用车</w:t>
      </w:r>
      <w:r>
        <w:rPr>
          <w:rFonts w:ascii="仿宋_GB2312" w:hAnsi="仿宋"/>
          <w:szCs w:val="32"/>
        </w:rPr>
        <w:t>1</w:t>
      </w:r>
      <w:r>
        <w:rPr>
          <w:rFonts w:hint="eastAsia" w:ascii="仿宋_GB2312" w:hAnsi="仿宋"/>
          <w:szCs w:val="32"/>
        </w:rPr>
        <w:t>辆。</w:t>
      </w:r>
    </w:p>
    <w:p>
      <w:pPr>
        <w:pStyle w:val="4"/>
        <w:widowControl/>
        <w:numPr>
          <w:ilvl w:val="0"/>
          <w:numId w:val="1"/>
        </w:numPr>
        <w:snapToGrid w:val="0"/>
        <w:spacing w:line="600" w:lineRule="atLeast"/>
        <w:ind w:firstLine="640"/>
        <w:rPr>
          <w:rFonts w:ascii="楷体_GB2312" w:eastAsia="楷体_GB2312" w:cs="楷体_GB2312"/>
          <w:color w:val="000000"/>
          <w:sz w:val="32"/>
          <w:szCs w:val="32"/>
        </w:rPr>
      </w:pPr>
      <w:r>
        <w:rPr>
          <w:rFonts w:ascii="楷体_GB2312" w:eastAsia="楷体_GB2312" w:cs="楷体_GB2312"/>
          <w:color w:val="000000"/>
          <w:sz w:val="32"/>
          <w:szCs w:val="32"/>
        </w:rPr>
        <w:t>关于2020年度预算绩效情况说明</w:t>
      </w:r>
    </w:p>
    <w:p>
      <w:pPr>
        <w:adjustRightInd w:val="0"/>
        <w:snapToGrid w:val="0"/>
        <w:spacing w:line="600" w:lineRule="exact"/>
        <w:ind w:firstLine="640" w:firstLineChars="200"/>
        <w:rPr>
          <w:rFonts w:ascii="楷体_GB2312" w:eastAsia="楷体_GB2312" w:cs="楷体_GB2312"/>
          <w:color w:val="000000"/>
          <w:sz w:val="32"/>
          <w:szCs w:val="32"/>
        </w:rPr>
      </w:pPr>
      <w:r>
        <w:rPr>
          <w:rFonts w:hint="eastAsia" w:ascii="仿宋_GB2312" w:hAnsi="仿宋"/>
          <w:szCs w:val="32"/>
        </w:rPr>
        <w:t>本</w:t>
      </w:r>
      <w:r>
        <w:rPr>
          <w:rFonts w:ascii="仿宋_GB2312" w:hAnsi="仿宋"/>
          <w:szCs w:val="32"/>
        </w:rPr>
        <w:t>单位无项目支出。</w:t>
      </w:r>
    </w:p>
    <w:p>
      <w:pPr>
        <w:pStyle w:val="4"/>
        <w:widowControl/>
        <w:snapToGrid w:val="0"/>
        <w:spacing w:line="600" w:lineRule="atLeast"/>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第四部分 名词解释</w:t>
      </w:r>
    </w:p>
    <w:p>
      <w:pPr>
        <w:pStyle w:val="4"/>
        <w:widowControl/>
        <w:autoSpaceDE w:val="0"/>
        <w:snapToGrid w:val="0"/>
        <w:spacing w:line="600" w:lineRule="atLeast"/>
        <w:ind w:left="425" w:firstLine="205"/>
        <w:rPr>
          <w:rFonts w:ascii="仿宋_GB2312" w:eastAsia="仿宋_GB2312" w:cs="仿宋_GB2312"/>
          <w:color w:val="000000"/>
          <w:sz w:val="32"/>
          <w:szCs w:val="32"/>
        </w:rPr>
      </w:pPr>
      <w:r>
        <w:rPr>
          <w:rFonts w:ascii="仿宋_GB2312" w:eastAsia="仿宋_GB2312" w:cs="仿宋_GB2312"/>
          <w:b/>
          <w:color w:val="000000"/>
          <w:sz w:val="32"/>
          <w:szCs w:val="32"/>
        </w:rPr>
        <w:t>一、财政拨款收入：</w:t>
      </w:r>
      <w:r>
        <w:rPr>
          <w:rFonts w:ascii="仿宋_GB2312" w:eastAsia="仿宋_GB2312" w:cs="仿宋_GB2312"/>
          <w:color w:val="000000"/>
          <w:sz w:val="32"/>
          <w:szCs w:val="32"/>
        </w:rPr>
        <w:t>指单位从同级财政部门取得的财政预算资金。</w:t>
      </w:r>
    </w:p>
    <w:p>
      <w:pPr>
        <w:pStyle w:val="4"/>
        <w:widowControl/>
        <w:autoSpaceDE w:val="0"/>
        <w:snapToGrid w:val="0"/>
        <w:spacing w:line="600" w:lineRule="atLeast"/>
        <w:ind w:firstLine="640"/>
        <w:rPr>
          <w:rFonts w:ascii="仿宋_GB2312" w:eastAsia="仿宋_GB2312" w:cs="仿宋_GB2312"/>
          <w:color w:val="000000"/>
          <w:sz w:val="32"/>
          <w:szCs w:val="32"/>
        </w:rPr>
      </w:pPr>
      <w:r>
        <w:rPr>
          <w:rFonts w:ascii="仿宋_GB2312" w:eastAsia="仿宋_GB2312" w:cs="仿宋_GB2312"/>
          <w:b/>
          <w:color w:val="000000"/>
          <w:sz w:val="32"/>
          <w:szCs w:val="32"/>
        </w:rPr>
        <w:t>二、事业收入：</w:t>
      </w:r>
      <w:r>
        <w:rPr>
          <w:rFonts w:ascii="仿宋_GB2312" w:eastAsia="仿宋_GB2312" w:cs="仿宋_GB2312"/>
          <w:color w:val="000000"/>
          <w:sz w:val="32"/>
          <w:szCs w:val="32"/>
        </w:rPr>
        <w:t>指事业单位开展专业业务活动及辅助活动所取得的收入。</w:t>
      </w:r>
    </w:p>
    <w:p>
      <w:pPr>
        <w:pStyle w:val="5"/>
        <w:widowControl/>
        <w:autoSpaceDE w:val="0"/>
        <w:snapToGrid w:val="0"/>
        <w:spacing w:before="0" w:after="0" w:line="600" w:lineRule="atLeast"/>
        <w:ind w:firstLine="627"/>
        <w:rPr>
          <w:rFonts w:hint="default" w:ascii="仿宋_GB2312" w:eastAsia="仿宋_GB2312" w:cs="仿宋_GB2312"/>
          <w:b/>
          <w:color w:val="000000"/>
        </w:rPr>
      </w:pPr>
      <w:r>
        <w:rPr>
          <w:rFonts w:hint="default" w:ascii="仿宋_GB2312" w:eastAsia="仿宋_GB2312" w:cs="仿宋_GB2312"/>
          <w:b/>
          <w:color w:val="000000"/>
          <w:sz w:val="32"/>
          <w:szCs w:val="32"/>
        </w:rPr>
        <w:t>三、上级补助收入：</w:t>
      </w:r>
      <w:r>
        <w:rPr>
          <w:rFonts w:hint="default" w:ascii="仿宋_GB2312" w:eastAsia="仿宋_GB2312" w:cs="仿宋_GB2312"/>
          <w:color w:val="000000"/>
          <w:sz w:val="32"/>
          <w:szCs w:val="32"/>
        </w:rPr>
        <w:t>指事业单位从主管部门和上级单位取得的非财政补助收入。</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四、附属单位上缴收入：</w:t>
      </w:r>
      <w:r>
        <w:rPr>
          <w:rFonts w:hint="default" w:ascii="仿宋_GB2312" w:eastAsia="仿宋_GB2312" w:cs="仿宋_GB2312"/>
          <w:color w:val="000000"/>
          <w:sz w:val="32"/>
          <w:szCs w:val="32"/>
        </w:rPr>
        <w:t>指事业单位附属独立核算单位按照有关规定上缴的收入。</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五、经营收入</w:t>
      </w:r>
      <w:r>
        <w:rPr>
          <w:rFonts w:cs="宋体"/>
          <w:b/>
          <w:color w:val="000000"/>
        </w:rPr>
        <w:t>：</w:t>
      </w:r>
      <w:r>
        <w:rPr>
          <w:rFonts w:hint="default" w:ascii="仿宋_GB2312" w:eastAsia="仿宋_GB2312" w:cs="仿宋_GB2312"/>
          <w:color w:val="000000"/>
          <w:sz w:val="32"/>
          <w:szCs w:val="32"/>
        </w:rPr>
        <w:t>指事业单位在专业业务活动及其辅助活动之外开展非独立核算经营活动取得的收入。</w:t>
      </w:r>
    </w:p>
    <w:p>
      <w:pPr>
        <w:pStyle w:val="5"/>
        <w:widowControl/>
        <w:autoSpaceDE w:val="0"/>
        <w:snapToGrid w:val="0"/>
        <w:spacing w:before="0" w:after="0" w:line="600" w:lineRule="atLeast"/>
        <w:ind w:firstLine="627"/>
        <w:rPr>
          <w:rFonts w:cs="宋体"/>
          <w:b/>
          <w:color w:val="000000"/>
        </w:rPr>
      </w:pPr>
      <w:r>
        <w:rPr>
          <w:rFonts w:hint="default" w:ascii="仿宋_GB2312" w:eastAsia="仿宋_GB2312" w:cs="仿宋_GB2312"/>
          <w:b/>
          <w:color w:val="000000"/>
          <w:sz w:val="32"/>
          <w:szCs w:val="32"/>
        </w:rPr>
        <w:t>六、其他收入：</w:t>
      </w:r>
      <w:r>
        <w:rPr>
          <w:rFonts w:hint="default" w:ascii="仿宋_GB2312" w:eastAsia="仿宋_GB2312" w:cs="仿宋_GB2312"/>
          <w:color w:val="000000"/>
          <w:sz w:val="32"/>
          <w:szCs w:val="32"/>
        </w:rPr>
        <w:t>指除财政拨款收入、事业收入、上级补助收入、附属单位上缴收入、经营收入以外的各项收入。</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七、年初结转和结余：</w:t>
      </w:r>
      <w:r>
        <w:rPr>
          <w:rFonts w:hint="default" w:ascii="仿宋_GB2312" w:eastAsia="仿宋_GB2312" w:cs="仿宋_GB2312"/>
          <w:color w:val="000000"/>
          <w:sz w:val="32"/>
          <w:szCs w:val="32"/>
        </w:rPr>
        <w:t>指以前年度安排、结转到本年仍按原规定用途继续使用的资金。</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八、结余分配：</w:t>
      </w:r>
      <w:r>
        <w:rPr>
          <w:rFonts w:hint="default" w:ascii="仿宋_GB2312" w:eastAsia="仿宋_GB2312" w:cs="仿宋_GB2312"/>
          <w:color w:val="000000"/>
          <w:sz w:val="32"/>
          <w:szCs w:val="32"/>
        </w:rPr>
        <w:t>指事业单位按照会计制度规定缴纳的所得税以及从非财政拨款结余中提取的职工福利基金、事业基金等。</w:t>
      </w:r>
    </w:p>
    <w:p>
      <w:pPr>
        <w:pStyle w:val="5"/>
        <w:widowControl/>
        <w:autoSpaceDE w:val="0"/>
        <w:snapToGrid w:val="0"/>
        <w:spacing w:before="0" w:after="0" w:line="600" w:lineRule="atLeast"/>
        <w:ind w:firstLine="627"/>
        <w:rPr>
          <w:rFonts w:hint="default" w:ascii="仿宋_GB2312" w:eastAsia="仿宋_GB2312" w:cs="仿宋_GB2312"/>
          <w:b/>
          <w:color w:val="000000"/>
          <w:sz w:val="32"/>
          <w:szCs w:val="32"/>
        </w:rPr>
      </w:pPr>
      <w:r>
        <w:rPr>
          <w:rFonts w:hint="default" w:ascii="仿宋_GB2312" w:eastAsia="仿宋_GB2312" w:cs="仿宋_GB2312"/>
          <w:b/>
          <w:color w:val="000000"/>
          <w:sz w:val="32"/>
          <w:szCs w:val="32"/>
        </w:rPr>
        <w:t>九、年末结转和结余：</w:t>
      </w:r>
      <w:r>
        <w:rPr>
          <w:rFonts w:hint="default" w:ascii="仿宋_GB2312" w:eastAsia="仿宋_GB2312" w:cs="仿宋_GB2312"/>
          <w:color w:val="000000"/>
          <w:sz w:val="32"/>
          <w:szCs w:val="32"/>
        </w:rPr>
        <w:t>指单位本年度或以前年度预算安排、因客观条件发生变化未全部执行或未执行，结转到以后年度继续使用的资金，或项目已经完成等产生的结余资金。</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十、基本支出：</w:t>
      </w:r>
      <w:r>
        <w:rPr>
          <w:rFonts w:hint="default" w:ascii="仿宋_GB2312" w:eastAsia="仿宋_GB2312" w:cs="仿宋_GB2312"/>
          <w:color w:val="000000"/>
          <w:sz w:val="32"/>
          <w:szCs w:val="32"/>
        </w:rPr>
        <w:t>指单位为保障其机构正常运转、完成日常工作任务而发生的人员支出和公用支出。</w:t>
      </w:r>
    </w:p>
    <w:p>
      <w:pPr>
        <w:pStyle w:val="5"/>
        <w:widowControl/>
        <w:autoSpaceDE w:val="0"/>
        <w:spacing w:before="0" w:after="0" w:line="600" w:lineRule="atLeast"/>
        <w:ind w:firstLine="627"/>
        <w:jc w:val="both"/>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十一、项目支出：</w:t>
      </w:r>
      <w:r>
        <w:rPr>
          <w:rFonts w:hint="default" w:ascii="仿宋_GB2312" w:eastAsia="仿宋_GB2312" w:cs="仿宋_GB2312"/>
          <w:color w:val="000000"/>
          <w:sz w:val="32"/>
          <w:szCs w:val="32"/>
        </w:rPr>
        <w:t>指单位为完成特定行政任务和事业发展目标在基本支出之外所发生的支出。</w:t>
      </w:r>
      <w:r>
        <w:rPr>
          <w:rFonts w:hint="default" w:ascii="仿宋_GB2312" w:eastAsia="仿宋_GB2312" w:cs="仿宋_GB2312"/>
          <w:color w:val="000000"/>
          <w:sz w:val="32"/>
          <w:szCs w:val="32"/>
        </w:rPr>
        <w:br w:type="textWrapping"/>
      </w:r>
      <w:r>
        <w:rPr>
          <w:rFonts w:hint="default" w:ascii="仿宋_GB2312" w:eastAsia="仿宋_GB2312" w:cs="仿宋_GB2312"/>
          <w:color w:val="000000"/>
          <w:sz w:val="32"/>
          <w:szCs w:val="32"/>
        </w:rPr>
        <w:t xml:space="preserve">    </w:t>
      </w:r>
      <w:r>
        <w:rPr>
          <w:rFonts w:hint="default" w:ascii="仿宋_GB2312" w:eastAsia="仿宋_GB2312" w:cs="仿宋_GB2312"/>
          <w:b/>
          <w:color w:val="000000"/>
          <w:sz w:val="32"/>
          <w:szCs w:val="32"/>
        </w:rPr>
        <w:t>十二、经营支出：</w:t>
      </w:r>
      <w:r>
        <w:rPr>
          <w:rFonts w:hint="default" w:ascii="仿宋_GB2312" w:eastAsia="仿宋_GB2312" w:cs="仿宋_GB2312"/>
          <w:color w:val="000000"/>
          <w:sz w:val="32"/>
          <w:szCs w:val="32"/>
        </w:rPr>
        <w:t>指事业单位在专业业务活动及其辅助活动之外开展非独立核算经营活动发生的支出。</w:t>
      </w:r>
    </w:p>
    <w:p>
      <w:pPr>
        <w:pStyle w:val="5"/>
        <w:widowControl/>
        <w:autoSpaceDE w:val="0"/>
        <w:spacing w:before="0" w:after="0" w:line="600" w:lineRule="atLeast"/>
        <w:ind w:firstLine="627"/>
        <w:jc w:val="both"/>
        <w:rPr>
          <w:rFonts w:hint="default" w:ascii="仿宋_GB2312" w:eastAsia="仿宋_GB2312" w:cs="仿宋_GB2312"/>
          <w:b/>
          <w:color w:val="000000"/>
          <w:sz w:val="32"/>
          <w:szCs w:val="32"/>
        </w:rPr>
      </w:pPr>
      <w:r>
        <w:rPr>
          <w:rFonts w:hint="default" w:ascii="仿宋_GB2312" w:eastAsia="仿宋_GB2312" w:cs="仿宋_GB2312"/>
          <w:b/>
          <w:color w:val="000000"/>
          <w:sz w:val="32"/>
          <w:szCs w:val="32"/>
        </w:rPr>
        <w:t>十三、</w:t>
      </w:r>
      <w:r>
        <w:rPr>
          <w:rFonts w:cs="宋体"/>
          <w:b/>
          <w:color w:val="000000"/>
          <w:sz w:val="32"/>
          <w:szCs w:val="32"/>
        </w:rPr>
        <w:t>“</w:t>
      </w:r>
      <w:r>
        <w:rPr>
          <w:rFonts w:hint="default" w:ascii="仿宋_GB2312" w:eastAsia="仿宋_GB2312" w:cs="仿宋_GB2312"/>
          <w:b/>
          <w:color w:val="000000"/>
          <w:sz w:val="32"/>
          <w:szCs w:val="32"/>
        </w:rPr>
        <w:t>三公</w:t>
      </w:r>
      <w:r>
        <w:rPr>
          <w:rFonts w:cs="宋体"/>
          <w:b/>
          <w:color w:val="000000"/>
          <w:sz w:val="32"/>
          <w:szCs w:val="32"/>
        </w:rPr>
        <w:t>”</w:t>
      </w:r>
      <w:r>
        <w:rPr>
          <w:rFonts w:hint="default" w:ascii="仿宋_GB2312" w:eastAsia="仿宋_GB2312" w:cs="仿宋_GB2312"/>
          <w:b/>
          <w:color w:val="000000"/>
          <w:sz w:val="32"/>
          <w:szCs w:val="32"/>
        </w:rPr>
        <w:t>经费：</w:t>
      </w:r>
      <w:r>
        <w:rPr>
          <w:rFonts w:hint="default" w:ascii="仿宋_GB2312" w:eastAsia="仿宋_GB2312" w:cs="仿宋_GB2312"/>
          <w:color w:val="000000"/>
          <w:sz w:val="32"/>
          <w:szCs w:val="32"/>
        </w:rPr>
        <w:t>纳入财政预决算管理的</w:t>
      </w:r>
      <w:r>
        <w:rPr>
          <w:rFonts w:cs="宋体"/>
          <w:color w:val="000000"/>
          <w:sz w:val="32"/>
          <w:szCs w:val="32"/>
        </w:rPr>
        <w:t>“</w:t>
      </w:r>
      <w:r>
        <w:rPr>
          <w:rFonts w:hint="default" w:ascii="仿宋_GB2312" w:eastAsia="仿宋_GB2312" w:cs="仿宋_GB2312"/>
          <w:color w:val="000000"/>
          <w:sz w:val="32"/>
          <w:szCs w:val="32"/>
        </w:rPr>
        <w:t>三公</w:t>
      </w:r>
      <w:r>
        <w:rPr>
          <w:rFonts w:cs="宋体"/>
          <w:color w:val="000000"/>
          <w:sz w:val="32"/>
          <w:szCs w:val="32"/>
        </w:rPr>
        <w:t>”</w:t>
      </w:r>
      <w:r>
        <w:rPr>
          <w:rFonts w:hint="default" w:ascii="仿宋_GB2312" w:eastAsia="仿宋_GB2312" w:cs="仿宋_GB2312"/>
          <w:color w:val="000000"/>
          <w:sz w:val="32"/>
          <w:szCs w:val="32"/>
        </w:rPr>
        <w:t>经费，是指单位用财政拨款安排的因公出国（境）费、公务用车购置及运行维护费和公务接待费。其中，因公出国（境）费反映单位公务出国（境）的国际旅费、国外城市间交通费、住宿费、伙食费、培训费、</w:t>
      </w:r>
      <w:bookmarkStart w:id="0" w:name="_GoBack"/>
      <w:bookmarkEnd w:id="0"/>
      <w:r>
        <w:rPr>
          <w:rFonts w:hint="default" w:ascii="仿宋_GB2312" w:eastAsia="仿宋_GB2312" w:cs="仿宋_GB2312"/>
          <w:color w:val="000000"/>
          <w:sz w:val="32"/>
          <w:szCs w:val="32"/>
        </w:rPr>
        <w:t>公杂费等支出；公务用车购置及运行维护费反映单位公务用车购置支出（含车辆购置税）及燃料费、维修费、过桥过路费、保险费、安全奖励费用等支出；公务接待费反映单位按规定开支的各类公务接待（含外宾接待）支出。</w:t>
      </w:r>
    </w:p>
    <w:p>
      <w:pPr>
        <w:pStyle w:val="5"/>
        <w:widowControl/>
        <w:autoSpaceDE w:val="0"/>
        <w:spacing w:before="0" w:after="0" w:line="600" w:lineRule="atLeast"/>
        <w:ind w:firstLine="627"/>
        <w:jc w:val="both"/>
        <w:rPr>
          <w:rFonts w:hint="default" w:ascii="仿宋_GB2312" w:eastAsia="仿宋_GB2312" w:cs="仿宋_GB2312"/>
          <w:b/>
          <w:color w:val="000000"/>
          <w:sz w:val="32"/>
          <w:szCs w:val="32"/>
        </w:rPr>
      </w:pPr>
      <w:r>
        <w:rPr>
          <w:rFonts w:hint="default" w:ascii="仿宋_GB2312" w:eastAsia="仿宋_GB2312" w:cs="仿宋_GB2312"/>
          <w:b/>
          <w:color w:val="000000"/>
          <w:sz w:val="32"/>
          <w:szCs w:val="32"/>
        </w:rPr>
        <w:t>十四、机关运行经费</w:t>
      </w:r>
      <w:r>
        <w:rPr>
          <w:rFonts w:hint="default" w:ascii="仿宋_GB2312" w:eastAsia="仿宋_GB2312" w:cs="仿宋_GB2312"/>
          <w:color w:val="000000"/>
          <w:sz w:val="32"/>
          <w:szCs w:val="32"/>
        </w:rPr>
        <w:t>：指为保障行政单位（含参照公务员法管理的事业单位）运行用于购买货物和服务的各项资金，包括办公及印刷费、邮电费、差旅费、会议费、福利费、日常维修费、专用材料费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09CBB"/>
    <w:multiLevelType w:val="singleLevel"/>
    <w:tmpl w:val="0F809CB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B86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0"/>
    <w:basedOn w:val="1"/>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 w:type="paragraph" w:customStyle="1" w:styleId="5">
    <w:name w:val="p16"/>
    <w:basedOn w:val="1"/>
    <w:uiPriority w:val="0"/>
    <w:pPr>
      <w:keepNext w:val="0"/>
      <w:keepLines w:val="0"/>
      <w:widowControl w:val="0"/>
      <w:suppressLineNumbers w:val="0"/>
      <w:spacing w:before="100" w:beforeAutospacing="0" w:after="100" w:afterAutospacing="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2021-11-08T01:20:03Z</dcterms:created>
  <dc:creator>admin</dc:creator>
  <cp:lastModifiedBy>admin</cp:lastModifiedBy>
  <dcterms:modified xsi:type="dcterms:W3CDTF">2021-11-08T01:23:52Z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