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寿县农业机械事务管理中心2021年</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政府信息公开工作年度报告</w:t>
      </w:r>
    </w:p>
    <w:p>
      <w:pPr>
        <w:rPr>
          <w:sz w:val="32"/>
          <w:szCs w:val="32"/>
        </w:rPr>
      </w:pPr>
    </w:p>
    <w:p>
      <w:pPr>
        <w:pStyle w:val="8"/>
        <w:shd w:val="clear" w:color="auto" w:fill="FFFFFF"/>
        <w:spacing w:before="0" w:beforeAutospacing="0" w:after="0" w:afterAutospacing="0" w:line="660" w:lineRule="exact"/>
        <w:ind w:firstLine="6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shd w:val="clear" w:color="auto" w:fill="FFFFFF"/>
        </w:rPr>
        <w:t>本报告根据《中华人民共和国政府信息公开条例》（国务院令第711号，</w:t>
      </w:r>
      <w:r>
        <w:rPr>
          <w:rFonts w:ascii="华文仿宋" w:hAnsi="华文仿宋" w:eastAsia="华文仿宋"/>
          <w:color w:val="000000" w:themeColor="text1"/>
          <w:sz w:val="32"/>
          <w:szCs w:val="32"/>
          <w:shd w:val="clear" w:color="auto" w:fill="FFFFFF"/>
        </w:rPr>
        <w:t>以下简称《条例》</w:t>
      </w:r>
      <w:r>
        <w:rPr>
          <w:rFonts w:hint="eastAsia" w:ascii="华文仿宋" w:hAnsi="华文仿宋" w:eastAsia="华文仿宋"/>
          <w:color w:val="000000" w:themeColor="text1"/>
          <w:sz w:val="32"/>
          <w:szCs w:val="32"/>
          <w:shd w:val="clear" w:color="auto" w:fill="FFFFFF"/>
        </w:rPr>
        <w:t>）、</w:t>
      </w:r>
      <w:r>
        <w:rPr>
          <w:rFonts w:ascii="华文仿宋" w:hAnsi="华文仿宋" w:eastAsia="华文仿宋"/>
          <w:color w:val="000000" w:themeColor="text1"/>
          <w:sz w:val="32"/>
          <w:szCs w:val="32"/>
          <w:shd w:val="clear" w:color="auto" w:fill="FFFFFF"/>
        </w:rPr>
        <w:t>《国务院办公厅政府信息与政务公开办公室关于印发&lt;中华人民共和国政府信息公开工作年度报告格式&gt;的通知》（国办公开办函〔2021〕30号）</w:t>
      </w:r>
      <w:r>
        <w:rPr>
          <w:rFonts w:hint="eastAsia" w:ascii="华文仿宋" w:hAnsi="华文仿宋" w:eastAsia="华文仿宋"/>
          <w:color w:val="000000" w:themeColor="text1"/>
          <w:sz w:val="32"/>
          <w:szCs w:val="32"/>
          <w:shd w:val="clear" w:color="auto" w:fill="FFFFFF"/>
        </w:rPr>
        <w:t>、《安徽省政务公开办公室关于做好政府信息公开工作年度报告编制及统计数据报送工作的通知》</w:t>
      </w:r>
      <w:r>
        <w:rPr>
          <w:rFonts w:ascii="华文仿宋" w:hAnsi="华文仿宋" w:eastAsia="华文仿宋"/>
          <w:color w:val="000000" w:themeColor="text1"/>
          <w:sz w:val="32"/>
          <w:szCs w:val="32"/>
          <w:shd w:val="clear" w:color="auto" w:fill="FFFFFF"/>
        </w:rPr>
        <w:t>（皖政务办秘〔2021〕37号）</w:t>
      </w:r>
      <w:r>
        <w:rPr>
          <w:rFonts w:hint="eastAsia" w:ascii="华文仿宋" w:hAnsi="华文仿宋" w:eastAsia="华文仿宋"/>
          <w:color w:val="000000" w:themeColor="text1"/>
          <w:sz w:val="32"/>
          <w:szCs w:val="32"/>
          <w:shd w:val="clear" w:color="auto" w:fill="FFFFFF"/>
        </w:rPr>
        <w:t>以及《淮南市人民政府办公室关于做好2021年度政府信息公开工作年度报告编制和发布工作的通知》要求，结合我单位政府信息公开工作有关统计数据撰写。报告主要包括：总体情况、主动公开政府信息情况、收到和处理政府信息公开申请情况、因政府信息公开被申请行政复议和提起行政诉讼情况、政府信息公开工作存在的主要问题及改进情况和其他需要报告的事项。本报告中使用数据统计期限为2021年1月1日至12月31日。报告的电子版可在寿县人民政府网站下载（网址：</w:t>
      </w:r>
      <w:r>
        <w:fldChar w:fldCharType="begin"/>
      </w:r>
      <w:r>
        <w:instrText xml:space="preserve"> HYPERLINK "http://www.shouxian.gov.cn/" </w:instrText>
      </w:r>
      <w:r>
        <w:fldChar w:fldCharType="separate"/>
      </w:r>
      <w:r>
        <w:rPr>
          <w:rStyle w:val="9"/>
          <w:rFonts w:hint="eastAsia" w:ascii="华文仿宋" w:hAnsi="华文仿宋" w:eastAsia="华文仿宋"/>
          <w:color w:val="000000" w:themeColor="text1"/>
          <w:sz w:val="32"/>
          <w:szCs w:val="32"/>
          <w:u w:val="single"/>
        </w:rPr>
        <w:t>http://www.shouxian.gov.cn/</w:t>
      </w:r>
      <w:r>
        <w:rPr>
          <w:rStyle w:val="9"/>
          <w:rFonts w:hint="eastAsia" w:ascii="华文仿宋" w:hAnsi="华文仿宋" w:eastAsia="华文仿宋"/>
          <w:color w:val="000000" w:themeColor="text1"/>
          <w:sz w:val="32"/>
          <w:szCs w:val="32"/>
          <w:u w:val="single"/>
        </w:rPr>
        <w:fldChar w:fldCharType="end"/>
      </w:r>
      <w:r>
        <w:rPr>
          <w:rFonts w:hint="eastAsia" w:ascii="华文仿宋" w:hAnsi="华文仿宋" w:eastAsia="华文仿宋"/>
          <w:color w:val="000000" w:themeColor="text1"/>
          <w:sz w:val="32"/>
          <w:szCs w:val="32"/>
          <w:shd w:val="clear" w:color="auto" w:fill="FFFFFF"/>
        </w:rPr>
        <w:t>）。如对本报告有任何疑问，请与寿县农业机械事务管理中心（以下简称农机中心）办公室联系（地址：寿县宾阳大道与时苗路交叉口。电话：0554-4031105，邮编：232200）。</w:t>
      </w:r>
    </w:p>
    <w:p>
      <w:pPr>
        <w:pStyle w:val="8"/>
        <w:shd w:val="clear" w:color="auto" w:fill="FFFFFF"/>
        <w:spacing w:before="0" w:beforeAutospacing="0" w:after="0" w:afterAutospacing="0" w:line="660" w:lineRule="exact"/>
        <w:ind w:firstLine="643"/>
        <w:jc w:val="both"/>
        <w:rPr>
          <w:rFonts w:ascii="黑体" w:hAnsi="黑体" w:eastAsia="黑体"/>
          <w:color w:val="000000"/>
          <w:sz w:val="22"/>
          <w:szCs w:val="22"/>
        </w:rPr>
      </w:pPr>
      <w:r>
        <w:rPr>
          <w:rFonts w:hint="eastAsia" w:ascii="黑体" w:hAnsi="黑体" w:eastAsia="黑体"/>
          <w:bCs/>
          <w:color w:val="000000"/>
          <w:sz w:val="30"/>
          <w:szCs w:val="30"/>
          <w:shd w:val="clear" w:color="auto" w:fill="FFFFFF"/>
        </w:rPr>
        <w:t>一、总体情况</w:t>
      </w:r>
    </w:p>
    <w:p>
      <w:pPr>
        <w:pStyle w:val="8"/>
        <w:shd w:val="clear" w:color="auto" w:fill="FFFFFF"/>
        <w:spacing w:before="0" w:beforeAutospacing="0" w:after="0" w:afterAutospacing="0" w:line="660" w:lineRule="exact"/>
        <w:ind w:firstLine="640"/>
        <w:jc w:val="both"/>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shd w:val="clear" w:color="auto" w:fill="FFFFFF"/>
        </w:rPr>
        <w:t>2021年，农机中心认真贯彻落实《条例》和省、市、县政务公开有关文件精神和工作要求，把政府信息公开作为改进工作作风和机关形象的重要载体，坚持以公开为常态、不公开为例外，精心组织，规范操作，有效保障了群众的知情权、参与权、监督权。</w:t>
      </w:r>
    </w:p>
    <w:p>
      <w:pPr>
        <w:pStyle w:val="8"/>
        <w:shd w:val="clear" w:color="auto" w:fill="FFFFFF"/>
        <w:spacing w:before="0" w:beforeAutospacing="0" w:after="0" w:afterAutospacing="0" w:line="660" w:lineRule="exact"/>
        <w:ind w:firstLine="640"/>
        <w:jc w:val="both"/>
        <w:rPr>
          <w:rFonts w:ascii="华文楷体" w:hAnsi="华文楷体" w:eastAsia="华文楷体"/>
          <w:color w:val="000000"/>
          <w:sz w:val="32"/>
          <w:szCs w:val="32"/>
        </w:rPr>
      </w:pPr>
      <w:r>
        <w:rPr>
          <w:rFonts w:hint="eastAsia" w:ascii="华文楷体" w:hAnsi="华文楷体" w:eastAsia="华文楷体"/>
          <w:b/>
          <w:bCs/>
          <w:color w:val="000000"/>
          <w:sz w:val="32"/>
          <w:szCs w:val="32"/>
          <w:shd w:val="clear" w:color="auto" w:fill="FFFFFF"/>
        </w:rPr>
        <w:t>（一）主动公开情况</w:t>
      </w:r>
    </w:p>
    <w:p>
      <w:pPr>
        <w:pStyle w:val="8"/>
        <w:shd w:val="clear" w:color="auto" w:fill="FFFFFF"/>
        <w:spacing w:before="0" w:beforeAutospacing="0" w:after="0" w:afterAutospacing="0" w:line="660" w:lineRule="exact"/>
        <w:ind w:firstLine="640"/>
        <w:jc w:val="both"/>
        <w:rPr>
          <w:rFonts w:ascii="华文仿宋" w:hAnsi="华文仿宋" w:eastAsia="华文仿宋"/>
          <w:color w:val="000000"/>
          <w:sz w:val="32"/>
          <w:szCs w:val="32"/>
        </w:rPr>
      </w:pPr>
      <w:r>
        <w:rPr>
          <w:rFonts w:hint="eastAsia" w:ascii="华文仿宋" w:hAnsi="华文仿宋" w:eastAsia="华文仿宋"/>
          <w:color w:val="000000"/>
          <w:sz w:val="32"/>
          <w:szCs w:val="32"/>
          <w:shd w:val="clear" w:color="auto" w:fill="FFFFFF"/>
        </w:rPr>
        <w:t>2021年共公开政府信息251条，月均21条。其中机构领导5条，机构设置3条，人事信息2条，政策法规17条，政策解读6条，决策公开4条，规划计划5条，决策部署落实情况5条，行政权力运行17条，部门预决算25条，招标采购7条，农机购置补贴信息公开专栏58条，精准扶贫5条，新闻发布36条，人大代表建议办理和政协委员提案办理4条，应急管理3条，回应关切16条，监督保障33条。</w:t>
      </w:r>
    </w:p>
    <w:p>
      <w:pPr>
        <w:pStyle w:val="8"/>
        <w:shd w:val="clear" w:color="auto" w:fill="FFFFFF"/>
        <w:spacing w:before="0" w:beforeAutospacing="0" w:after="0" w:afterAutospacing="0" w:line="660" w:lineRule="exact"/>
        <w:ind w:firstLine="630"/>
        <w:jc w:val="both"/>
        <w:rPr>
          <w:rFonts w:ascii="华文楷体" w:hAnsi="华文楷体" w:eastAsia="华文楷体"/>
          <w:b/>
          <w:bCs/>
          <w:color w:val="000000"/>
          <w:sz w:val="32"/>
          <w:szCs w:val="32"/>
          <w:shd w:val="clear" w:color="auto" w:fill="FFFFFF"/>
        </w:rPr>
      </w:pPr>
      <w:r>
        <w:rPr>
          <w:rFonts w:hint="eastAsia" w:ascii="华文楷体" w:hAnsi="华文楷体" w:eastAsia="华文楷体"/>
          <w:b/>
          <w:bCs/>
          <w:color w:val="000000"/>
          <w:sz w:val="32"/>
          <w:szCs w:val="32"/>
          <w:shd w:val="clear" w:color="auto" w:fill="FFFFFF"/>
        </w:rPr>
        <w:t>（二）依申请公开情况</w:t>
      </w:r>
    </w:p>
    <w:p>
      <w:pPr>
        <w:pStyle w:val="8"/>
        <w:shd w:val="clear" w:color="auto" w:fill="FFFFFF"/>
        <w:spacing w:before="0" w:beforeAutospacing="0" w:after="0" w:afterAutospacing="0" w:line="660" w:lineRule="exact"/>
        <w:ind w:firstLine="630"/>
        <w:jc w:val="both"/>
        <w:rPr>
          <w:rFonts w:ascii="华文仿宋" w:hAnsi="华文仿宋" w:eastAsia="华文仿宋"/>
          <w:color w:val="000000" w:themeColor="text1"/>
          <w:sz w:val="32"/>
          <w:szCs w:val="32"/>
          <w:shd w:val="clear" w:color="auto" w:fill="FFFFFF"/>
        </w:rPr>
      </w:pPr>
      <w:r>
        <w:rPr>
          <w:rFonts w:hint="eastAsia" w:ascii="华文仿宋" w:hAnsi="华文仿宋" w:eastAsia="华文仿宋"/>
          <w:color w:val="000000" w:themeColor="text1"/>
          <w:sz w:val="32"/>
          <w:szCs w:val="32"/>
          <w:shd w:val="clear" w:color="auto" w:fill="FFFFFF"/>
        </w:rPr>
        <w:t>本年度无依申请公开办件。</w:t>
      </w:r>
    </w:p>
    <w:p>
      <w:pPr>
        <w:pStyle w:val="8"/>
        <w:shd w:val="clear" w:color="auto" w:fill="FFFFFF"/>
        <w:spacing w:before="0" w:beforeAutospacing="0" w:after="0" w:afterAutospacing="0" w:line="660" w:lineRule="exact"/>
        <w:ind w:firstLine="630"/>
        <w:jc w:val="both"/>
        <w:rPr>
          <w:rFonts w:ascii="华文楷体" w:hAnsi="华文楷体" w:eastAsia="华文楷体"/>
          <w:b/>
          <w:bCs/>
          <w:color w:val="000000"/>
          <w:sz w:val="32"/>
          <w:szCs w:val="32"/>
          <w:shd w:val="clear" w:color="auto" w:fill="FFFFFF"/>
        </w:rPr>
      </w:pPr>
      <w:r>
        <w:rPr>
          <w:rFonts w:hint="eastAsia" w:ascii="华文楷体" w:hAnsi="华文楷体" w:eastAsia="华文楷体"/>
          <w:b/>
          <w:bCs/>
          <w:color w:val="000000"/>
          <w:sz w:val="32"/>
          <w:szCs w:val="32"/>
          <w:shd w:val="clear" w:color="auto" w:fill="FFFFFF"/>
        </w:rPr>
        <w:t>（三）平台建设情况</w:t>
      </w:r>
    </w:p>
    <w:p>
      <w:pPr>
        <w:pStyle w:val="8"/>
        <w:shd w:val="clear" w:color="auto" w:fill="FFFFFF"/>
        <w:spacing w:before="0" w:beforeAutospacing="0" w:after="0" w:afterAutospacing="0" w:line="660" w:lineRule="exact"/>
        <w:ind w:firstLine="640"/>
        <w:jc w:val="both"/>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shd w:val="clear" w:color="auto" w:fill="FFFFFF"/>
        </w:rPr>
        <w:t>完善网站集约化建设，一级目录20个、二级目录45个、三级目录10个。因农机权力事项和中介服务事项移交县农业农村局，故一级目录“行政权力运行”中的二级目录“行政处罚”“行政执法公示”“行政强制”“行政确认”和“其他权力”无对应的信息发布。</w:t>
      </w:r>
    </w:p>
    <w:p>
      <w:pPr>
        <w:pStyle w:val="8"/>
        <w:shd w:val="clear" w:color="auto" w:fill="FFFFFF"/>
        <w:spacing w:before="0" w:beforeAutospacing="0" w:after="0" w:afterAutospacing="0" w:line="660" w:lineRule="exact"/>
        <w:ind w:firstLine="643"/>
        <w:jc w:val="both"/>
        <w:rPr>
          <w:rFonts w:ascii="华文楷体" w:hAnsi="华文楷体" w:eastAsia="华文楷体"/>
          <w:b/>
          <w:bCs/>
          <w:color w:val="000000"/>
          <w:sz w:val="32"/>
          <w:szCs w:val="32"/>
          <w:shd w:val="clear" w:color="auto" w:fill="FFFFFF"/>
        </w:rPr>
      </w:pPr>
      <w:r>
        <w:rPr>
          <w:rFonts w:hint="eastAsia" w:ascii="华文楷体" w:hAnsi="华文楷体" w:eastAsia="华文楷体"/>
          <w:b/>
          <w:bCs/>
          <w:color w:val="000000"/>
          <w:sz w:val="32"/>
          <w:szCs w:val="32"/>
          <w:shd w:val="clear" w:color="auto" w:fill="FFFFFF"/>
        </w:rPr>
        <w:t>（四）政府信息管理</w:t>
      </w:r>
    </w:p>
    <w:p>
      <w:pPr>
        <w:pStyle w:val="8"/>
        <w:shd w:val="clear" w:color="auto" w:fill="FFFFFF"/>
        <w:spacing w:before="0" w:beforeAutospacing="0" w:after="0" w:afterAutospacing="0" w:line="660" w:lineRule="exact"/>
        <w:ind w:firstLine="643"/>
        <w:jc w:val="both"/>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shd w:val="clear" w:color="auto" w:fill="FFFFFF"/>
        </w:rPr>
        <w:t>1.加强宣传培训。结合党史学习教育、党建工作和业务培训，学习宣传贯彻《条例》和省、市、县政务公开有关文件精神，学习政务公开和保密工作有关制度，政府信息公开工作逐步规范。</w:t>
      </w:r>
    </w:p>
    <w:p>
      <w:pPr>
        <w:pStyle w:val="8"/>
        <w:shd w:val="clear" w:color="auto" w:fill="FFFFFF"/>
        <w:spacing w:before="0" w:beforeAutospacing="0" w:after="0" w:afterAutospacing="0" w:line="660" w:lineRule="exact"/>
        <w:ind w:firstLine="643"/>
        <w:jc w:val="both"/>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shd w:val="clear" w:color="auto" w:fill="FFFFFF"/>
        </w:rPr>
        <w:t>2.明确经办人员。安排一名责任心强、综合业务能力全面的同志负责政务公开日常工作，通过任务交办、提醒督催、培训指导、定期通报等形式，落实政府信息公开任务，严把信息审核关和发布关，提升信息公开质量。</w:t>
      </w:r>
    </w:p>
    <w:p>
      <w:pPr>
        <w:pStyle w:val="8"/>
        <w:shd w:val="clear" w:color="auto" w:fill="FFFFFF"/>
        <w:spacing w:before="0" w:beforeAutospacing="0" w:after="0" w:afterAutospacing="0" w:line="660" w:lineRule="exact"/>
        <w:ind w:firstLine="643"/>
        <w:jc w:val="both"/>
        <w:rPr>
          <w:rFonts w:ascii="华文仿宋" w:hAnsi="华文仿宋" w:eastAsia="华文仿宋"/>
          <w:color w:val="000000" w:themeColor="text1"/>
          <w:sz w:val="32"/>
          <w:szCs w:val="32"/>
          <w:shd w:val="clear" w:color="auto" w:fill="FFFFFF"/>
        </w:rPr>
      </w:pPr>
      <w:r>
        <w:rPr>
          <w:rFonts w:hint="eastAsia" w:ascii="华文仿宋" w:hAnsi="华文仿宋" w:eastAsia="华文仿宋"/>
          <w:color w:val="000000" w:themeColor="text1"/>
          <w:sz w:val="32"/>
          <w:szCs w:val="32"/>
          <w:shd w:val="clear" w:color="auto" w:fill="FFFFFF"/>
        </w:rPr>
        <w:t>3.落实工作责任。根据机关股室和直属单位履行职能情况，对照政务公开要求，印发年度政府信息公开工作计划，细化分解任务，明确责任单位和责任人。</w:t>
      </w:r>
    </w:p>
    <w:p>
      <w:pPr>
        <w:pStyle w:val="8"/>
        <w:shd w:val="clear" w:color="auto" w:fill="FFFFFF"/>
        <w:spacing w:before="0" w:beforeAutospacing="0" w:after="0" w:afterAutospacing="0" w:line="660" w:lineRule="exact"/>
        <w:ind w:firstLine="643"/>
        <w:jc w:val="both"/>
        <w:rPr>
          <w:rFonts w:ascii="华文楷体" w:hAnsi="华文楷体" w:eastAsia="华文楷体"/>
          <w:b/>
          <w:bCs/>
          <w:color w:val="000000"/>
          <w:sz w:val="32"/>
          <w:szCs w:val="32"/>
          <w:shd w:val="clear" w:color="auto" w:fill="FFFFFF"/>
        </w:rPr>
      </w:pPr>
      <w:r>
        <w:rPr>
          <w:rFonts w:hint="eastAsia" w:ascii="华文楷体" w:hAnsi="华文楷体" w:eastAsia="华文楷体"/>
          <w:b/>
          <w:bCs/>
          <w:color w:val="000000"/>
          <w:sz w:val="32"/>
          <w:szCs w:val="32"/>
          <w:shd w:val="clear" w:color="auto" w:fill="FFFFFF"/>
        </w:rPr>
        <w:t>（五）监督保障</w:t>
      </w:r>
    </w:p>
    <w:p>
      <w:pPr>
        <w:pStyle w:val="8"/>
        <w:shd w:val="clear" w:color="auto" w:fill="FFFFFF"/>
        <w:spacing w:before="0" w:beforeAutospacing="0" w:after="0" w:afterAutospacing="0" w:line="660" w:lineRule="exact"/>
        <w:ind w:firstLine="643"/>
        <w:jc w:val="both"/>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shd w:val="clear" w:color="auto" w:fill="FFFFFF"/>
        </w:rPr>
        <w:t>1.加强组织领导。调整工作领导组，统筹互联网+政务服务、政府信息公开、政府网站和新媒体建设、保密、信息宣传等工作，主要负责人任组长，分管负责人任副组长，二级机构负责人为成员。下设具体的经办机构和经办人员。</w:t>
      </w:r>
    </w:p>
    <w:p>
      <w:pPr>
        <w:pStyle w:val="8"/>
        <w:shd w:val="clear" w:color="auto" w:fill="FFFFFF"/>
        <w:spacing w:before="0" w:beforeAutospacing="0" w:after="0" w:afterAutospacing="0" w:line="660" w:lineRule="exact"/>
        <w:ind w:firstLine="640"/>
        <w:jc w:val="both"/>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shd w:val="clear" w:color="auto" w:fill="FFFFFF"/>
        </w:rPr>
        <w:t>2.抓好日常管理。定期检查、维护部门政府信息公开网站，及时发现和纠正不当用词用语；规范信息发布方式。</w:t>
      </w:r>
    </w:p>
    <w:p>
      <w:pPr>
        <w:pStyle w:val="8"/>
        <w:shd w:val="clear" w:color="auto" w:fill="FFFFFF"/>
        <w:spacing w:before="0" w:beforeAutospacing="0" w:after="0" w:afterAutospacing="0" w:line="660" w:lineRule="exact"/>
        <w:ind w:firstLine="640"/>
        <w:jc w:val="both"/>
        <w:rPr>
          <w:rFonts w:ascii="华文仿宋" w:hAnsi="华文仿宋" w:eastAsia="华文仿宋"/>
          <w:color w:val="000000" w:themeColor="text1"/>
          <w:sz w:val="32"/>
          <w:szCs w:val="32"/>
          <w:shd w:val="clear" w:color="auto" w:fill="FFFFFF"/>
        </w:rPr>
      </w:pPr>
      <w:r>
        <w:rPr>
          <w:rFonts w:hint="eastAsia" w:ascii="华文仿宋" w:hAnsi="华文仿宋" w:eastAsia="华文仿宋"/>
          <w:color w:val="000000" w:themeColor="text1"/>
          <w:sz w:val="32"/>
          <w:szCs w:val="32"/>
          <w:shd w:val="clear" w:color="auto" w:fill="FFFFFF"/>
        </w:rPr>
        <w:t>3.严守工作制度。严格执行信息主动公开制度、政府信息公开保密审查制度、政府信息依申请公开制度、政务舆情回应制度、政府信息公开统计制度、信息公开监督制度和政策解读制度等十二项工作制度。从源头上保障网络信息安全。</w:t>
      </w:r>
    </w:p>
    <w:p>
      <w:pPr>
        <w:pStyle w:val="8"/>
        <w:shd w:val="clear" w:color="auto" w:fill="FFFFFF"/>
        <w:spacing w:before="0" w:beforeAutospacing="0" w:after="0" w:afterAutospacing="0" w:line="660" w:lineRule="exact"/>
        <w:ind w:firstLine="640"/>
        <w:jc w:val="both"/>
        <w:rPr>
          <w:rFonts w:ascii="黑体" w:hAnsi="黑体" w:eastAsia="黑体"/>
          <w:color w:val="000000" w:themeColor="text1"/>
          <w:sz w:val="32"/>
          <w:szCs w:val="32"/>
        </w:rPr>
      </w:pPr>
      <w:r>
        <w:rPr>
          <w:rFonts w:hint="eastAsia" w:ascii="黑体" w:hAnsi="黑体" w:eastAsia="黑体"/>
          <w:color w:val="000000" w:themeColor="text1"/>
          <w:sz w:val="32"/>
          <w:szCs w:val="32"/>
        </w:rPr>
        <w:t>二、主动公开政府信息情况</w:t>
      </w:r>
      <w:bookmarkStart w:id="0" w:name="_GoBack"/>
      <w:bookmarkEnd w:id="0"/>
    </w:p>
    <w:tbl>
      <w:tblPr>
        <w:tblStyle w:val="4"/>
        <w:tblpPr w:leftFromText="180" w:rightFromText="180" w:vertAnchor="text" w:horzAnchor="page" w:tblpX="2100" w:tblpY="256"/>
        <w:tblOverlap w:val="never"/>
        <w:tblW w:w="8325" w:type="dxa"/>
        <w:tblInd w:w="0" w:type="dxa"/>
        <w:tblLayout w:type="autofit"/>
        <w:tblCellMar>
          <w:top w:w="0" w:type="dxa"/>
          <w:left w:w="0" w:type="dxa"/>
          <w:bottom w:w="0" w:type="dxa"/>
          <w:right w:w="0" w:type="dxa"/>
        </w:tblCellMar>
      </w:tblPr>
      <w:tblGrid>
        <w:gridCol w:w="2081"/>
        <w:gridCol w:w="2081"/>
        <w:gridCol w:w="2081"/>
        <w:gridCol w:w="2082"/>
      </w:tblGrid>
      <w:tr>
        <w:tblPrEx>
          <w:tblCellMar>
            <w:top w:w="0" w:type="dxa"/>
            <w:left w:w="0" w:type="dxa"/>
            <w:bottom w:w="0" w:type="dxa"/>
            <w:right w:w="0" w:type="dxa"/>
          </w:tblCellMar>
        </w:tblPrEx>
        <w:trPr>
          <w:trHeight w:val="655" w:hRule="atLeast"/>
        </w:trPr>
        <w:tc>
          <w:tcPr>
            <w:tcW w:w="8325"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655" w:hRule="atLeast"/>
        </w:trPr>
        <w:tc>
          <w:tcPr>
            <w:tcW w:w="2081"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2081"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本年</w:t>
            </w:r>
            <w:r>
              <w:rPr>
                <w:rFonts w:hint="eastAsia" w:ascii="宋体" w:hAnsi="宋体" w:cs="宋体"/>
                <w:kern w:val="0"/>
                <w:sz w:val="20"/>
                <w:szCs w:val="20"/>
              </w:rPr>
              <w:t>制发件数</w:t>
            </w:r>
          </w:p>
        </w:tc>
        <w:tc>
          <w:tcPr>
            <w:tcW w:w="2081"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本年废止件数</w:t>
            </w:r>
          </w:p>
        </w:tc>
        <w:tc>
          <w:tcPr>
            <w:tcW w:w="2081"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现行有效件</w:t>
            </w:r>
            <w:r>
              <w:rPr>
                <w:rFonts w:hint="eastAsia" w:ascii="宋体" w:hAnsi="宋体" w:cs="宋体"/>
                <w:kern w:val="0"/>
                <w:sz w:val="20"/>
                <w:szCs w:val="20"/>
              </w:rPr>
              <w:t>数</w:t>
            </w:r>
          </w:p>
        </w:tc>
      </w:tr>
      <w:tr>
        <w:tblPrEx>
          <w:tblCellMar>
            <w:top w:w="0" w:type="dxa"/>
            <w:left w:w="0" w:type="dxa"/>
            <w:bottom w:w="0" w:type="dxa"/>
            <w:right w:w="0" w:type="dxa"/>
          </w:tblCellMar>
        </w:tblPrEx>
        <w:trPr>
          <w:trHeight w:val="655" w:hRule="atLeast"/>
        </w:trPr>
        <w:tc>
          <w:tcPr>
            <w:tcW w:w="2081"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rPr>
              <w:t>规章</w:t>
            </w:r>
          </w:p>
        </w:tc>
        <w:tc>
          <w:tcPr>
            <w:tcW w:w="2081"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rPr>
              <w:t>　　0</w:t>
            </w:r>
          </w:p>
        </w:tc>
        <w:tc>
          <w:tcPr>
            <w:tcW w:w="2081"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rPr>
              <w:t> 　0</w:t>
            </w:r>
          </w:p>
        </w:tc>
        <w:tc>
          <w:tcPr>
            <w:tcW w:w="2081"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Calibri" w:hAnsi="Calibri" w:cs="Calibri"/>
                <w:kern w:val="0"/>
                <w:szCs w:val="21"/>
              </w:rPr>
              <w:t>0</w:t>
            </w:r>
          </w:p>
        </w:tc>
      </w:tr>
      <w:tr>
        <w:tblPrEx>
          <w:tblCellMar>
            <w:top w:w="0" w:type="dxa"/>
            <w:left w:w="0" w:type="dxa"/>
            <w:bottom w:w="0" w:type="dxa"/>
            <w:right w:w="0" w:type="dxa"/>
          </w:tblCellMar>
        </w:tblPrEx>
        <w:trPr>
          <w:trHeight w:val="655" w:hRule="atLeast"/>
        </w:trPr>
        <w:tc>
          <w:tcPr>
            <w:tcW w:w="2081"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rPr>
              <w:t>行政规范性文件</w:t>
            </w:r>
          </w:p>
        </w:tc>
        <w:tc>
          <w:tcPr>
            <w:tcW w:w="2081"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rPr>
              <w:t>　　0</w:t>
            </w:r>
          </w:p>
        </w:tc>
        <w:tc>
          <w:tcPr>
            <w:tcW w:w="2081"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rPr>
              <w:t> 　0</w:t>
            </w:r>
          </w:p>
        </w:tc>
        <w:tc>
          <w:tcPr>
            <w:tcW w:w="2081"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ascii="Calibri" w:hAnsi="Calibri" w:cs="Calibri"/>
                <w:kern w:val="0"/>
                <w:szCs w:val="21"/>
              </w:rPr>
              <w:t> </w:t>
            </w:r>
            <w:r>
              <w:rPr>
                <w:rFonts w:hint="eastAsia" w:ascii="Calibri" w:hAnsi="Calibri" w:cs="Calibri"/>
                <w:kern w:val="0"/>
                <w:szCs w:val="21"/>
              </w:rPr>
              <w:t>0</w:t>
            </w:r>
          </w:p>
        </w:tc>
      </w:tr>
      <w:tr>
        <w:tblPrEx>
          <w:tblCellMar>
            <w:top w:w="0" w:type="dxa"/>
            <w:left w:w="0" w:type="dxa"/>
            <w:bottom w:w="0" w:type="dxa"/>
            <w:right w:w="0" w:type="dxa"/>
          </w:tblCellMar>
        </w:tblPrEx>
        <w:trPr>
          <w:trHeight w:val="655" w:hRule="atLeast"/>
        </w:trPr>
        <w:tc>
          <w:tcPr>
            <w:tcW w:w="8325"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55" w:hRule="atLeast"/>
        </w:trPr>
        <w:tc>
          <w:tcPr>
            <w:tcW w:w="2081"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6244"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655" w:hRule="atLeast"/>
        </w:trPr>
        <w:tc>
          <w:tcPr>
            <w:tcW w:w="2081"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rPr>
              <w:t>行政许可</w:t>
            </w:r>
          </w:p>
        </w:tc>
        <w:tc>
          <w:tcPr>
            <w:tcW w:w="6244" w:type="dxa"/>
            <w:gridSpan w:val="3"/>
            <w:tcBorders>
              <w:top w:val="nil"/>
              <w:left w:val="nil"/>
              <w:bottom w:val="single" w:color="auto" w:sz="8" w:space="0"/>
              <w:right w:val="single" w:color="auto" w:sz="8" w:space="0"/>
            </w:tcBorders>
            <w:tcMar>
              <w:left w:w="57" w:type="dxa"/>
              <w:right w:w="57" w:type="dxa"/>
            </w:tcMar>
            <w:vAlign w:val="center"/>
          </w:tcPr>
          <w:p>
            <w:pPr>
              <w:widowControl/>
              <w:jc w:val="left"/>
            </w:pPr>
            <w:r>
              <w:rPr>
                <w:rFonts w:ascii="Calibri" w:hAnsi="Calibri" w:cs="Calibri"/>
                <w:kern w:val="0"/>
                <w:szCs w:val="21"/>
              </w:rPr>
              <w:t> </w:t>
            </w:r>
            <w:r>
              <w:rPr>
                <w:rFonts w:hint="eastAsia" w:ascii="Calibri" w:hAnsi="Calibri" w:cs="Calibri"/>
                <w:kern w:val="0"/>
                <w:szCs w:val="21"/>
              </w:rPr>
              <w:t>3042</w:t>
            </w:r>
          </w:p>
        </w:tc>
      </w:tr>
      <w:tr>
        <w:tblPrEx>
          <w:tblCellMar>
            <w:top w:w="0" w:type="dxa"/>
            <w:left w:w="0" w:type="dxa"/>
            <w:bottom w:w="0" w:type="dxa"/>
            <w:right w:w="0" w:type="dxa"/>
          </w:tblCellMar>
        </w:tblPrEx>
        <w:trPr>
          <w:trHeight w:val="655" w:hRule="atLeast"/>
        </w:trPr>
        <w:tc>
          <w:tcPr>
            <w:tcW w:w="8325"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55" w:hRule="atLeast"/>
        </w:trPr>
        <w:tc>
          <w:tcPr>
            <w:tcW w:w="2081"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6244"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655" w:hRule="atLeast"/>
        </w:trPr>
        <w:tc>
          <w:tcPr>
            <w:tcW w:w="2081"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rPr>
              <w:t>行政处罚</w:t>
            </w:r>
          </w:p>
        </w:tc>
        <w:tc>
          <w:tcPr>
            <w:tcW w:w="6244" w:type="dxa"/>
            <w:gridSpan w:val="3"/>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rPr>
              <w:t>　0</w:t>
            </w:r>
          </w:p>
        </w:tc>
      </w:tr>
      <w:tr>
        <w:tblPrEx>
          <w:tblCellMar>
            <w:top w:w="0" w:type="dxa"/>
            <w:left w:w="0" w:type="dxa"/>
            <w:bottom w:w="0" w:type="dxa"/>
            <w:right w:w="0" w:type="dxa"/>
          </w:tblCellMar>
        </w:tblPrEx>
        <w:trPr>
          <w:trHeight w:val="655" w:hRule="atLeast"/>
        </w:trPr>
        <w:tc>
          <w:tcPr>
            <w:tcW w:w="2081"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rPr>
              <w:t>行政强制</w:t>
            </w:r>
          </w:p>
        </w:tc>
        <w:tc>
          <w:tcPr>
            <w:tcW w:w="6244" w:type="dxa"/>
            <w:gridSpan w:val="3"/>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rPr>
              <w:t>　0</w:t>
            </w:r>
          </w:p>
        </w:tc>
      </w:tr>
      <w:tr>
        <w:tblPrEx>
          <w:tblCellMar>
            <w:top w:w="0" w:type="dxa"/>
            <w:left w:w="0" w:type="dxa"/>
            <w:bottom w:w="0" w:type="dxa"/>
            <w:right w:w="0" w:type="dxa"/>
          </w:tblCellMar>
        </w:tblPrEx>
        <w:trPr>
          <w:trHeight w:val="655" w:hRule="atLeast"/>
        </w:trPr>
        <w:tc>
          <w:tcPr>
            <w:tcW w:w="8325"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655" w:hRule="atLeast"/>
        </w:trPr>
        <w:tc>
          <w:tcPr>
            <w:tcW w:w="2081"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6244"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pPr>
            <w:r>
              <w:rPr>
                <w:rFonts w:hint="eastAsia" w:ascii="宋体" w:hAnsi="宋体" w:cs="宋体"/>
                <w:color w:val="000000"/>
                <w:kern w:val="0"/>
                <w:sz w:val="20"/>
                <w:szCs w:val="20"/>
              </w:rPr>
              <w:t>本年收费金额（单位：万元）</w:t>
            </w:r>
          </w:p>
        </w:tc>
      </w:tr>
      <w:tr>
        <w:tblPrEx>
          <w:tblCellMar>
            <w:top w:w="0" w:type="dxa"/>
            <w:left w:w="0" w:type="dxa"/>
            <w:bottom w:w="0" w:type="dxa"/>
            <w:right w:w="0" w:type="dxa"/>
          </w:tblCellMar>
        </w:tblPrEx>
        <w:trPr>
          <w:trHeight w:val="721" w:hRule="atLeast"/>
        </w:trPr>
        <w:tc>
          <w:tcPr>
            <w:tcW w:w="2081"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color w:val="000000"/>
                <w:kern w:val="0"/>
                <w:sz w:val="20"/>
                <w:szCs w:val="20"/>
              </w:rPr>
              <w:t>行政事业性收费</w:t>
            </w:r>
          </w:p>
        </w:tc>
        <w:tc>
          <w:tcPr>
            <w:tcW w:w="6244" w:type="dxa"/>
            <w:gridSpan w:val="3"/>
            <w:tcBorders>
              <w:top w:val="nil"/>
              <w:left w:val="nil"/>
              <w:bottom w:val="single" w:color="auto" w:sz="8" w:space="0"/>
              <w:right w:val="single" w:color="000000" w:sz="8" w:space="0"/>
            </w:tcBorders>
            <w:tcMar>
              <w:left w:w="57" w:type="dxa"/>
              <w:right w:w="57" w:type="dxa"/>
            </w:tcMar>
            <w:vAlign w:val="center"/>
          </w:tcPr>
          <w:p>
            <w:pPr>
              <w:rPr>
                <w:rFonts w:ascii="宋体"/>
                <w:sz w:val="24"/>
              </w:rPr>
            </w:pPr>
            <w:r>
              <w:rPr>
                <w:rFonts w:hint="eastAsia" w:ascii="宋体"/>
                <w:sz w:val="24"/>
              </w:rPr>
              <w:t>0</w:t>
            </w:r>
          </w:p>
        </w:tc>
      </w:tr>
    </w:tbl>
    <w:p>
      <w:pPr>
        <w:spacing w:line="600" w:lineRule="exact"/>
        <w:ind w:firstLine="64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三、收到和处理政府信息公开申请情况</w:t>
      </w:r>
    </w:p>
    <w:tbl>
      <w:tblPr>
        <w:tblStyle w:val="4"/>
        <w:tblW w:w="848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67"/>
        <w:gridCol w:w="820"/>
        <w:gridCol w:w="2803"/>
        <w:gridCol w:w="598"/>
        <w:gridCol w:w="598"/>
        <w:gridCol w:w="598"/>
        <w:gridCol w:w="598"/>
        <w:gridCol w:w="598"/>
        <w:gridCol w:w="602"/>
        <w:gridCol w:w="60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4292"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pPr>
            <w:r>
              <w:rPr>
                <w:rFonts w:ascii="楷体" w:hAnsi="楷体" w:eastAsia="楷体" w:cs="楷体"/>
                <w:kern w:val="0"/>
                <w:sz w:val="20"/>
                <w:szCs w:val="20"/>
              </w:rPr>
              <w:t>（本列数据的勾稽关系为：第一项加第二项之和，等于第三项加第四项之和）</w:t>
            </w:r>
          </w:p>
        </w:tc>
        <w:tc>
          <w:tcPr>
            <w:tcW w:w="4192"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4292"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sz w:val="24"/>
              </w:rPr>
            </w:pPr>
          </w:p>
        </w:tc>
        <w:tc>
          <w:tcPr>
            <w:tcW w:w="59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自然人</w:t>
            </w:r>
          </w:p>
        </w:tc>
        <w:tc>
          <w:tcPr>
            <w:tcW w:w="2994" w:type="dxa"/>
            <w:gridSpan w:val="5"/>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法人或其他组织</w:t>
            </w:r>
          </w:p>
        </w:tc>
        <w:tc>
          <w:tcPr>
            <w:tcW w:w="599"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95" w:hRule="atLeast"/>
          <w:jc w:val="center"/>
        </w:trPr>
        <w:tc>
          <w:tcPr>
            <w:tcW w:w="4292"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sz w:val="24"/>
              </w:rPr>
            </w:pPr>
          </w:p>
        </w:tc>
        <w:tc>
          <w:tcPr>
            <w:tcW w:w="598"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sz w:val="24"/>
              </w:rPr>
            </w:pP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商业</w:t>
            </w:r>
          </w:p>
          <w:p>
            <w:pPr>
              <w:widowControl/>
              <w:jc w:val="center"/>
            </w:pPr>
            <w:r>
              <w:rPr>
                <w:rFonts w:hint="eastAsia" w:ascii="宋体" w:hAnsi="宋体" w:cs="宋体"/>
                <w:kern w:val="0"/>
                <w:sz w:val="20"/>
                <w:szCs w:val="20"/>
              </w:rPr>
              <w:t>企业</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科研</w:t>
            </w:r>
          </w:p>
          <w:p>
            <w:pPr>
              <w:widowControl/>
              <w:jc w:val="center"/>
            </w:pPr>
            <w:r>
              <w:rPr>
                <w:rFonts w:hint="eastAsia" w:ascii="宋体" w:hAnsi="宋体" w:cs="宋体"/>
                <w:kern w:val="0"/>
                <w:sz w:val="20"/>
                <w:szCs w:val="20"/>
              </w:rPr>
              <w:t>机构</w:t>
            </w:r>
          </w:p>
        </w:tc>
        <w:tc>
          <w:tcPr>
            <w:tcW w:w="59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社会公益组织</w:t>
            </w:r>
          </w:p>
        </w:tc>
        <w:tc>
          <w:tcPr>
            <w:tcW w:w="59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法律服务机构</w:t>
            </w:r>
          </w:p>
        </w:tc>
        <w:tc>
          <w:tcPr>
            <w:tcW w:w="600"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其他</w:t>
            </w:r>
          </w:p>
        </w:tc>
        <w:tc>
          <w:tcPr>
            <w:tcW w:w="599"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4292"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一、本年新收政府信息公开申请数量</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4292"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二、上年结转政府信息公开申请数量</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668"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三、本年度办理结果</w:t>
            </w:r>
          </w:p>
        </w:tc>
        <w:tc>
          <w:tcPr>
            <w:tcW w:w="3624"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（一）予以公开</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9"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1"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3624"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820"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（三）不予公开</w:t>
            </w:r>
          </w:p>
        </w:tc>
        <w:tc>
          <w:tcPr>
            <w:tcW w:w="2804"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1.属于国家秘密</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9"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820"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2804"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2.其他法律行政法规禁止公开</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820"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2804"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3.危及“三安全一稳定”</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820"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2804"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4.保护第三方合法权益</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820"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2804"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5.属于三类内部事务信息</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820"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2804"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6.属于四类过程性信息</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820"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2804"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7.属于行政执法案卷</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820"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2804"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8.属于行政查询事项</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820"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（四）无法提供</w:t>
            </w:r>
          </w:p>
        </w:tc>
        <w:tc>
          <w:tcPr>
            <w:tcW w:w="2804"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1.本机关不掌握相关政府信息</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820"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2804"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2.没有现成信息需要另行制作</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820"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2804"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3.补正后申请内容仍不明确</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820"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（五）不予处理</w:t>
            </w:r>
          </w:p>
        </w:tc>
        <w:tc>
          <w:tcPr>
            <w:tcW w:w="2804"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1.信访举报投诉类申请</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820"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2804"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2.重复申请</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820"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2804"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3.要求提供公开出版物</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820"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2804"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4.无正当理由大量反复申请</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2"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820"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sz w:val="24"/>
              </w:rPr>
            </w:pPr>
          </w:p>
        </w:tc>
        <w:tc>
          <w:tcPr>
            <w:tcW w:w="2804" w:type="dxa"/>
            <w:tcBorders>
              <w:top w:val="nil"/>
              <w:left w:val="nil"/>
              <w:bottom w:val="outset" w:color="auto" w:sz="8" w:space="0"/>
              <w:right w:val="single" w:color="auto" w:sz="8" w:space="0"/>
            </w:tcBorders>
            <w:tcMar>
              <w:left w:w="57" w:type="dxa"/>
              <w:right w:w="57" w:type="dxa"/>
            </w:tcMar>
            <w:vAlign w:val="center"/>
          </w:tcPr>
          <w:p>
            <w:pPr>
              <w:widowControl/>
            </w:pPr>
            <w:r>
              <w:rPr>
                <w:rFonts w:hint="eastAsia" w:ascii="宋体" w:hAnsi="宋体" w:cs="宋体"/>
                <w:kern w:val="0"/>
                <w:sz w:val="20"/>
                <w:szCs w:val="20"/>
              </w:rPr>
              <w:t>5.要求行政机关确认或重新出具已获取信息</w:t>
            </w:r>
          </w:p>
        </w:tc>
        <w:tc>
          <w:tcPr>
            <w:tcW w:w="59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00"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9"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95"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820"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（六）其他处理</w:t>
            </w:r>
          </w:p>
        </w:tc>
        <w:tc>
          <w:tcPr>
            <w:tcW w:w="2804"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ascii="宋体" w:hAnsi="宋体" w:cs="宋体"/>
                <w:kern w:val="0"/>
                <w:sz w:val="20"/>
                <w:szCs w:val="20"/>
              </w:rPr>
              <w:t>1.申请人无正当理由逾期不补正、行政机关不再处理其政府信息公开申请</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95"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820"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sz w:val="24"/>
              </w:rPr>
            </w:pPr>
          </w:p>
        </w:tc>
        <w:tc>
          <w:tcPr>
            <w:tcW w:w="2804"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ascii="宋体" w:hAnsi="宋体" w:cs="宋体"/>
                <w:kern w:val="0"/>
                <w:sz w:val="20"/>
                <w:szCs w:val="20"/>
              </w:rPr>
              <w:t>2.申请人逾期未按收费通知要求缴纳费用、行政机关不再处理其政府信息公开申请</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820"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sz w:val="24"/>
              </w:rPr>
            </w:pPr>
          </w:p>
        </w:tc>
        <w:tc>
          <w:tcPr>
            <w:tcW w:w="2804"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3.其他</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6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sz w:val="24"/>
              </w:rPr>
            </w:pPr>
          </w:p>
        </w:tc>
        <w:tc>
          <w:tcPr>
            <w:tcW w:w="3624"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（七）总计</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7" w:hRule="atLeast"/>
          <w:jc w:val="center"/>
        </w:trPr>
        <w:tc>
          <w:tcPr>
            <w:tcW w:w="4292"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四、结转下年度继续办理</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r>
              <w:rPr>
                <w:rFonts w:ascii="Calibri" w:hAnsi="Calibri" w:cs="Calibri"/>
                <w:kern w:val="0"/>
                <w:sz w:val="20"/>
                <w:szCs w:val="20"/>
              </w:rPr>
              <w:t> </w:t>
            </w:r>
          </w:p>
        </w:tc>
        <w:tc>
          <w:tcPr>
            <w:tcW w:w="600"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59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r>
    </w:tbl>
    <w:p>
      <w:pPr>
        <w:spacing w:line="560" w:lineRule="exact"/>
        <w:ind w:firstLine="64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四、政府信息公开行政复议、行政诉讼情况</w:t>
      </w:r>
    </w:p>
    <w:tbl>
      <w:tblPr>
        <w:tblStyle w:val="4"/>
        <w:tblW w:w="77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19"/>
        <w:gridCol w:w="519"/>
        <w:gridCol w:w="519"/>
        <w:gridCol w:w="519"/>
        <w:gridCol w:w="520"/>
        <w:gridCol w:w="519"/>
        <w:gridCol w:w="519"/>
        <w:gridCol w:w="520"/>
        <w:gridCol w:w="520"/>
        <w:gridCol w:w="520"/>
        <w:gridCol w:w="520"/>
        <w:gridCol w:w="520"/>
        <w:gridCol w:w="520"/>
        <w:gridCol w:w="520"/>
        <w:gridCol w:w="5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2596"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行政复议</w:t>
            </w:r>
          </w:p>
        </w:tc>
        <w:tc>
          <w:tcPr>
            <w:tcW w:w="52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51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结果维持</w:t>
            </w:r>
          </w:p>
        </w:tc>
        <w:tc>
          <w:tcPr>
            <w:tcW w:w="51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结果</w:t>
            </w:r>
          </w:p>
          <w:p>
            <w:pPr>
              <w:widowControl/>
              <w:jc w:val="center"/>
            </w:pPr>
            <w:r>
              <w:rPr>
                <w:rFonts w:hint="eastAsia" w:ascii="宋体" w:hAnsi="宋体" w:cs="宋体"/>
                <w:kern w:val="0"/>
                <w:sz w:val="20"/>
                <w:szCs w:val="20"/>
              </w:rPr>
              <w:t>纠正</w:t>
            </w:r>
          </w:p>
        </w:tc>
        <w:tc>
          <w:tcPr>
            <w:tcW w:w="51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其他</w:t>
            </w:r>
          </w:p>
          <w:p>
            <w:pPr>
              <w:widowControl/>
              <w:jc w:val="center"/>
            </w:pPr>
            <w:r>
              <w:rPr>
                <w:rFonts w:hint="eastAsia" w:ascii="宋体" w:hAnsi="宋体" w:cs="宋体"/>
                <w:kern w:val="0"/>
                <w:sz w:val="20"/>
                <w:szCs w:val="20"/>
              </w:rPr>
              <w:t>结果</w:t>
            </w:r>
          </w:p>
        </w:tc>
        <w:tc>
          <w:tcPr>
            <w:tcW w:w="51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尚未</w:t>
            </w:r>
          </w:p>
          <w:p>
            <w:pPr>
              <w:widowControl/>
              <w:jc w:val="center"/>
            </w:pPr>
            <w:r>
              <w:rPr>
                <w:rFonts w:hint="eastAsia" w:ascii="宋体" w:hAnsi="宋体" w:cs="宋体"/>
                <w:kern w:val="0"/>
                <w:sz w:val="20"/>
                <w:szCs w:val="20"/>
              </w:rPr>
              <w:t>审结</w:t>
            </w:r>
          </w:p>
        </w:tc>
        <w:tc>
          <w:tcPr>
            <w:tcW w:w="52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总计</w:t>
            </w:r>
          </w:p>
        </w:tc>
        <w:tc>
          <w:tcPr>
            <w:tcW w:w="259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未经复议直接起诉</w:t>
            </w:r>
          </w:p>
        </w:tc>
        <w:tc>
          <w:tcPr>
            <w:tcW w:w="260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0" w:hRule="atLeast"/>
          <w:jc w:val="center"/>
        </w:trPr>
        <w:tc>
          <w:tcPr>
            <w:tcW w:w="51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51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51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51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52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51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结果</w:t>
            </w:r>
          </w:p>
          <w:p>
            <w:pPr>
              <w:widowControl/>
              <w:jc w:val="center"/>
            </w:pPr>
            <w:r>
              <w:rPr>
                <w:rFonts w:hint="eastAsia" w:ascii="宋体" w:hAnsi="宋体" w:cs="宋体"/>
                <w:kern w:val="0"/>
                <w:sz w:val="20"/>
                <w:szCs w:val="20"/>
              </w:rPr>
              <w:t>维持</w:t>
            </w:r>
          </w:p>
        </w:tc>
        <w:tc>
          <w:tcPr>
            <w:tcW w:w="51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结果</w:t>
            </w:r>
          </w:p>
          <w:p>
            <w:pPr>
              <w:widowControl/>
              <w:jc w:val="center"/>
            </w:pPr>
            <w:r>
              <w:rPr>
                <w:rFonts w:hint="eastAsia" w:ascii="宋体" w:hAnsi="宋体" w:cs="宋体"/>
                <w:kern w:val="0"/>
                <w:sz w:val="20"/>
                <w:szCs w:val="20"/>
              </w:rPr>
              <w:t>纠正</w:t>
            </w:r>
          </w:p>
        </w:tc>
        <w:tc>
          <w:tcPr>
            <w:tcW w:w="5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其他</w:t>
            </w:r>
          </w:p>
          <w:p>
            <w:pPr>
              <w:widowControl/>
              <w:jc w:val="center"/>
            </w:pPr>
            <w:r>
              <w:rPr>
                <w:rFonts w:hint="eastAsia" w:ascii="宋体" w:hAnsi="宋体" w:cs="宋体"/>
                <w:kern w:val="0"/>
                <w:sz w:val="20"/>
                <w:szCs w:val="20"/>
              </w:rPr>
              <w:t>结果</w:t>
            </w:r>
          </w:p>
        </w:tc>
        <w:tc>
          <w:tcPr>
            <w:tcW w:w="5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尚未</w:t>
            </w:r>
          </w:p>
          <w:p>
            <w:pPr>
              <w:widowControl/>
              <w:jc w:val="center"/>
            </w:pPr>
            <w:r>
              <w:rPr>
                <w:rFonts w:hint="eastAsia" w:ascii="宋体" w:hAnsi="宋体" w:cs="宋体"/>
                <w:kern w:val="0"/>
                <w:sz w:val="20"/>
                <w:szCs w:val="20"/>
              </w:rPr>
              <w:t>审结</w:t>
            </w:r>
          </w:p>
        </w:tc>
        <w:tc>
          <w:tcPr>
            <w:tcW w:w="5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总计</w:t>
            </w:r>
          </w:p>
        </w:tc>
        <w:tc>
          <w:tcPr>
            <w:tcW w:w="5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结果</w:t>
            </w:r>
          </w:p>
          <w:p>
            <w:pPr>
              <w:widowControl/>
              <w:jc w:val="center"/>
            </w:pPr>
            <w:r>
              <w:rPr>
                <w:rFonts w:hint="eastAsia" w:ascii="宋体" w:hAnsi="宋体" w:cs="宋体"/>
                <w:kern w:val="0"/>
                <w:sz w:val="20"/>
                <w:szCs w:val="20"/>
              </w:rPr>
              <w:t>维持</w:t>
            </w:r>
          </w:p>
        </w:tc>
        <w:tc>
          <w:tcPr>
            <w:tcW w:w="5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结果</w:t>
            </w:r>
          </w:p>
          <w:p>
            <w:pPr>
              <w:widowControl/>
              <w:jc w:val="center"/>
            </w:pPr>
            <w:r>
              <w:rPr>
                <w:rFonts w:hint="eastAsia" w:ascii="宋体" w:hAnsi="宋体" w:cs="宋体"/>
                <w:kern w:val="0"/>
                <w:sz w:val="20"/>
                <w:szCs w:val="20"/>
              </w:rPr>
              <w:t>纠正</w:t>
            </w:r>
          </w:p>
        </w:tc>
        <w:tc>
          <w:tcPr>
            <w:tcW w:w="5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w:t>
            </w:r>
          </w:p>
          <w:p>
            <w:pPr>
              <w:widowControl/>
              <w:jc w:val="center"/>
            </w:pPr>
            <w:r>
              <w:rPr>
                <w:rFonts w:hint="eastAsia" w:ascii="宋体" w:hAnsi="宋体" w:cs="宋体"/>
                <w:color w:val="000000"/>
                <w:kern w:val="0"/>
                <w:sz w:val="20"/>
                <w:szCs w:val="20"/>
              </w:rPr>
              <w:t>结果</w:t>
            </w:r>
          </w:p>
        </w:tc>
        <w:tc>
          <w:tcPr>
            <w:tcW w:w="5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尚未</w:t>
            </w:r>
          </w:p>
          <w:p>
            <w:pPr>
              <w:widowControl/>
              <w:jc w:val="center"/>
            </w:pPr>
            <w:r>
              <w:rPr>
                <w:rFonts w:hint="eastAsia" w:ascii="宋体" w:hAnsi="宋体" w:cs="宋体"/>
                <w:kern w:val="0"/>
                <w:sz w:val="20"/>
                <w:szCs w:val="20"/>
              </w:rPr>
              <w:t>审结</w:t>
            </w:r>
          </w:p>
        </w:tc>
        <w:tc>
          <w:tcPr>
            <w:tcW w:w="52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8" w:hRule="atLeast"/>
          <w:jc w:val="center"/>
        </w:trPr>
        <w:tc>
          <w:tcPr>
            <w:tcW w:w="51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51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51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51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52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51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51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52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52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52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52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52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52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52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525"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ascii="宋体"/>
                <w:sz w:val="24"/>
              </w:rPr>
            </w:pPr>
            <w:r>
              <w:rPr>
                <w:rFonts w:hint="eastAsia" w:ascii="宋体"/>
                <w:sz w:val="24"/>
              </w:rPr>
              <w:t>0</w:t>
            </w:r>
          </w:p>
        </w:tc>
      </w:tr>
    </w:tbl>
    <w:p>
      <w:pPr>
        <w:spacing w:line="660" w:lineRule="exact"/>
        <w:ind w:firstLine="64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五、存在的主要问题及改进情况</w:t>
      </w:r>
    </w:p>
    <w:p>
      <w:pPr>
        <w:spacing w:line="6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存在领导简介、机构简介、内设机构、行政审批流程图等模块未及时更新的问题，已整改落实。</w:t>
      </w:r>
    </w:p>
    <w:p>
      <w:pPr>
        <w:spacing w:line="660" w:lineRule="exact"/>
        <w:ind w:firstLine="64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六、其他需要报告的事项</w:t>
      </w:r>
    </w:p>
    <w:p>
      <w:pPr>
        <w:spacing w:line="660" w:lineRule="exact"/>
        <w:ind w:firstLine="640" w:firstLineChars="200"/>
        <w:rPr>
          <w:rFonts w:ascii="华文仿宋" w:hAnsi="华文仿宋" w:eastAsia="华文仿宋"/>
          <w:color w:val="000000" w:themeColor="text1"/>
          <w:sz w:val="32"/>
          <w:szCs w:val="32"/>
        </w:rPr>
      </w:pPr>
      <w:r>
        <w:rPr>
          <w:rFonts w:ascii="华文仿宋" w:hAnsi="华文仿宋" w:eastAsia="华文仿宋"/>
          <w:color w:val="000000" w:themeColor="text1"/>
          <w:sz w:val="32"/>
          <w:szCs w:val="32"/>
        </w:rPr>
        <w:t>1.本年度收取信息处理费情况</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按照《国务院办公厅关于印发</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〈政府信息公开信息处理费管理办法〉的通知》（国办函〔2020〕109号）规定的按件、按量收费标准，本年度没有产生信息公开处理费</w:t>
      </w:r>
      <w:r>
        <w:rPr>
          <w:rFonts w:hint="eastAsia" w:ascii="华文仿宋" w:hAnsi="华文仿宋" w:eastAsia="华文仿宋"/>
          <w:color w:val="000000" w:themeColor="text1"/>
          <w:sz w:val="32"/>
          <w:szCs w:val="32"/>
        </w:rPr>
        <w:t>。</w:t>
      </w:r>
    </w:p>
    <w:p>
      <w:pPr>
        <w:spacing w:line="660" w:lineRule="exact"/>
        <w:ind w:firstLine="640" w:firstLineChars="200"/>
        <w:rPr>
          <w:rFonts w:ascii="华文仿宋" w:hAnsi="华文仿宋" w:eastAsia="华文仿宋"/>
          <w:color w:val="000000" w:themeColor="text1"/>
          <w:sz w:val="32"/>
          <w:szCs w:val="32"/>
        </w:rPr>
      </w:pPr>
    </w:p>
    <w:p>
      <w:pPr>
        <w:spacing w:line="660" w:lineRule="exact"/>
        <w:ind w:firstLine="640" w:firstLineChars="200"/>
        <w:rPr>
          <w:rFonts w:ascii="华文仿宋" w:hAnsi="华文仿宋" w:eastAsia="华文仿宋"/>
          <w:color w:val="000000" w:themeColor="text1"/>
          <w:sz w:val="32"/>
          <w:szCs w:val="32"/>
        </w:rPr>
      </w:pPr>
    </w:p>
    <w:p>
      <w:pPr>
        <w:spacing w:line="660" w:lineRule="exact"/>
        <w:jc w:val="right"/>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寿县农业机械事务管理中心</w:t>
      </w:r>
    </w:p>
    <w:p>
      <w:pPr>
        <w:spacing w:line="660" w:lineRule="exact"/>
        <w:jc w:val="right"/>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2022年1月20日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6DE1"/>
    <w:rsid w:val="000C7FB2"/>
    <w:rsid w:val="00135D49"/>
    <w:rsid w:val="001B51DF"/>
    <w:rsid w:val="001E353F"/>
    <w:rsid w:val="00252CA5"/>
    <w:rsid w:val="002A1FD7"/>
    <w:rsid w:val="002B2473"/>
    <w:rsid w:val="0041045F"/>
    <w:rsid w:val="00476DE1"/>
    <w:rsid w:val="00491DE5"/>
    <w:rsid w:val="004F7F41"/>
    <w:rsid w:val="005A0A61"/>
    <w:rsid w:val="0061458E"/>
    <w:rsid w:val="00635A42"/>
    <w:rsid w:val="006A24A5"/>
    <w:rsid w:val="006C3A50"/>
    <w:rsid w:val="00744037"/>
    <w:rsid w:val="0074679D"/>
    <w:rsid w:val="009A0132"/>
    <w:rsid w:val="00A755B7"/>
    <w:rsid w:val="00B30584"/>
    <w:rsid w:val="00B710A1"/>
    <w:rsid w:val="00B83602"/>
    <w:rsid w:val="00BF66D5"/>
    <w:rsid w:val="00CF6FB6"/>
    <w:rsid w:val="00D14A47"/>
    <w:rsid w:val="00DB0EAF"/>
    <w:rsid w:val="00E6336D"/>
    <w:rsid w:val="00E75DA5"/>
    <w:rsid w:val="00EA50CC"/>
    <w:rsid w:val="00ED75F4"/>
    <w:rsid w:val="00EF2B70"/>
    <w:rsid w:val="00F86F7B"/>
    <w:rsid w:val="00FA458B"/>
    <w:rsid w:val="00FE6526"/>
    <w:rsid w:val="69985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15"/>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476</Words>
  <Characters>2717</Characters>
  <Lines>22</Lines>
  <Paragraphs>6</Paragraphs>
  <TotalTime>182</TotalTime>
  <ScaleCrop>false</ScaleCrop>
  <LinksUpToDate>false</LinksUpToDate>
  <CharactersWithSpaces>3187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2022-01-18T07:49:00Z</dcterms:created>
  <dc:creator>xb21cn</dc:creator>
  <cp:lastModifiedBy>惟，简</cp:lastModifiedBy>
  <dcterms:modified xsi:type="dcterms:W3CDTF">2022-01-29T08:40:41Z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18451BC953C341EDA6BD4294B2F84BB1</vt:lpwstr>
  </property>
</Properties>
</file>