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line="440" w:lineRule="exact"/>
        <w:rPr>
          <w:rFonts w:ascii="Times New Roman" w:hAnsi="Times New Roman" w:cs="Times New Roman"/>
          <w:sz w:val="20"/>
        </w:rPr>
      </w:pPr>
    </w:p>
    <w:p>
      <w:pPr>
        <w:pStyle w:val="15"/>
        <w:spacing w:line="440" w:lineRule="exact"/>
        <w:rPr>
          <w:rFonts w:ascii="Times New Roman" w:hAnsi="Times New Roman" w:cs="Times New Roman"/>
          <w:sz w:val="20"/>
        </w:rPr>
      </w:pPr>
    </w:p>
    <w:p>
      <w:pPr>
        <w:pStyle w:val="15"/>
        <w:spacing w:line="440" w:lineRule="exact"/>
        <w:rPr>
          <w:rFonts w:ascii="Times New Roman" w:hAnsi="Times New Roman" w:cs="Times New Roman"/>
          <w:sz w:val="20"/>
        </w:rPr>
      </w:pPr>
    </w:p>
    <w:p>
      <w:pPr>
        <w:pStyle w:val="15"/>
        <w:spacing w:line="440" w:lineRule="exact"/>
        <w:rPr>
          <w:rFonts w:ascii="Times New Roman" w:hAnsi="Times New Roman" w:cs="Times New Roman"/>
          <w:sz w:val="20"/>
        </w:rPr>
      </w:pPr>
    </w:p>
    <w:p>
      <w:pPr>
        <w:autoSpaceDE/>
        <w:autoSpaceDN/>
        <w:adjustRightInd w:val="0"/>
        <w:snapToGrid w:val="0"/>
        <w:jc w:val="center"/>
        <w:outlineLvl w:val="0"/>
        <w:rPr>
          <w:rFonts w:ascii="Times New Roman" w:hAnsi="Times New Roman" w:eastAsia="方正小标宋_GBK"/>
          <w:bCs/>
          <w:kern w:val="2"/>
          <w:sz w:val="72"/>
          <w:szCs w:val="72"/>
          <w:lang w:val="en-US" w:bidi="ar-SA"/>
        </w:rPr>
      </w:pPr>
      <w:bookmarkStart w:id="0" w:name="_Toc107413251"/>
      <w:bookmarkStart w:id="1" w:name="_Toc112488135"/>
      <w:r>
        <w:rPr>
          <w:rFonts w:ascii="Times New Roman" w:hAnsi="Times New Roman" w:eastAsia="方正小标宋_GBK"/>
          <w:bCs/>
          <w:kern w:val="2"/>
          <w:sz w:val="72"/>
          <w:szCs w:val="72"/>
          <w:lang w:val="en-US" w:bidi="ar-SA"/>
        </w:rPr>
        <w:t>建设项目环境影响报告表</w:t>
      </w:r>
      <w:bookmarkEnd w:id="0"/>
      <w:bookmarkEnd w:id="1"/>
    </w:p>
    <w:p>
      <w:pPr>
        <w:autoSpaceDE/>
        <w:autoSpaceDN/>
        <w:adjustRightInd w:val="0"/>
        <w:snapToGrid w:val="0"/>
        <w:spacing w:before="192" w:beforeLines="80" w:line="440" w:lineRule="exact"/>
        <w:jc w:val="center"/>
        <w:rPr>
          <w:rFonts w:ascii="Times New Roman" w:hAnsi="Times New Roman" w:eastAsia="楷体_GB2312"/>
          <w:bCs/>
          <w:kern w:val="2"/>
          <w:sz w:val="48"/>
          <w:szCs w:val="48"/>
          <w:lang w:val="en-US" w:bidi="ar-SA"/>
        </w:rPr>
      </w:pPr>
      <w:r>
        <w:rPr>
          <w:rFonts w:ascii="Times New Roman" w:hAnsi="Times New Roman" w:eastAsia="楷体_GB2312"/>
          <w:bCs/>
          <w:kern w:val="2"/>
          <w:sz w:val="48"/>
          <w:szCs w:val="48"/>
          <w:lang w:val="en-US" w:bidi="ar-SA"/>
        </w:rPr>
        <w:t>（污染影响类）</w:t>
      </w: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2"/>
          <w:szCs w:val="36"/>
        </w:rPr>
      </w:pPr>
    </w:p>
    <w:p>
      <w:pPr>
        <w:pStyle w:val="2"/>
        <w:rPr>
          <w:rFonts w:ascii="Times New Roman" w:hAnsi="Times New Roman"/>
        </w:rPr>
      </w:pPr>
    </w:p>
    <w:p>
      <w:pPr>
        <w:rPr>
          <w:rFonts w:ascii="Times New Roman" w:hAnsi="Times New Roman"/>
        </w:rPr>
      </w:pPr>
    </w:p>
    <w:p>
      <w:pPr>
        <w:autoSpaceDE/>
        <w:autoSpaceDN/>
        <w:adjustRightInd w:val="0"/>
        <w:snapToGrid w:val="0"/>
        <w:spacing w:line="360" w:lineRule="auto"/>
        <w:ind w:left="1915" w:leftChars="150" w:hanging="1600" w:hangingChars="500"/>
        <w:jc w:val="center"/>
        <w:rPr>
          <w:rFonts w:ascii="Times New Roman" w:hAnsi="Times New Roman" w:eastAsia="仿宋_GB2312"/>
          <w:kern w:val="2"/>
          <w:sz w:val="32"/>
          <w:szCs w:val="36"/>
          <w:u w:val="single"/>
          <w:lang w:val="en-US" w:bidi="ar-SA"/>
        </w:rPr>
      </w:pPr>
      <w:bookmarkStart w:id="2" w:name="_Hlk57884087"/>
      <w:r>
        <w:rPr>
          <w:rFonts w:ascii="Times New Roman" w:hAnsi="Times New Roman" w:eastAsia="仿宋_GB2312"/>
          <w:kern w:val="2"/>
          <w:sz w:val="32"/>
          <w:szCs w:val="36"/>
          <w:lang w:val="en-US" w:bidi="ar-SA"/>
        </w:rPr>
        <w:t>项目名称：</w:t>
      </w:r>
      <w:bookmarkStart w:id="3" w:name="_Hlk112933448"/>
      <w:r>
        <w:rPr>
          <w:rFonts w:ascii="Times New Roman" w:hAnsi="Times New Roman" w:eastAsia="仿宋_GB2312"/>
          <w:kern w:val="2"/>
          <w:sz w:val="32"/>
          <w:szCs w:val="36"/>
          <w:u w:val="single"/>
          <w:lang w:val="en-US" w:bidi="ar-SA"/>
        </w:rPr>
        <w:t>安徽恺卓昂智能制造科技有限公司年产400            万片3D车载、触控显示屏生产线项目</w:t>
      </w:r>
      <w:bookmarkEnd w:id="3"/>
      <w:r>
        <w:rPr>
          <w:rFonts w:ascii="Times New Roman" w:hAnsi="Times New Roman" w:eastAsia="仿宋_GB2312"/>
          <w:sz w:val="32"/>
          <w:szCs w:val="36"/>
          <w:u w:val="single"/>
        </w:rPr>
        <w:t xml:space="preserve">                               </w:t>
      </w:r>
    </w:p>
    <w:p>
      <w:pPr>
        <w:adjustRightInd w:val="0"/>
        <w:snapToGrid w:val="0"/>
        <w:spacing w:line="360" w:lineRule="auto"/>
        <w:ind w:firstLine="320" w:firstLineChars="100"/>
        <w:jc w:val="both"/>
        <w:rPr>
          <w:rFonts w:ascii="Times New Roman" w:hAnsi="Times New Roman" w:eastAsia="仿宋_GB2312"/>
          <w:sz w:val="32"/>
          <w:szCs w:val="36"/>
          <w:u w:val="single"/>
        </w:rPr>
      </w:pPr>
      <w:r>
        <w:rPr>
          <w:rFonts w:ascii="Times New Roman" w:hAnsi="Times New Roman" w:eastAsia="仿宋_GB2312"/>
          <w:sz w:val="32"/>
          <w:szCs w:val="36"/>
        </w:rPr>
        <w:t>建设单位（盖章）：</w:t>
      </w:r>
      <w:r>
        <w:rPr>
          <w:rFonts w:ascii="Times New Roman" w:hAnsi="Times New Roman" w:eastAsia="仿宋_GB2312"/>
          <w:sz w:val="32"/>
          <w:szCs w:val="36"/>
          <w:u w:val="single"/>
        </w:rPr>
        <w:t xml:space="preserve">安徽恺卓昂智能科技有限公司                  </w:t>
      </w:r>
    </w:p>
    <w:p>
      <w:pPr>
        <w:adjustRightInd w:val="0"/>
        <w:snapToGrid w:val="0"/>
        <w:spacing w:line="360" w:lineRule="auto"/>
        <w:ind w:firstLine="320" w:firstLineChars="100"/>
        <w:jc w:val="both"/>
        <w:rPr>
          <w:rFonts w:ascii="Times New Roman" w:hAnsi="Times New Roman" w:eastAsia="仿宋_GB2312"/>
          <w:sz w:val="32"/>
          <w:szCs w:val="36"/>
          <w:u w:val="single"/>
        </w:rPr>
      </w:pPr>
      <w:r>
        <w:rPr>
          <w:rFonts w:ascii="Times New Roman" w:hAnsi="Times New Roman" w:eastAsia="仿宋_GB2312"/>
          <w:sz w:val="32"/>
          <w:szCs w:val="36"/>
        </w:rPr>
        <w:t>编制日期：</w:t>
      </w:r>
      <w:r>
        <w:rPr>
          <w:rFonts w:ascii="Times New Roman" w:hAnsi="Times New Roman" w:eastAsia="仿宋_GB2312"/>
          <w:sz w:val="32"/>
          <w:szCs w:val="36"/>
          <w:u w:val="single"/>
        </w:rPr>
        <w:t xml:space="preserve">                2022年9月                                                        </w:t>
      </w:r>
    </w:p>
    <w:p>
      <w:pPr>
        <w:adjustRightInd w:val="0"/>
        <w:snapToGrid w:val="0"/>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p>
      <w:pPr>
        <w:adjustRightInd w:val="0"/>
        <w:snapToGrid w:val="0"/>
        <w:spacing w:line="440" w:lineRule="exact"/>
        <w:ind w:firstLine="1040"/>
        <w:rPr>
          <w:rFonts w:ascii="Times New Roman" w:hAnsi="Times New Roman"/>
          <w:sz w:val="36"/>
          <w:szCs w:val="36"/>
        </w:rPr>
      </w:pPr>
    </w:p>
    <w:bookmarkEnd w:id="2"/>
    <w:p>
      <w:pPr>
        <w:autoSpaceDE/>
        <w:autoSpaceDN/>
        <w:adjustRightInd w:val="0"/>
        <w:snapToGrid w:val="0"/>
        <w:spacing w:line="440" w:lineRule="exact"/>
        <w:jc w:val="center"/>
        <w:rPr>
          <w:rFonts w:ascii="Times New Roman" w:hAnsi="Times New Roman" w:eastAsia="楷体_GB2312"/>
          <w:kern w:val="2"/>
          <w:sz w:val="36"/>
          <w:szCs w:val="36"/>
          <w:lang w:val="en-US" w:bidi="ar-SA"/>
        </w:rPr>
      </w:pPr>
      <w:r>
        <w:rPr>
          <w:rFonts w:ascii="Times New Roman" w:hAnsi="Times New Roman" w:eastAsia="楷体_GB2312"/>
          <w:kern w:val="2"/>
          <w:sz w:val="36"/>
          <w:szCs w:val="36"/>
          <w:lang w:val="en-US" w:bidi="ar-SA"/>
        </w:rPr>
        <w:t>中华人民共和国生态环境部制</w:t>
      </w:r>
    </w:p>
    <w:p>
      <w:pPr>
        <w:spacing w:line="440" w:lineRule="exact"/>
        <w:jc w:val="center"/>
        <w:rPr>
          <w:rFonts w:ascii="Times New Roman" w:hAnsi="Times New Roman"/>
          <w:b/>
          <w:bCs/>
          <w:sz w:val="56"/>
          <w:szCs w:val="20"/>
        </w:rPr>
      </w:pPr>
    </w:p>
    <w:p>
      <w:pPr>
        <w:pStyle w:val="31"/>
        <w:rPr>
          <w:rFonts w:ascii="Times New Roman" w:hAnsi="Times New Roman"/>
        </w:rPr>
      </w:pPr>
    </w:p>
    <w:p>
      <w:pPr>
        <w:pStyle w:val="31"/>
        <w:rPr>
          <w:rFonts w:ascii="Times New Roman" w:hAnsi="Times New Roman"/>
        </w:rPr>
      </w:pPr>
    </w:p>
    <w:p>
      <w:pPr>
        <w:pStyle w:val="31"/>
        <w:rPr>
          <w:rFonts w:ascii="Times New Roman" w:hAnsi="Times New Roman"/>
        </w:rPr>
      </w:pPr>
      <w:r>
        <w:rPr>
          <w:rFonts w:ascii="Times New Roman" w:hAnsi="Times New Roman"/>
        </w:rPr>
        <w:t>目录</w:t>
      </w:r>
    </w:p>
    <w:p>
      <w:pPr>
        <w:pStyle w:val="31"/>
        <w:spacing w:line="360" w:lineRule="auto"/>
        <w:rPr>
          <w:rFonts w:ascii="Times New Roman" w:hAnsi="Times New Roman"/>
          <w:kern w:val="2"/>
          <w:sz w:val="24"/>
          <w:szCs w:val="24"/>
          <w:lang w:bidi="ar-SA"/>
        </w:rPr>
      </w:pPr>
      <w:r>
        <w:rPr>
          <w:rFonts w:ascii="Times New Roman" w:hAnsi="Times New Roman"/>
        </w:rPr>
        <w:fldChar w:fldCharType="begin"/>
      </w:r>
      <w:r>
        <w:rPr>
          <w:rFonts w:ascii="Times New Roman" w:hAnsi="Times New Roman"/>
        </w:rPr>
        <w:instrText xml:space="preserve"> TOC \o "1-1" \h \z \u </w:instrText>
      </w:r>
      <w:r>
        <w:rPr>
          <w:rFonts w:ascii="Times New Roman" w:hAnsi="Times New Roman"/>
        </w:rPr>
        <w:fldChar w:fldCharType="separate"/>
      </w:r>
      <w:r>
        <w:fldChar w:fldCharType="begin"/>
      </w:r>
      <w:r>
        <w:instrText xml:space="preserve"> HYPERLINK \l "_Toc112488136" </w:instrText>
      </w:r>
      <w:r>
        <w:fldChar w:fldCharType="separate"/>
      </w:r>
      <w:r>
        <w:rPr>
          <w:rStyle w:val="49"/>
          <w:rFonts w:ascii="Times New Roman" w:hAnsi="Times New Roman"/>
          <w:b w:val="0"/>
          <w:bCs w:val="0"/>
          <w:snapToGrid w:val="0"/>
          <w:color w:val="auto"/>
          <w:sz w:val="24"/>
          <w:szCs w:val="24"/>
        </w:rPr>
        <w:t>一、建设项目基本情况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_Toc112488136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"_Toc112488137" </w:instrText>
      </w:r>
      <w:r>
        <w:fldChar w:fldCharType="separate"/>
      </w:r>
      <w:r>
        <w:rPr>
          <w:rStyle w:val="49"/>
          <w:rFonts w:ascii="Times New Roman" w:hAnsi="Times New Roman"/>
          <w:b w:val="0"/>
          <w:bCs w:val="0"/>
          <w:snapToGrid w:val="0"/>
          <w:color w:val="auto"/>
          <w:sz w:val="24"/>
          <w:szCs w:val="24"/>
        </w:rPr>
        <w:t>二、建设项目工程分析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_Toc112488137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"_Toc112488138" </w:instrText>
      </w:r>
      <w:r>
        <w:fldChar w:fldCharType="separate"/>
      </w:r>
      <w:r>
        <w:rPr>
          <w:rStyle w:val="49"/>
          <w:rFonts w:ascii="Times New Roman" w:hAnsi="Times New Roman"/>
          <w:b w:val="0"/>
          <w:bCs w:val="0"/>
          <w:snapToGrid w:val="0"/>
          <w:color w:val="auto"/>
          <w:sz w:val="24"/>
          <w:szCs w:val="24"/>
        </w:rPr>
        <w:t>三、区域环境质量现状、环境保护目标及评价标准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_Toc112488138 \h </w:instrText>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"_Toc112488139" </w:instrText>
      </w:r>
      <w:r>
        <w:fldChar w:fldCharType="separate"/>
      </w:r>
      <w:r>
        <w:rPr>
          <w:rStyle w:val="49"/>
          <w:rFonts w:ascii="Times New Roman" w:hAnsi="Times New Roman"/>
          <w:b w:val="0"/>
          <w:bCs w:val="0"/>
          <w:snapToGrid w:val="0"/>
          <w:color w:val="auto"/>
          <w:sz w:val="24"/>
          <w:szCs w:val="24"/>
        </w:rPr>
        <w:t>四、主要环境影响和保护措施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_Toc112488139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"_Toc112488140" </w:instrText>
      </w:r>
      <w:r>
        <w:fldChar w:fldCharType="separate"/>
      </w:r>
      <w:r>
        <w:rPr>
          <w:rStyle w:val="49"/>
          <w:rFonts w:ascii="Times New Roman" w:hAnsi="Times New Roman"/>
          <w:b w:val="0"/>
          <w:bCs w:val="0"/>
          <w:snapToGrid w:val="0"/>
          <w:color w:val="auto"/>
          <w:sz w:val="24"/>
          <w:szCs w:val="24"/>
        </w:rPr>
        <w:t>五、环境保护措施监督检查清单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_Toc112488140 \h </w:instrText>
      </w:r>
      <w:r>
        <w:rPr>
          <w:rFonts w:ascii="Times New Roman" w:hAnsi="Times New Roman"/>
          <w:sz w:val="24"/>
          <w:szCs w:val="24"/>
        </w:rPr>
        <w:fldChar w:fldCharType="separate"/>
      </w:r>
      <w:r>
        <w:rPr>
          <w:rFonts w:ascii="Times New Roman" w:hAnsi="Times New Roman"/>
          <w:sz w:val="24"/>
          <w:szCs w:val="24"/>
        </w:rPr>
        <w:t>84</w:t>
      </w:r>
      <w:r>
        <w:rPr>
          <w:rFonts w:ascii="Times New Roman" w:hAnsi="Times New Roman"/>
          <w:sz w:val="24"/>
          <w:szCs w:val="24"/>
        </w:rPr>
        <w:fldChar w:fldCharType="end"/>
      </w:r>
      <w:r>
        <w:rPr>
          <w:rFonts w:ascii="Times New Roman" w:hAnsi="Times New Roman"/>
          <w:sz w:val="24"/>
          <w:szCs w:val="24"/>
        </w:rPr>
        <w:fldChar w:fldCharType="end"/>
      </w:r>
    </w:p>
    <w:p>
      <w:pPr>
        <w:pStyle w:val="31"/>
        <w:spacing w:line="360" w:lineRule="auto"/>
        <w:rPr>
          <w:rFonts w:ascii="Times New Roman" w:hAnsi="Times New Roman"/>
          <w:kern w:val="2"/>
          <w:sz w:val="24"/>
          <w:szCs w:val="24"/>
          <w:lang w:bidi="ar-SA"/>
        </w:rPr>
      </w:pPr>
      <w:r>
        <w:fldChar w:fldCharType="begin"/>
      </w:r>
      <w:r>
        <w:instrText xml:space="preserve"> HYPERLINK \l "_Toc112488141" </w:instrText>
      </w:r>
      <w:r>
        <w:fldChar w:fldCharType="separate"/>
      </w:r>
      <w:r>
        <w:rPr>
          <w:rStyle w:val="49"/>
          <w:rFonts w:ascii="Times New Roman" w:hAnsi="Times New Roman"/>
          <w:b w:val="0"/>
          <w:bCs w:val="0"/>
          <w:snapToGrid w:val="0"/>
          <w:color w:val="auto"/>
          <w:sz w:val="24"/>
          <w:szCs w:val="24"/>
        </w:rPr>
        <w:t>六、结论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_Toc112488141 \h </w:instrText>
      </w:r>
      <w:r>
        <w:rPr>
          <w:rFonts w:ascii="Times New Roman" w:hAnsi="Times New Roman"/>
          <w:sz w:val="24"/>
          <w:szCs w:val="24"/>
        </w:rPr>
        <w:fldChar w:fldCharType="separate"/>
      </w:r>
      <w:r>
        <w:rPr>
          <w:rFonts w:ascii="Times New Roman" w:hAnsi="Times New Roman"/>
          <w:sz w:val="24"/>
          <w:szCs w:val="24"/>
        </w:rPr>
        <w:t>87</w:t>
      </w:r>
      <w:r>
        <w:rPr>
          <w:rFonts w:ascii="Times New Roman" w:hAnsi="Times New Roman"/>
          <w:sz w:val="24"/>
          <w:szCs w:val="24"/>
        </w:rPr>
        <w:fldChar w:fldCharType="end"/>
      </w:r>
      <w:r>
        <w:rPr>
          <w:rFonts w:ascii="Times New Roman" w:hAnsi="Times New Roman"/>
          <w:sz w:val="24"/>
          <w:szCs w:val="24"/>
        </w:rPr>
        <w:fldChar w:fldCharType="end"/>
      </w:r>
    </w:p>
    <w:p>
      <w:pPr>
        <w:spacing w:line="440" w:lineRule="exact"/>
        <w:rPr>
          <w:rFonts w:ascii="Times New Roman" w:hAnsi="Times New Roman"/>
          <w:sz w:val="36"/>
          <w:lang w:val="en-US"/>
        </w:rPr>
      </w:pPr>
      <w:r>
        <w:rPr>
          <w:rFonts w:ascii="Times New Roman" w:hAnsi="Times New Roman"/>
          <w:sz w:val="36"/>
          <w:lang w:val="en-US"/>
        </w:rPr>
        <w:fldChar w:fldCharType="end"/>
      </w:r>
    </w:p>
    <w:p>
      <w:pPr>
        <w:spacing w:line="440" w:lineRule="exact"/>
        <w:rPr>
          <w:rFonts w:ascii="Times New Roman" w:hAnsi="Times New Roman"/>
          <w:b/>
          <w:bCs/>
        </w:rPr>
      </w:pPr>
      <w:r>
        <w:rPr>
          <w:rFonts w:ascii="Times New Roman" w:hAnsi="Times New Roman"/>
          <w:b/>
          <w:bCs/>
          <w:sz w:val="24"/>
          <w:szCs w:val="24"/>
        </w:rPr>
        <w:t>附图：</w:t>
      </w:r>
    </w:p>
    <w:p>
      <w:pPr>
        <w:spacing w:line="360" w:lineRule="auto"/>
        <w:ind w:firstLine="480" w:firstLineChars="200"/>
        <w:rPr>
          <w:rFonts w:ascii="Times New Roman" w:hAnsi="Times New Roman"/>
          <w:sz w:val="24"/>
        </w:rPr>
      </w:pPr>
      <w:bookmarkStart w:id="4" w:name="_Toc30732_WPSOffice_Level1"/>
      <w:bookmarkStart w:id="5" w:name="_Toc20169"/>
      <w:bookmarkStart w:id="6" w:name="_Toc19299"/>
      <w:r>
        <w:rPr>
          <w:rFonts w:ascii="Times New Roman" w:hAnsi="Times New Roman"/>
          <w:sz w:val="24"/>
        </w:rPr>
        <w:t>附图1：项目地理位置图</w:t>
      </w:r>
      <w:bookmarkEnd w:id="4"/>
      <w:bookmarkEnd w:id="5"/>
      <w:bookmarkEnd w:id="6"/>
    </w:p>
    <w:p>
      <w:pPr>
        <w:spacing w:line="360" w:lineRule="auto"/>
        <w:ind w:firstLine="480" w:firstLineChars="200"/>
        <w:rPr>
          <w:rFonts w:ascii="Times New Roman" w:hAnsi="Times New Roman"/>
          <w:sz w:val="24"/>
        </w:rPr>
      </w:pPr>
      <w:bookmarkStart w:id="7" w:name="_Toc23532"/>
      <w:bookmarkStart w:id="8" w:name="_Toc32253"/>
      <w:bookmarkStart w:id="9" w:name="_Toc20462_WPSOffice_Level1"/>
      <w:r>
        <w:rPr>
          <w:rFonts w:ascii="Times New Roman" w:hAnsi="Times New Roman"/>
          <w:sz w:val="24"/>
        </w:rPr>
        <w:t>附图2：</w:t>
      </w:r>
      <w:bookmarkEnd w:id="7"/>
      <w:r>
        <w:rPr>
          <w:rFonts w:ascii="Times New Roman" w:hAnsi="Times New Roman"/>
          <w:sz w:val="24"/>
        </w:rPr>
        <w:t>厂区平面布置图</w:t>
      </w:r>
    </w:p>
    <w:bookmarkEnd w:id="8"/>
    <w:bookmarkEnd w:id="9"/>
    <w:p>
      <w:pPr>
        <w:spacing w:line="360" w:lineRule="auto"/>
        <w:ind w:firstLine="480" w:firstLineChars="200"/>
        <w:rPr>
          <w:rFonts w:ascii="Times New Roman" w:hAnsi="Times New Roman"/>
          <w:sz w:val="24"/>
        </w:rPr>
      </w:pPr>
      <w:bookmarkStart w:id="10" w:name="_Toc28684"/>
      <w:bookmarkStart w:id="11" w:name="_Toc8383"/>
      <w:bookmarkStart w:id="12" w:name="_Toc6101"/>
      <w:bookmarkStart w:id="13" w:name="_Toc9574_WPSOffice_Level1"/>
      <w:r>
        <w:rPr>
          <w:rFonts w:ascii="Times New Roman" w:hAnsi="Times New Roman"/>
          <w:sz w:val="24"/>
        </w:rPr>
        <w:t>附图3：</w:t>
      </w:r>
      <w:bookmarkEnd w:id="10"/>
      <w:r>
        <w:rPr>
          <w:rFonts w:ascii="Times New Roman" w:hAnsi="Times New Roman"/>
          <w:sz w:val="24"/>
        </w:rPr>
        <w:t>项目环境保护目标示意图</w:t>
      </w:r>
    </w:p>
    <w:bookmarkEnd w:id="11"/>
    <w:bookmarkEnd w:id="12"/>
    <w:bookmarkEnd w:id="13"/>
    <w:p>
      <w:pPr>
        <w:spacing w:line="360" w:lineRule="auto"/>
        <w:ind w:firstLine="480" w:firstLineChars="200"/>
        <w:rPr>
          <w:rFonts w:ascii="Times New Roman" w:hAnsi="Times New Roman"/>
          <w:sz w:val="24"/>
        </w:rPr>
      </w:pPr>
      <w:bookmarkStart w:id="14" w:name="_Toc21054"/>
      <w:bookmarkStart w:id="15" w:name="_Toc27380_WPSOffice_Level1"/>
      <w:r>
        <w:rPr>
          <w:rFonts w:ascii="Times New Roman" w:hAnsi="Times New Roman"/>
          <w:sz w:val="24"/>
        </w:rPr>
        <w:t>附图4：桂集产业园总体规划图</w:t>
      </w:r>
    </w:p>
    <w:p>
      <w:pPr>
        <w:spacing w:line="360" w:lineRule="auto"/>
        <w:ind w:firstLine="480" w:firstLineChars="200"/>
        <w:rPr>
          <w:rFonts w:ascii="Times New Roman" w:hAnsi="Times New Roman"/>
          <w:sz w:val="24"/>
        </w:rPr>
      </w:pPr>
      <w:r>
        <w:rPr>
          <w:rFonts w:ascii="Times New Roman" w:hAnsi="Times New Roman"/>
          <w:sz w:val="24"/>
        </w:rPr>
        <w:t>附图5：项目生态红线图</w:t>
      </w:r>
    </w:p>
    <w:bookmarkEnd w:id="14"/>
    <w:bookmarkEnd w:id="15"/>
    <w:p>
      <w:pPr>
        <w:pStyle w:val="2"/>
        <w:spacing w:after="0" w:line="360" w:lineRule="auto"/>
        <w:ind w:left="0" w:leftChars="0" w:firstLine="480"/>
        <w:rPr>
          <w:rFonts w:ascii="Times New Roman" w:hAnsi="Times New Roman"/>
          <w:sz w:val="24"/>
        </w:rPr>
      </w:pPr>
      <w:bookmarkStart w:id="16" w:name="_Toc3377_WPSOffice_Level1"/>
      <w:bookmarkStart w:id="17" w:name="_Toc21843"/>
      <w:r>
        <w:rPr>
          <w:rFonts w:ascii="Times New Roman" w:hAnsi="Times New Roman"/>
          <w:sz w:val="24"/>
        </w:rPr>
        <w:t>附图6：项目分区防渗图</w:t>
      </w:r>
    </w:p>
    <w:bookmarkEnd w:id="16"/>
    <w:bookmarkEnd w:id="17"/>
    <w:p>
      <w:pPr>
        <w:spacing w:line="440" w:lineRule="exact"/>
        <w:rPr>
          <w:rFonts w:ascii="Times New Roman" w:hAnsi="Times New Roman"/>
          <w:b/>
          <w:sz w:val="24"/>
        </w:rPr>
      </w:pPr>
      <w:bookmarkStart w:id="18" w:name="_Toc24360"/>
      <w:r>
        <w:rPr>
          <w:rFonts w:ascii="Times New Roman" w:hAnsi="Times New Roman"/>
          <w:b/>
          <w:sz w:val="24"/>
        </w:rPr>
        <w:t>附件：</w:t>
      </w:r>
      <w:bookmarkEnd w:id="18"/>
    </w:p>
    <w:p>
      <w:pPr>
        <w:spacing w:line="440" w:lineRule="exact"/>
        <w:ind w:left="1439" w:leftChars="228" w:hanging="960" w:hangingChars="400"/>
        <w:rPr>
          <w:rFonts w:ascii="Times New Roman" w:hAnsi="Times New Roman"/>
          <w:sz w:val="24"/>
        </w:rPr>
      </w:pPr>
      <w:bookmarkStart w:id="19" w:name="_Toc20810"/>
      <w:r>
        <w:rPr>
          <w:rFonts w:ascii="Times New Roman" w:hAnsi="Times New Roman"/>
          <w:sz w:val="24"/>
        </w:rPr>
        <w:t>附件1：项目委托书</w:t>
      </w:r>
      <w:bookmarkEnd w:id="19"/>
    </w:p>
    <w:p>
      <w:pPr>
        <w:spacing w:line="440" w:lineRule="exact"/>
        <w:ind w:left="1439" w:leftChars="228" w:hanging="960" w:hangingChars="400"/>
        <w:rPr>
          <w:rFonts w:ascii="Times New Roman" w:hAnsi="Times New Roman"/>
          <w:sz w:val="24"/>
        </w:rPr>
      </w:pPr>
      <w:bookmarkStart w:id="20" w:name="_Toc5575"/>
      <w:r>
        <w:rPr>
          <w:rFonts w:ascii="Times New Roman" w:hAnsi="Times New Roman"/>
          <w:sz w:val="24"/>
        </w:rPr>
        <w:t>附件2：项目备案</w:t>
      </w:r>
      <w:bookmarkEnd w:id="20"/>
      <w:r>
        <w:rPr>
          <w:rFonts w:ascii="Times New Roman" w:hAnsi="Times New Roman"/>
          <w:sz w:val="24"/>
        </w:rPr>
        <w:t>表</w:t>
      </w:r>
    </w:p>
    <w:p>
      <w:pPr>
        <w:spacing w:line="440" w:lineRule="exact"/>
        <w:ind w:left="1439" w:leftChars="228" w:hanging="960" w:hangingChars="400"/>
        <w:rPr>
          <w:rFonts w:ascii="Times New Roman" w:hAnsi="Times New Roman"/>
          <w:sz w:val="24"/>
        </w:rPr>
      </w:pPr>
      <w:bookmarkStart w:id="21" w:name="_Toc11237"/>
      <w:r>
        <w:rPr>
          <w:rFonts w:ascii="Times New Roman" w:hAnsi="Times New Roman"/>
          <w:sz w:val="24"/>
        </w:rPr>
        <w:t>附件3：建设单位营业执照</w:t>
      </w:r>
    </w:p>
    <w:p>
      <w:pPr>
        <w:spacing w:line="440" w:lineRule="exact"/>
        <w:ind w:left="1439" w:leftChars="228" w:hanging="960" w:hangingChars="400"/>
        <w:rPr>
          <w:rFonts w:ascii="Times New Roman" w:hAnsi="Times New Roman"/>
          <w:sz w:val="24"/>
        </w:rPr>
      </w:pPr>
      <w:r>
        <w:rPr>
          <w:rFonts w:ascii="Times New Roman" w:hAnsi="Times New Roman"/>
          <w:sz w:val="24"/>
        </w:rPr>
        <w:t>附件4：</w:t>
      </w:r>
      <w:bookmarkEnd w:id="21"/>
      <w:r>
        <w:rPr>
          <w:rFonts w:ascii="Times New Roman" w:hAnsi="Times New Roman"/>
          <w:sz w:val="24"/>
        </w:rPr>
        <w:t>厂房租赁合同</w:t>
      </w:r>
    </w:p>
    <w:p>
      <w:pPr>
        <w:spacing w:line="440" w:lineRule="exact"/>
        <w:ind w:left="1439" w:leftChars="228" w:hanging="960" w:hangingChars="400"/>
        <w:rPr>
          <w:rFonts w:ascii="Times New Roman" w:hAnsi="Times New Roman"/>
          <w:sz w:val="24"/>
        </w:rPr>
      </w:pPr>
      <w:bookmarkStart w:id="22" w:name="_Toc31872"/>
      <w:r>
        <w:rPr>
          <w:rFonts w:ascii="Times New Roman" w:hAnsi="Times New Roman"/>
          <w:sz w:val="24"/>
        </w:rPr>
        <w:t>附件5：</w:t>
      </w:r>
      <w:bookmarkEnd w:id="22"/>
      <w:r>
        <w:rPr>
          <w:rFonts w:ascii="Times New Roman" w:hAnsi="Times New Roman"/>
          <w:sz w:val="24"/>
        </w:rPr>
        <w:t>化学品MSDS报告</w:t>
      </w:r>
    </w:p>
    <w:p>
      <w:pPr>
        <w:spacing w:line="440" w:lineRule="exact"/>
        <w:ind w:left="1439" w:leftChars="228" w:hanging="960" w:hangingChars="400"/>
        <w:rPr>
          <w:rFonts w:ascii="Times New Roman" w:hAnsi="Times New Roman"/>
          <w:sz w:val="24"/>
        </w:rPr>
      </w:pPr>
      <w:r>
        <w:rPr>
          <w:rFonts w:ascii="Times New Roman" w:hAnsi="Times New Roman"/>
          <w:sz w:val="24"/>
        </w:rPr>
        <w:t>附件6：面粉厂搬迁会议纪要</w:t>
      </w:r>
    </w:p>
    <w:p>
      <w:pPr>
        <w:spacing w:line="440" w:lineRule="exact"/>
        <w:ind w:left="1439" w:leftChars="228" w:hanging="960" w:hangingChars="400"/>
        <w:rPr>
          <w:rFonts w:ascii="Times New Roman" w:hAnsi="Times New Roman"/>
          <w:sz w:val="24"/>
        </w:rPr>
      </w:pPr>
      <w:bookmarkStart w:id="23" w:name="_Toc22719"/>
      <w:r>
        <w:rPr>
          <w:rFonts w:ascii="Times New Roman" w:hAnsi="Times New Roman"/>
          <w:sz w:val="24"/>
        </w:rPr>
        <w:t>附件7：</w:t>
      </w:r>
      <w:bookmarkEnd w:id="23"/>
      <w:r>
        <w:rPr>
          <w:rFonts w:ascii="Times New Roman" w:hAnsi="Times New Roman"/>
          <w:sz w:val="24"/>
        </w:rPr>
        <w:t>规划环评审查意见</w:t>
      </w:r>
    </w:p>
    <w:p>
      <w:pPr>
        <w:spacing w:line="440" w:lineRule="exact"/>
        <w:ind w:left="1439" w:leftChars="228" w:hanging="960" w:hangingChars="400"/>
        <w:rPr>
          <w:rFonts w:ascii="Times New Roman" w:hAnsi="Times New Roman"/>
          <w:sz w:val="24"/>
        </w:rPr>
      </w:pPr>
      <w:r>
        <w:rPr>
          <w:rFonts w:ascii="Times New Roman" w:hAnsi="Times New Roman"/>
          <w:sz w:val="24"/>
        </w:rPr>
        <w:t>附件8：</w:t>
      </w:r>
      <w:r>
        <w:rPr>
          <w:rFonts w:hint="eastAsia" w:ascii="Times New Roman" w:hAnsi="Times New Roman"/>
          <w:sz w:val="24"/>
        </w:rPr>
        <w:t>区域</w:t>
      </w:r>
      <w:r>
        <w:rPr>
          <w:rFonts w:ascii="Times New Roman" w:hAnsi="Times New Roman"/>
          <w:sz w:val="24"/>
        </w:rPr>
        <w:t>监测报告</w:t>
      </w:r>
    </w:p>
    <w:p>
      <w:pPr>
        <w:spacing w:line="440" w:lineRule="exact"/>
        <w:ind w:left="1439" w:leftChars="228" w:hanging="960" w:hangingChars="400"/>
        <w:rPr>
          <w:rFonts w:ascii="Times New Roman" w:hAnsi="Times New Roman"/>
          <w:sz w:val="24"/>
        </w:rPr>
      </w:pPr>
      <w:r>
        <w:rPr>
          <w:rFonts w:ascii="Times New Roman" w:hAnsi="Times New Roman"/>
          <w:sz w:val="24"/>
        </w:rPr>
        <w:t>附件9：声明确认函</w:t>
      </w:r>
    </w:p>
    <w:p>
      <w:pPr>
        <w:spacing w:line="440" w:lineRule="exact"/>
        <w:rPr>
          <w:rFonts w:ascii="Times New Roman" w:hAnsi="Times New Roman"/>
          <w:b/>
          <w:sz w:val="24"/>
        </w:rPr>
      </w:pPr>
    </w:p>
    <w:p>
      <w:pPr>
        <w:spacing w:line="440" w:lineRule="exact"/>
        <w:rPr>
          <w:rFonts w:ascii="Times New Roman" w:hAnsi="Times New Roman"/>
          <w:sz w:val="36"/>
          <w:lang w:val="en-US"/>
        </w:rPr>
        <w:sectPr>
          <w:footerReference r:id="rId3" w:type="default"/>
          <w:type w:val="continuous"/>
          <w:pgSz w:w="11910" w:h="16840"/>
          <w:pgMar w:top="1440" w:right="1800" w:bottom="1440" w:left="1800" w:header="720" w:footer="963" w:gutter="0"/>
          <w:cols w:space="720" w:num="1"/>
        </w:sectPr>
      </w:pPr>
    </w:p>
    <w:p>
      <w:pPr>
        <w:pStyle w:val="40"/>
        <w:widowControl/>
        <w:autoSpaceDE/>
        <w:autoSpaceDN/>
        <w:snapToGrid w:val="0"/>
        <w:spacing w:beforeAutospacing="0" w:afterAutospacing="0" w:line="440" w:lineRule="exact"/>
        <w:jc w:val="center"/>
        <w:outlineLvl w:val="0"/>
        <w:rPr>
          <w:rFonts w:ascii="Times New Roman" w:hAnsi="Times New Roman" w:eastAsia="黑体"/>
          <w:bCs/>
          <w:snapToGrid w:val="0"/>
          <w:sz w:val="30"/>
          <w:szCs w:val="30"/>
        </w:rPr>
      </w:pPr>
      <w:bookmarkStart w:id="24" w:name="一、建设项目基本情况"/>
      <w:bookmarkEnd w:id="24"/>
      <w:bookmarkStart w:id="25" w:name="_Toc112488136"/>
      <w:r>
        <w:rPr>
          <w:rFonts w:ascii="Times New Roman" w:hAnsi="Times New Roman" w:eastAsia="黑体"/>
          <w:bCs/>
          <w:snapToGrid w:val="0"/>
          <w:sz w:val="30"/>
          <w:szCs w:val="30"/>
        </w:rPr>
        <w:t>一、建设项目基本情况</w:t>
      </w:r>
      <w:bookmarkEnd w:id="25"/>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38"/>
        <w:gridCol w:w="3315"/>
        <w:gridCol w:w="1961"/>
        <w:gridCol w:w="32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61" w:type="dxa"/>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建设项目名称</w:t>
            </w:r>
          </w:p>
        </w:tc>
        <w:tc>
          <w:tcPr>
            <w:tcW w:w="7019" w:type="dxa"/>
            <w:gridSpan w:val="3"/>
            <w:vAlign w:val="center"/>
          </w:tcPr>
          <w:p>
            <w:pPr>
              <w:pStyle w:val="62"/>
              <w:spacing w:line="440" w:lineRule="exact"/>
              <w:jc w:val="center"/>
              <w:rPr>
                <w:rFonts w:ascii="Times New Roman" w:hAnsi="Times New Roman" w:cs="Times New Roman"/>
                <w:sz w:val="24"/>
                <w:szCs w:val="28"/>
              </w:rPr>
            </w:pPr>
            <w:bookmarkStart w:id="26" w:name="_Hlk112933519"/>
            <w:r>
              <w:rPr>
                <w:rFonts w:ascii="Times New Roman" w:hAnsi="Times New Roman" w:cs="Times New Roman"/>
                <w:sz w:val="24"/>
                <w:szCs w:val="28"/>
              </w:rPr>
              <w:t>安徽恺卓昂智能制造科技有限公司年产400万片3D车载、触控显示屏生产线项目</w:t>
            </w:r>
            <w:bookmarkEnd w:id="26"/>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1261" w:type="dxa"/>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项目代码</w:t>
            </w:r>
          </w:p>
        </w:tc>
        <w:tc>
          <w:tcPr>
            <w:tcW w:w="7019" w:type="dxa"/>
            <w:gridSpan w:val="3"/>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2107-340421-04-03-510623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1261" w:type="dxa"/>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建设单位联系人</w:t>
            </w:r>
          </w:p>
        </w:tc>
        <w:tc>
          <w:tcPr>
            <w:tcW w:w="2693" w:type="dxa"/>
            <w:vAlign w:val="center"/>
          </w:tcPr>
          <w:p>
            <w:pPr>
              <w:snapToGrid w:val="0"/>
              <w:spacing w:line="440" w:lineRule="exact"/>
              <w:jc w:val="center"/>
              <w:rPr>
                <w:rFonts w:ascii="Times New Roman" w:hAnsi="Times New Roman"/>
                <w:sz w:val="24"/>
                <w:szCs w:val="28"/>
                <w:lang w:val="en-US"/>
              </w:rPr>
            </w:pPr>
            <w:bookmarkStart w:id="27" w:name="_Hlk112933480"/>
            <w:r>
              <w:rPr>
                <w:rFonts w:ascii="Times New Roman" w:hAnsi="Times New Roman"/>
                <w:sz w:val="24"/>
                <w:szCs w:val="28"/>
                <w:lang w:val="en-US"/>
              </w:rPr>
              <w:t>王金平</w:t>
            </w:r>
            <w:bookmarkEnd w:id="27"/>
          </w:p>
        </w:tc>
        <w:tc>
          <w:tcPr>
            <w:tcW w:w="1422" w:type="dxa"/>
            <w:vAlign w:val="center"/>
          </w:tcPr>
          <w:p>
            <w:pPr>
              <w:snapToGrid w:val="0"/>
              <w:spacing w:line="440" w:lineRule="exact"/>
              <w:jc w:val="center"/>
              <w:rPr>
                <w:rFonts w:ascii="Times New Roman" w:hAnsi="Times New Roman"/>
                <w:sz w:val="24"/>
                <w:szCs w:val="28"/>
                <w:lang w:val="en-US"/>
              </w:rPr>
            </w:pPr>
            <w:r>
              <w:rPr>
                <w:rFonts w:ascii="Times New Roman" w:hAnsi="Times New Roman"/>
                <w:sz w:val="24"/>
                <w:szCs w:val="28"/>
                <w:lang w:val="en-US"/>
              </w:rPr>
              <w:t>联系方式</w:t>
            </w:r>
          </w:p>
        </w:tc>
        <w:tc>
          <w:tcPr>
            <w:tcW w:w="2904" w:type="dxa"/>
            <w:vAlign w:val="center"/>
          </w:tcPr>
          <w:p>
            <w:pPr>
              <w:snapToGrid w:val="0"/>
              <w:spacing w:line="440" w:lineRule="exact"/>
              <w:jc w:val="center"/>
              <w:rPr>
                <w:rFonts w:ascii="Times New Roman" w:hAnsi="Times New Roman"/>
                <w:sz w:val="24"/>
                <w:szCs w:val="28"/>
                <w:lang w:val="en-US"/>
              </w:rPr>
            </w:pPr>
            <w:bookmarkStart w:id="68" w:name="_GoBack"/>
            <w:bookmarkEnd w:id="68"/>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1261" w:type="dxa"/>
            <w:vAlign w:val="center"/>
          </w:tcPr>
          <w:p>
            <w:pPr>
              <w:pStyle w:val="62"/>
              <w:spacing w:line="440" w:lineRule="exact"/>
              <w:jc w:val="center"/>
              <w:rPr>
                <w:rFonts w:ascii="Times New Roman" w:hAnsi="Times New Roman" w:cs="Times New Roman"/>
                <w:sz w:val="24"/>
                <w:szCs w:val="28"/>
              </w:rPr>
            </w:pPr>
            <w:bookmarkStart w:id="28" w:name="_Hlk106629616"/>
            <w:r>
              <w:rPr>
                <w:rFonts w:ascii="Times New Roman" w:hAnsi="Times New Roman" w:cs="Times New Roman"/>
                <w:sz w:val="24"/>
                <w:szCs w:val="28"/>
              </w:rPr>
              <w:t>建设地点</w:t>
            </w:r>
          </w:p>
        </w:tc>
        <w:tc>
          <w:tcPr>
            <w:tcW w:w="7019" w:type="dxa"/>
            <w:gridSpan w:val="3"/>
            <w:vAlign w:val="center"/>
          </w:tcPr>
          <w:p>
            <w:pPr>
              <w:pStyle w:val="62"/>
              <w:spacing w:line="440" w:lineRule="exact"/>
              <w:jc w:val="center"/>
              <w:rPr>
                <w:rFonts w:ascii="Times New Roman" w:hAnsi="Times New Roman" w:cs="Times New Roman"/>
                <w:sz w:val="24"/>
                <w:szCs w:val="28"/>
              </w:rPr>
            </w:pPr>
            <w:bookmarkStart w:id="29" w:name="_Hlk112933468"/>
            <w:r>
              <w:rPr>
                <w:rFonts w:ascii="Times New Roman" w:hAnsi="Times New Roman" w:cs="Times New Roman"/>
                <w:sz w:val="24"/>
                <w:szCs w:val="28"/>
              </w:rPr>
              <w:t>淮南市凤台县凤台经济开发区桂集孵化器产业园</w:t>
            </w:r>
            <w:bookmarkEnd w:id="29"/>
          </w:p>
        </w:tc>
      </w:tr>
      <w:bookmarkEnd w:id="28"/>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1261" w:type="dxa"/>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rPr>
              <w:t>地理坐标</w:t>
            </w:r>
          </w:p>
        </w:tc>
        <w:tc>
          <w:tcPr>
            <w:tcW w:w="7019" w:type="dxa"/>
            <w:gridSpan w:val="3"/>
            <w:vAlign w:val="center"/>
          </w:tcPr>
          <w:p>
            <w:pPr>
              <w:pStyle w:val="62"/>
              <w:spacing w:line="440" w:lineRule="exact"/>
              <w:jc w:val="center"/>
              <w:rPr>
                <w:rFonts w:ascii="Times New Roman" w:hAnsi="Times New Roman" w:cs="Times New Roman"/>
                <w:sz w:val="24"/>
                <w:szCs w:val="28"/>
              </w:rPr>
            </w:pPr>
            <w:r>
              <w:rPr>
                <w:rFonts w:ascii="Times New Roman" w:hAnsi="Times New Roman" w:cs="Times New Roman"/>
                <w:sz w:val="24"/>
                <w:szCs w:val="28"/>
                <w:lang w:val="en-US"/>
              </w:rPr>
              <w:t>东经：</w:t>
            </w:r>
            <w:r>
              <w:rPr>
                <w:rFonts w:ascii="Times New Roman" w:hAnsi="Times New Roman" w:cs="Times New Roman"/>
                <w:sz w:val="24"/>
                <w:szCs w:val="28"/>
                <w:u w:val="single"/>
                <w:lang w:val="en-US"/>
              </w:rPr>
              <w:t>116</w:t>
            </w:r>
            <w:r>
              <w:rPr>
                <w:rFonts w:ascii="Times New Roman" w:hAnsi="Times New Roman" w:cs="Times New Roman"/>
                <w:sz w:val="24"/>
                <w:szCs w:val="28"/>
                <w:lang w:val="en-US"/>
              </w:rPr>
              <w:t>度</w:t>
            </w:r>
            <w:r>
              <w:rPr>
                <w:rFonts w:ascii="Times New Roman" w:hAnsi="Times New Roman" w:cs="Times New Roman"/>
                <w:sz w:val="24"/>
                <w:szCs w:val="28"/>
                <w:u w:val="single"/>
                <w:lang w:val="en-US"/>
              </w:rPr>
              <w:t>37</w:t>
            </w:r>
            <w:r>
              <w:rPr>
                <w:rFonts w:ascii="Times New Roman" w:hAnsi="Times New Roman" w:cs="Times New Roman"/>
                <w:sz w:val="24"/>
                <w:szCs w:val="28"/>
                <w:lang w:val="en-US"/>
              </w:rPr>
              <w:t>分</w:t>
            </w:r>
            <w:r>
              <w:rPr>
                <w:rFonts w:ascii="Times New Roman" w:hAnsi="Times New Roman" w:cs="Times New Roman"/>
                <w:sz w:val="24"/>
                <w:szCs w:val="28"/>
                <w:u w:val="single"/>
                <w:lang w:val="en-US"/>
              </w:rPr>
              <w:t>5.399</w:t>
            </w:r>
            <w:r>
              <w:rPr>
                <w:rFonts w:ascii="Times New Roman" w:hAnsi="Times New Roman" w:cs="Times New Roman"/>
                <w:sz w:val="24"/>
                <w:szCs w:val="28"/>
                <w:lang w:val="en-US"/>
              </w:rPr>
              <w:t>秒；北纬：</w:t>
            </w:r>
            <w:r>
              <w:rPr>
                <w:rFonts w:ascii="Times New Roman" w:hAnsi="Times New Roman" w:cs="Times New Roman"/>
                <w:sz w:val="24"/>
                <w:szCs w:val="28"/>
                <w:u w:val="single"/>
                <w:lang w:val="en-US"/>
              </w:rPr>
              <w:t>32</w:t>
            </w:r>
            <w:r>
              <w:rPr>
                <w:rFonts w:ascii="Times New Roman" w:hAnsi="Times New Roman" w:cs="Times New Roman"/>
                <w:sz w:val="24"/>
                <w:szCs w:val="28"/>
                <w:lang w:val="en-US"/>
              </w:rPr>
              <w:t>度</w:t>
            </w:r>
            <w:r>
              <w:rPr>
                <w:rFonts w:ascii="Times New Roman" w:hAnsi="Times New Roman" w:cs="Times New Roman"/>
                <w:sz w:val="24"/>
                <w:szCs w:val="28"/>
                <w:u w:val="single"/>
                <w:lang w:val="en-US"/>
              </w:rPr>
              <w:t>45</w:t>
            </w:r>
            <w:r>
              <w:rPr>
                <w:rFonts w:ascii="Times New Roman" w:hAnsi="Times New Roman" w:cs="Times New Roman"/>
                <w:sz w:val="24"/>
                <w:szCs w:val="28"/>
                <w:lang w:val="en-US"/>
              </w:rPr>
              <w:t>分</w:t>
            </w:r>
            <w:r>
              <w:rPr>
                <w:rFonts w:ascii="Times New Roman" w:hAnsi="Times New Roman" w:cs="Times New Roman"/>
                <w:sz w:val="24"/>
                <w:szCs w:val="28"/>
                <w:u w:val="single"/>
                <w:lang w:val="en-US"/>
              </w:rPr>
              <w:t>51.833</w:t>
            </w:r>
            <w:r>
              <w:rPr>
                <w:rFonts w:ascii="Times New Roman" w:hAnsi="Times New Roman" w:cs="Times New Roman"/>
                <w:sz w:val="24"/>
                <w:szCs w:val="28"/>
                <w:lang w:val="en-US"/>
              </w:rPr>
              <w:t>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4"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国民经济</w:t>
            </w:r>
          </w:p>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行业类别</w:t>
            </w:r>
          </w:p>
        </w:tc>
        <w:tc>
          <w:tcPr>
            <w:tcW w:w="2693" w:type="dxa"/>
            <w:vAlign w:val="center"/>
          </w:tcPr>
          <w:p>
            <w:pPr>
              <w:pStyle w:val="62"/>
              <w:spacing w:line="440" w:lineRule="exact"/>
              <w:jc w:val="center"/>
              <w:rPr>
                <w:rFonts w:ascii="Times New Roman" w:hAnsi="Times New Roman" w:cs="Times New Roman"/>
                <w:sz w:val="24"/>
                <w:szCs w:val="24"/>
              </w:rPr>
            </w:pPr>
            <w:r>
              <w:rPr>
                <w:rFonts w:hint="eastAsia" w:ascii="Times New Roman" w:hAnsi="Times New Roman" w:cs="Times New Roman"/>
                <w:sz w:val="24"/>
                <w:szCs w:val="24"/>
                <w:lang w:val="en-US"/>
              </w:rPr>
              <w:t>【</w:t>
            </w:r>
            <w:r>
              <w:rPr>
                <w:rFonts w:ascii="Times New Roman" w:hAnsi="Times New Roman" w:cs="Times New Roman"/>
                <w:sz w:val="24"/>
                <w:szCs w:val="24"/>
                <w:lang w:val="en-US"/>
              </w:rPr>
              <w:t>C3059】其他玻璃制品制造</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建设项目</w:t>
            </w:r>
          </w:p>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行业类别</w:t>
            </w:r>
          </w:p>
        </w:tc>
        <w:tc>
          <w:tcPr>
            <w:tcW w:w="2904" w:type="dxa"/>
            <w:vAlign w:val="center"/>
          </w:tcPr>
          <w:p>
            <w:pPr>
              <w:spacing w:line="440" w:lineRule="exact"/>
              <w:jc w:val="center"/>
              <w:rPr>
                <w:rFonts w:ascii="Times New Roman" w:hAnsi="Times New Roman"/>
                <w:sz w:val="24"/>
                <w:szCs w:val="24"/>
                <w:lang w:val="en-US"/>
              </w:rPr>
            </w:pPr>
            <w:r>
              <w:rPr>
                <w:rFonts w:hint="eastAsia" w:ascii="Times New Roman" w:hAnsi="Times New Roman"/>
                <w:sz w:val="24"/>
                <w:szCs w:val="24"/>
                <w:lang w:val="en-US"/>
              </w:rPr>
              <w:t>二十七、非金属矿物制品业</w:t>
            </w:r>
            <w:r>
              <w:rPr>
                <w:rFonts w:ascii="Times New Roman" w:hAnsi="Times New Roman"/>
                <w:sz w:val="24"/>
                <w:szCs w:val="24"/>
                <w:lang w:val="en-US"/>
              </w:rPr>
              <w:t>30-57玻璃制品制造305、特种玻璃制造；其他玻璃制造；玻璃制品制造（电加热的除外；仅切割、打磨、成型的除外）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5"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建设性质</w:t>
            </w:r>
          </w:p>
        </w:tc>
        <w:tc>
          <w:tcPr>
            <w:tcW w:w="2693" w:type="dxa"/>
            <w:vAlign w:val="center"/>
          </w:tcPr>
          <w:p>
            <w:pPr>
              <w:pStyle w:val="62"/>
              <w:spacing w:line="440" w:lineRule="exact"/>
              <w:rPr>
                <w:rFonts w:ascii="Times New Roman" w:hAnsi="Times New Roman" w:cs="Times New Roman"/>
                <w:sz w:val="24"/>
                <w:szCs w:val="24"/>
              </w:rPr>
            </w:pPr>
            <w:r>
              <w:rPr>
                <w:rFonts w:ascii="Segoe UI Symbol" w:hAnsi="Segoe UI Symbol" w:cs="Segoe UI Symbol"/>
                <w:sz w:val="24"/>
                <w:szCs w:val="24"/>
                <w:lang w:val="en-US"/>
              </w:rPr>
              <w:t>☑</w:t>
            </w:r>
            <w:r>
              <w:rPr>
                <w:rFonts w:ascii="Times New Roman" w:hAnsi="Times New Roman" w:cs="Times New Roman"/>
                <w:sz w:val="24"/>
                <w:szCs w:val="24"/>
              </w:rPr>
              <w:t>新建（迁建）</w:t>
            </w:r>
          </w:p>
          <w:p>
            <w:pPr>
              <w:pStyle w:val="62"/>
              <w:spacing w:line="440" w:lineRule="exact"/>
              <w:rPr>
                <w:rFonts w:ascii="Times New Roman" w:hAnsi="Times New Roman" w:cs="Times New Roman"/>
                <w:sz w:val="24"/>
                <w:szCs w:val="24"/>
              </w:rPr>
            </w:pPr>
            <w:r>
              <w:rPr>
                <w:rFonts w:ascii="Times New Roman" w:hAnsi="Times New Roman" w:cs="Times New Roman"/>
                <w:sz w:val="24"/>
                <w:szCs w:val="24"/>
              </w:rPr>
              <w:t>□改建</w:t>
            </w:r>
          </w:p>
          <w:p>
            <w:pPr>
              <w:pStyle w:val="62"/>
              <w:spacing w:line="440" w:lineRule="exact"/>
              <w:rPr>
                <w:rFonts w:ascii="Times New Roman" w:hAnsi="Times New Roman" w:cs="Times New Roman"/>
                <w:sz w:val="24"/>
                <w:szCs w:val="24"/>
              </w:rPr>
            </w:pPr>
            <w:r>
              <w:rPr>
                <w:rFonts w:ascii="Times New Roman" w:hAnsi="Times New Roman" w:cs="Times New Roman"/>
                <w:sz w:val="24"/>
                <w:szCs w:val="24"/>
              </w:rPr>
              <w:t>□扩建</w:t>
            </w:r>
          </w:p>
          <w:p>
            <w:pPr>
              <w:pStyle w:val="62"/>
              <w:spacing w:line="440" w:lineRule="exact"/>
              <w:rPr>
                <w:rFonts w:ascii="Times New Roman" w:hAnsi="Times New Roman" w:cs="Times New Roman"/>
                <w:sz w:val="24"/>
                <w:szCs w:val="24"/>
              </w:rPr>
            </w:pPr>
            <w:r>
              <w:rPr>
                <w:rFonts w:ascii="Times New Roman" w:hAnsi="Times New Roman" w:cs="Times New Roman"/>
                <w:sz w:val="24"/>
                <w:szCs w:val="24"/>
              </w:rPr>
              <w:t>□技术改造</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建设项目申报情形</w:t>
            </w:r>
          </w:p>
        </w:tc>
        <w:tc>
          <w:tcPr>
            <w:tcW w:w="2904" w:type="dxa"/>
            <w:vAlign w:val="center"/>
          </w:tcPr>
          <w:p>
            <w:pPr>
              <w:pStyle w:val="62"/>
              <w:spacing w:line="440" w:lineRule="exact"/>
              <w:rPr>
                <w:rFonts w:ascii="Times New Roman" w:hAnsi="Times New Roman" w:cs="Times New Roman"/>
                <w:sz w:val="24"/>
                <w:szCs w:val="24"/>
              </w:rPr>
            </w:pPr>
            <w:r>
              <w:rPr>
                <w:rFonts w:ascii="Segoe UI Symbol" w:hAnsi="Segoe UI Symbol" w:cs="Segoe UI Symbol"/>
                <w:lang w:val="en-US"/>
              </w:rPr>
              <w:t>☑</w:t>
            </w:r>
            <w:r>
              <w:rPr>
                <w:rFonts w:ascii="Times New Roman" w:hAnsi="Times New Roman" w:cs="Times New Roman"/>
                <w:sz w:val="24"/>
                <w:szCs w:val="24"/>
              </w:rPr>
              <w:t>首次申报项目</w:t>
            </w:r>
          </w:p>
          <w:p>
            <w:pPr>
              <w:pStyle w:val="62"/>
              <w:spacing w:line="440" w:lineRule="exact"/>
              <w:rPr>
                <w:rFonts w:ascii="Times New Roman" w:hAnsi="Times New Roman" w:cs="Times New Roman"/>
                <w:sz w:val="24"/>
                <w:szCs w:val="24"/>
              </w:rPr>
            </w:pPr>
            <w:r>
              <w:rPr>
                <w:rFonts w:ascii="Times New Roman" w:hAnsi="Times New Roman" w:cs="Times New Roman"/>
                <w:lang w:val="en-US"/>
              </w:rPr>
              <w:t>□</w:t>
            </w:r>
            <w:r>
              <w:rPr>
                <w:rFonts w:ascii="Times New Roman" w:hAnsi="Times New Roman" w:cs="Times New Roman"/>
                <w:sz w:val="24"/>
                <w:szCs w:val="24"/>
              </w:rPr>
              <w:t>不予批准后再次申报项目</w:t>
            </w:r>
          </w:p>
          <w:p>
            <w:pPr>
              <w:pStyle w:val="62"/>
              <w:tabs>
                <w:tab w:val="left" w:pos="198"/>
              </w:tabs>
              <w:spacing w:line="440" w:lineRule="exact"/>
              <w:rPr>
                <w:rFonts w:ascii="Times New Roman" w:hAnsi="Times New Roman" w:cs="Times New Roman"/>
                <w:sz w:val="24"/>
                <w:szCs w:val="24"/>
              </w:rPr>
            </w:pPr>
            <w:r>
              <w:rPr>
                <w:rFonts w:ascii="Times New Roman" w:hAnsi="Times New Roman" w:cs="Times New Roman"/>
                <w:lang w:val="en-US"/>
              </w:rPr>
              <w:t>□</w:t>
            </w:r>
            <w:r>
              <w:rPr>
                <w:rFonts w:ascii="Times New Roman" w:hAnsi="Times New Roman" w:cs="Times New Roman"/>
                <w:sz w:val="24"/>
                <w:szCs w:val="24"/>
              </w:rPr>
              <w:t>超五年重新审核项目</w:t>
            </w:r>
          </w:p>
          <w:p>
            <w:pPr>
              <w:pStyle w:val="62"/>
              <w:spacing w:line="440" w:lineRule="exact"/>
              <w:rPr>
                <w:rFonts w:ascii="Times New Roman" w:hAnsi="Times New Roman" w:cs="Times New Roman"/>
                <w:sz w:val="24"/>
                <w:szCs w:val="24"/>
              </w:rPr>
            </w:pPr>
            <w:r>
              <w:rPr>
                <w:rFonts w:ascii="Times New Roman" w:hAnsi="Times New Roman" w:cs="Times New Roman"/>
                <w:lang w:val="en-US"/>
              </w:rPr>
              <w:t>□</w:t>
            </w:r>
            <w:r>
              <w:rPr>
                <w:rFonts w:ascii="Times New Roman" w:hAnsi="Times New Roman" w:cs="Times New Roman"/>
                <w:sz w:val="24"/>
                <w:szCs w:val="24"/>
              </w:rPr>
              <w:t>重大变动本项目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36"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项目审批（核准/备案）部门（选填）</w:t>
            </w:r>
          </w:p>
        </w:tc>
        <w:tc>
          <w:tcPr>
            <w:tcW w:w="2693"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lang w:val="en-US"/>
              </w:rPr>
              <w:t>凤台县发展改革委</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项目审批（核准/备案）文号（选填）</w:t>
            </w:r>
          </w:p>
        </w:tc>
        <w:tc>
          <w:tcPr>
            <w:tcW w:w="2904"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8"/>
              </w:rPr>
              <w:t>2107-340421-04-03-510623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总投资</w:t>
            </w:r>
          </w:p>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（万元）</w:t>
            </w:r>
          </w:p>
        </w:tc>
        <w:tc>
          <w:tcPr>
            <w:tcW w:w="2693"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26000</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环保投资</w:t>
            </w:r>
          </w:p>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（万元）</w:t>
            </w:r>
          </w:p>
        </w:tc>
        <w:tc>
          <w:tcPr>
            <w:tcW w:w="2904" w:type="dxa"/>
            <w:vAlign w:val="center"/>
          </w:tcPr>
          <w:p>
            <w:pPr>
              <w:pStyle w:val="62"/>
              <w:tabs>
                <w:tab w:val="left" w:pos="1217"/>
              </w:tabs>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8"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环保投资占比（%）</w:t>
            </w:r>
          </w:p>
        </w:tc>
        <w:tc>
          <w:tcPr>
            <w:tcW w:w="2693"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0.37</w:t>
            </w:r>
          </w:p>
        </w:tc>
        <w:tc>
          <w:tcPr>
            <w:tcW w:w="1422"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施工工期</w:t>
            </w:r>
          </w:p>
        </w:tc>
        <w:tc>
          <w:tcPr>
            <w:tcW w:w="2904"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是否开工建设</w:t>
            </w:r>
          </w:p>
        </w:tc>
        <w:tc>
          <w:tcPr>
            <w:tcW w:w="2693" w:type="dxa"/>
            <w:vAlign w:val="center"/>
          </w:tcPr>
          <w:p>
            <w:pPr>
              <w:adjustRightInd w:val="0"/>
              <w:snapToGrid w:val="0"/>
              <w:spacing w:line="440" w:lineRule="exact"/>
              <w:rPr>
                <w:rFonts w:ascii="Times New Roman" w:hAnsi="Times New Roman"/>
                <w:sz w:val="24"/>
              </w:rPr>
            </w:pPr>
            <w:r>
              <w:rPr>
                <w:rFonts w:ascii="Times New Roman" w:hAnsi="Times New Roman"/>
                <w:sz w:val="24"/>
              </w:rPr>
              <w:sym w:font="Wingdings 2" w:char="0052"/>
            </w:r>
            <w:r>
              <w:rPr>
                <w:rFonts w:ascii="Times New Roman" w:hAnsi="Times New Roman"/>
                <w:sz w:val="24"/>
              </w:rPr>
              <w:t>否</w:t>
            </w:r>
          </w:p>
          <w:p>
            <w:pPr>
              <w:pStyle w:val="62"/>
              <w:tabs>
                <w:tab w:val="left" w:pos="198"/>
                <w:tab w:val="left" w:pos="2109"/>
              </w:tabs>
              <w:spacing w:line="440" w:lineRule="exact"/>
              <w:rPr>
                <w:rFonts w:ascii="Times New Roman" w:hAnsi="Times New Roman" w:cs="Times New Roman"/>
                <w:sz w:val="24"/>
                <w:u w:val="single"/>
              </w:rPr>
            </w:pPr>
            <w:r>
              <w:rPr>
                <w:rFonts w:ascii="Times New Roman" w:hAnsi="Times New Roman" w:cs="Times New Roman"/>
                <w:sz w:val="24"/>
              </w:rPr>
              <w:sym w:font="Wingdings 2" w:char="00A3"/>
            </w:r>
            <w:r>
              <w:rPr>
                <w:rFonts w:ascii="Times New Roman" w:hAnsi="Times New Roman" w:cs="Times New Roman"/>
                <w:sz w:val="24"/>
              </w:rPr>
              <w:t>是：</w:t>
            </w:r>
            <w:r>
              <w:rPr>
                <w:rFonts w:hint="eastAsia" w:ascii="Times New Roman" w:hAnsi="Times New Roman" w:cs="Times New Roman"/>
                <w:sz w:val="24"/>
                <w:u w:val="single"/>
              </w:rPr>
              <w:t xml:space="preserve"> </w:t>
            </w:r>
            <w:r>
              <w:rPr>
                <w:rFonts w:ascii="Times New Roman" w:hAnsi="Times New Roman" w:cs="Times New Roman"/>
                <w:sz w:val="24"/>
                <w:u w:val="single"/>
              </w:rPr>
              <w:t xml:space="preserve">                     </w:t>
            </w:r>
          </w:p>
        </w:tc>
        <w:tc>
          <w:tcPr>
            <w:tcW w:w="1422"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lang w:val="en-US"/>
              </w:rPr>
              <w:t>用地（用海）面积（m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p>
        </w:tc>
        <w:tc>
          <w:tcPr>
            <w:tcW w:w="2904" w:type="dxa"/>
            <w:vAlign w:val="center"/>
          </w:tcPr>
          <w:p>
            <w:pPr>
              <w:pStyle w:val="62"/>
              <w:spacing w:line="440" w:lineRule="exact"/>
              <w:jc w:val="center"/>
              <w:rPr>
                <w:rFonts w:ascii="Times New Roman" w:hAnsi="Times New Roman" w:cs="Times New Roman"/>
                <w:sz w:val="24"/>
                <w:szCs w:val="24"/>
                <w:lang w:val="en-US"/>
              </w:rPr>
            </w:pPr>
            <w:r>
              <w:rPr>
                <w:rFonts w:ascii="Times New Roman" w:hAnsi="Times New Roman" w:cs="Times New Roman"/>
                <w:sz w:val="24"/>
                <w:szCs w:val="24"/>
              </w:rPr>
              <w:t>60000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40"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专项评价设置情况</w:t>
            </w:r>
          </w:p>
        </w:tc>
        <w:tc>
          <w:tcPr>
            <w:tcW w:w="7019" w:type="dxa"/>
            <w:gridSpan w:val="3"/>
            <w:vAlign w:val="center"/>
          </w:tcPr>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本项目无专项评价，具体判定过程见下表。</w:t>
            </w:r>
          </w:p>
          <w:p>
            <w:pPr>
              <w:adjustRightInd w:val="0"/>
              <w:snapToGrid w:val="0"/>
              <w:spacing w:line="440" w:lineRule="exact"/>
              <w:jc w:val="center"/>
              <w:rPr>
                <w:rFonts w:ascii="Times New Roman" w:hAnsi="Times New Roman"/>
                <w:b/>
                <w:bCs/>
              </w:rPr>
            </w:pPr>
            <w:r>
              <w:rPr>
                <w:rFonts w:ascii="Times New Roman" w:hAnsi="Times New Roman"/>
                <w:b/>
                <w:bCs/>
              </w:rPr>
              <w:t>表1-1  专项评设置情况判定一览表</w:t>
            </w:r>
          </w:p>
          <w:tbl>
            <w:tblPr>
              <w:tblStyle w:val="226"/>
              <w:tblpPr w:leftFromText="180" w:rightFromText="180" w:vertAnchor="text" w:horzAnchor="page" w:tblpXSpec="center" w:tblpY="1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3018"/>
              <w:gridCol w:w="3211"/>
              <w:gridCol w:w="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Align w:val="center"/>
                </w:tcPr>
                <w:p>
                  <w:pPr>
                    <w:pStyle w:val="62"/>
                    <w:jc w:val="center"/>
                    <w:rPr>
                      <w:rFonts w:ascii="Times New Roman" w:hAnsi="Times New Roman" w:cs="Times New Roman"/>
                      <w:b/>
                    </w:rPr>
                  </w:pPr>
                  <w:r>
                    <w:rPr>
                      <w:rFonts w:ascii="Times New Roman" w:hAnsi="Times New Roman" w:cs="Times New Roman"/>
                      <w:b/>
                    </w:rPr>
                    <w:t>专项评价类别</w:t>
                  </w:r>
                </w:p>
              </w:tc>
              <w:tc>
                <w:tcPr>
                  <w:tcW w:w="1858" w:type="pct"/>
                  <w:vAlign w:val="center"/>
                </w:tcPr>
                <w:p>
                  <w:pPr>
                    <w:pStyle w:val="62"/>
                    <w:jc w:val="center"/>
                    <w:rPr>
                      <w:rFonts w:ascii="Times New Roman" w:hAnsi="Times New Roman" w:cs="Times New Roman"/>
                      <w:b/>
                    </w:rPr>
                  </w:pPr>
                  <w:r>
                    <w:rPr>
                      <w:rFonts w:ascii="Times New Roman" w:hAnsi="Times New Roman" w:cs="Times New Roman"/>
                      <w:b/>
                    </w:rPr>
                    <w:t>设置原则</w:t>
                  </w:r>
                </w:p>
              </w:tc>
              <w:tc>
                <w:tcPr>
                  <w:tcW w:w="1977" w:type="pct"/>
                  <w:vAlign w:val="center"/>
                </w:tcPr>
                <w:p>
                  <w:pPr>
                    <w:pStyle w:val="62"/>
                    <w:jc w:val="center"/>
                    <w:rPr>
                      <w:rFonts w:ascii="Times New Roman" w:hAnsi="Times New Roman" w:cs="Times New Roman"/>
                      <w:b/>
                      <w:lang w:val="en-US"/>
                    </w:rPr>
                  </w:pPr>
                  <w:r>
                    <w:rPr>
                      <w:rFonts w:ascii="Times New Roman" w:hAnsi="Times New Roman" w:cs="Times New Roman"/>
                      <w:b/>
                    </w:rPr>
                    <w:t>项目情况</w:t>
                  </w:r>
                </w:p>
              </w:tc>
              <w:tc>
                <w:tcPr>
                  <w:tcW w:w="553" w:type="pct"/>
                  <w:vAlign w:val="center"/>
                </w:tcPr>
                <w:p>
                  <w:pPr>
                    <w:pStyle w:val="62"/>
                    <w:jc w:val="center"/>
                    <w:rPr>
                      <w:rFonts w:ascii="Times New Roman" w:hAnsi="Times New Roman" w:cs="Times New Roman"/>
                      <w:b/>
                    </w:rPr>
                  </w:pPr>
                  <w:r>
                    <w:rPr>
                      <w:rFonts w:ascii="Times New Roman" w:hAnsi="Times New Roman" w:cs="Times New Roman"/>
                      <w:b/>
                    </w:rPr>
                    <w:t>设置</w:t>
                  </w:r>
                </w:p>
                <w:p>
                  <w:pPr>
                    <w:pStyle w:val="62"/>
                    <w:jc w:val="center"/>
                    <w:rPr>
                      <w:rFonts w:ascii="Times New Roman" w:hAnsi="Times New Roman" w:cs="Times New Roman"/>
                      <w:b/>
                    </w:rPr>
                  </w:pPr>
                  <w:r>
                    <w:rPr>
                      <w:rFonts w:ascii="Times New Roman" w:hAnsi="Times New Roman" w:cs="Times New Roman"/>
                      <w:b/>
                    </w:rPr>
                    <w:t>与否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Align w:val="center"/>
                </w:tcPr>
                <w:p>
                  <w:pPr>
                    <w:pStyle w:val="62"/>
                    <w:jc w:val="center"/>
                    <w:rPr>
                      <w:rFonts w:ascii="Times New Roman" w:hAnsi="Times New Roman" w:cs="Times New Roman"/>
                    </w:rPr>
                  </w:pPr>
                  <w:r>
                    <w:rPr>
                      <w:rFonts w:ascii="Times New Roman" w:hAnsi="Times New Roman" w:cs="Times New Roman"/>
                    </w:rPr>
                    <w:t>大气</w:t>
                  </w:r>
                </w:p>
              </w:tc>
              <w:tc>
                <w:tcPr>
                  <w:tcW w:w="1858" w:type="pct"/>
                  <w:vAlign w:val="center"/>
                </w:tcPr>
                <w:p>
                  <w:pPr>
                    <w:pStyle w:val="62"/>
                    <w:jc w:val="center"/>
                    <w:rPr>
                      <w:rFonts w:ascii="Times New Roman" w:hAnsi="Times New Roman" w:cs="Times New Roman"/>
                    </w:rPr>
                  </w:pPr>
                  <w:r>
                    <w:rPr>
                      <w:rFonts w:ascii="Times New Roman" w:hAnsi="Times New Roman" w:cs="Times New Roman"/>
                    </w:rPr>
                    <w:t>排放废气含有毒有害污染物二噁英、苯并[a]芘、氰化物、氯气且厂界外500米范围内有环境空气保护目标的建设项目</w:t>
                  </w:r>
                </w:p>
              </w:tc>
              <w:tc>
                <w:tcPr>
                  <w:tcW w:w="1977" w:type="pct"/>
                  <w:vAlign w:val="center"/>
                </w:tcPr>
                <w:p>
                  <w:pPr>
                    <w:pStyle w:val="62"/>
                    <w:jc w:val="center"/>
                    <w:rPr>
                      <w:rFonts w:ascii="Times New Roman" w:hAnsi="Times New Roman" w:cs="Times New Roman"/>
                      <w:bCs/>
                      <w:lang w:val="en-US"/>
                    </w:rPr>
                  </w:pPr>
                  <w:r>
                    <w:rPr>
                      <w:rFonts w:ascii="Times New Roman" w:hAnsi="Times New Roman" w:cs="Times New Roman"/>
                      <w:lang w:val="en-US"/>
                    </w:rPr>
                    <w:t>本项目</w:t>
                  </w:r>
                  <w:r>
                    <w:rPr>
                      <w:rFonts w:ascii="Times New Roman" w:hAnsi="Times New Roman" w:cs="Times New Roman"/>
                    </w:rPr>
                    <w:t>排放废气中</w:t>
                  </w:r>
                  <w:r>
                    <w:rPr>
                      <w:rFonts w:ascii="Times New Roman" w:hAnsi="Times New Roman" w:cs="Times New Roman"/>
                      <w:lang w:val="en-US"/>
                    </w:rPr>
                    <w:t>不</w:t>
                  </w:r>
                  <w:r>
                    <w:rPr>
                      <w:rFonts w:ascii="Times New Roman" w:hAnsi="Times New Roman" w:cs="Times New Roman"/>
                    </w:rPr>
                    <w:t>含有害污染物、二噁英、苯并[a]芘、氰化物、氯气等有毒有害污染物，</w:t>
                  </w:r>
                  <w:r>
                    <w:rPr>
                      <w:rFonts w:ascii="Times New Roman" w:hAnsi="Times New Roman" w:cs="Times New Roman"/>
                      <w:lang w:val="en-US"/>
                    </w:rPr>
                    <w:t>因此，无需设置大气专项</w:t>
                  </w:r>
                </w:p>
              </w:tc>
              <w:tc>
                <w:tcPr>
                  <w:tcW w:w="553" w:type="pct"/>
                  <w:vAlign w:val="center"/>
                </w:tcPr>
                <w:p>
                  <w:pPr>
                    <w:pStyle w:val="62"/>
                    <w:jc w:val="center"/>
                    <w:rPr>
                      <w:rFonts w:ascii="Times New Roman" w:hAnsi="Times New Roman" w:cs="Times New Roman"/>
                      <w:lang w:val="en-US"/>
                    </w:rPr>
                  </w:pPr>
                  <w:r>
                    <w:rPr>
                      <w:rFonts w:ascii="Times New Roman" w:hAnsi="Times New Roman" w:cs="Times New Roman"/>
                      <w:lang w:val="en-US"/>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Align w:val="center"/>
                </w:tcPr>
                <w:p>
                  <w:pPr>
                    <w:pStyle w:val="62"/>
                    <w:jc w:val="center"/>
                    <w:rPr>
                      <w:rFonts w:ascii="Times New Roman" w:hAnsi="Times New Roman" w:cs="Times New Roman"/>
                    </w:rPr>
                  </w:pPr>
                  <w:r>
                    <w:rPr>
                      <w:rFonts w:ascii="Times New Roman" w:hAnsi="Times New Roman" w:cs="Times New Roman"/>
                    </w:rPr>
                    <w:t>地表水</w:t>
                  </w:r>
                </w:p>
              </w:tc>
              <w:tc>
                <w:tcPr>
                  <w:tcW w:w="1858" w:type="pct"/>
                  <w:vAlign w:val="center"/>
                </w:tcPr>
                <w:p>
                  <w:pPr>
                    <w:pStyle w:val="62"/>
                    <w:jc w:val="center"/>
                    <w:rPr>
                      <w:rFonts w:ascii="Times New Roman" w:hAnsi="Times New Roman" w:cs="Times New Roman"/>
                      <w:bCs/>
                      <w:lang w:val="en-US"/>
                    </w:rPr>
                  </w:pPr>
                  <w:r>
                    <w:rPr>
                      <w:rFonts w:ascii="Times New Roman" w:hAnsi="Times New Roman" w:cs="Times New Roman"/>
                    </w:rPr>
                    <w:t>新增工业废水直排建设项目（槽罐车外送污水处理厂的除外）；新增废水直排的污水集中处理厂</w:t>
                  </w:r>
                </w:p>
              </w:tc>
              <w:tc>
                <w:tcPr>
                  <w:tcW w:w="1977" w:type="pct"/>
                  <w:vAlign w:val="center"/>
                </w:tcPr>
                <w:p>
                  <w:pPr>
                    <w:pStyle w:val="62"/>
                    <w:jc w:val="center"/>
                    <w:rPr>
                      <w:rFonts w:ascii="Times New Roman" w:hAnsi="Times New Roman" w:cs="Times New Roman"/>
                      <w:bCs/>
                      <w:lang w:val="en-US"/>
                    </w:rPr>
                  </w:pPr>
                  <w:r>
                    <w:rPr>
                      <w:rFonts w:ascii="Times New Roman" w:hAnsi="Times New Roman" w:cs="Times New Roman"/>
                      <w:bCs/>
                      <w:lang w:val="en-US"/>
                    </w:rPr>
                    <w:t>项目外排生活废水经化粪池预处理，生产废水经三级絮凝沉淀池处理后通过市政污水管网，进入桂集镇污水处理厂进行深度处理</w:t>
                  </w:r>
                </w:p>
              </w:tc>
              <w:tc>
                <w:tcPr>
                  <w:tcW w:w="553" w:type="pct"/>
                  <w:vAlign w:val="center"/>
                </w:tcPr>
                <w:p>
                  <w:pPr>
                    <w:pStyle w:val="62"/>
                    <w:jc w:val="center"/>
                    <w:rPr>
                      <w:rFonts w:ascii="Times New Roman" w:hAnsi="Times New Roman" w:cs="Times New Roman"/>
                      <w:bCs/>
                      <w:lang w:val="en-US"/>
                    </w:rPr>
                  </w:pPr>
                  <w:r>
                    <w:rPr>
                      <w:rFonts w:ascii="Times New Roman" w:hAnsi="Times New Roman" w:cs="Times New Roma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Align w:val="center"/>
                </w:tcPr>
                <w:p>
                  <w:pPr>
                    <w:pStyle w:val="62"/>
                    <w:jc w:val="center"/>
                    <w:rPr>
                      <w:rFonts w:ascii="Times New Roman" w:hAnsi="Times New Roman" w:cs="Times New Roman"/>
                    </w:rPr>
                  </w:pPr>
                  <w:r>
                    <w:rPr>
                      <w:rFonts w:ascii="Times New Roman" w:hAnsi="Times New Roman" w:cs="Times New Roman"/>
                    </w:rPr>
                    <w:t>环境风险</w:t>
                  </w:r>
                </w:p>
              </w:tc>
              <w:tc>
                <w:tcPr>
                  <w:tcW w:w="1858" w:type="pct"/>
                  <w:vAlign w:val="center"/>
                </w:tcPr>
                <w:p>
                  <w:pPr>
                    <w:pStyle w:val="62"/>
                    <w:jc w:val="center"/>
                    <w:rPr>
                      <w:rFonts w:ascii="Times New Roman" w:hAnsi="Times New Roman" w:cs="Times New Roman"/>
                      <w:bCs/>
                      <w:lang w:val="en-US"/>
                    </w:rPr>
                  </w:pPr>
                  <w:r>
                    <w:rPr>
                      <w:rFonts w:ascii="Times New Roman" w:hAnsi="Times New Roman" w:cs="Times New Roman"/>
                    </w:rPr>
                    <w:t>有毒有害和易燃易爆危险物质存储量超过临界量的建设项目</w:t>
                  </w:r>
                </w:p>
              </w:tc>
              <w:tc>
                <w:tcPr>
                  <w:tcW w:w="1977" w:type="pct"/>
                  <w:vAlign w:val="center"/>
                </w:tcPr>
                <w:p>
                  <w:pPr>
                    <w:pStyle w:val="62"/>
                    <w:jc w:val="center"/>
                    <w:rPr>
                      <w:rFonts w:ascii="Times New Roman" w:hAnsi="Times New Roman" w:cs="Times New Roman"/>
                      <w:bCs/>
                      <w:lang w:val="en-US"/>
                    </w:rPr>
                  </w:pPr>
                  <w:r>
                    <w:rPr>
                      <w:rFonts w:ascii="Times New Roman" w:hAnsi="Times New Roman" w:cs="Times New Roman"/>
                    </w:rPr>
                    <w:t>危险物质未超过临界量</w:t>
                  </w:r>
                </w:p>
              </w:tc>
              <w:tc>
                <w:tcPr>
                  <w:tcW w:w="553" w:type="pct"/>
                  <w:vAlign w:val="center"/>
                </w:tcPr>
                <w:p>
                  <w:pPr>
                    <w:pStyle w:val="62"/>
                    <w:jc w:val="center"/>
                    <w:rPr>
                      <w:rFonts w:ascii="Times New Roman" w:hAnsi="Times New Roman" w:cs="Times New Roman"/>
                      <w:bCs/>
                      <w:lang w:val="en-US"/>
                    </w:rPr>
                  </w:pPr>
                  <w:r>
                    <w:rPr>
                      <w:rFonts w:ascii="Times New Roman" w:hAnsi="Times New Roman" w:cs="Times New Roma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Align w:val="center"/>
                </w:tcPr>
                <w:p>
                  <w:pPr>
                    <w:pStyle w:val="62"/>
                    <w:jc w:val="center"/>
                    <w:rPr>
                      <w:rFonts w:ascii="Times New Roman" w:hAnsi="Times New Roman" w:cs="Times New Roman"/>
                    </w:rPr>
                  </w:pPr>
                  <w:r>
                    <w:rPr>
                      <w:rFonts w:ascii="Times New Roman" w:hAnsi="Times New Roman" w:cs="Times New Roman"/>
                    </w:rPr>
                    <w:t>生态</w:t>
                  </w:r>
                </w:p>
              </w:tc>
              <w:tc>
                <w:tcPr>
                  <w:tcW w:w="1858" w:type="pct"/>
                  <w:vAlign w:val="center"/>
                </w:tcPr>
                <w:p>
                  <w:pPr>
                    <w:pStyle w:val="62"/>
                    <w:jc w:val="center"/>
                    <w:rPr>
                      <w:rFonts w:ascii="Times New Roman" w:hAnsi="Times New Roman" w:cs="Times New Roman"/>
                      <w:bCs/>
                      <w:lang w:val="en-US"/>
                    </w:rPr>
                  </w:pPr>
                  <w:r>
                    <w:rPr>
                      <w:rFonts w:ascii="Times New Roman" w:hAnsi="Times New Roman" w:cs="Times New Roman"/>
                    </w:rPr>
                    <w:t>取水口下游500米范围内有重要水水生物的自然产卵场、索饵场、越冬场和洄游通道的新增河道取水的污染类建设项目</w:t>
                  </w:r>
                </w:p>
              </w:tc>
              <w:tc>
                <w:tcPr>
                  <w:tcW w:w="1977" w:type="pct"/>
                  <w:vAlign w:val="center"/>
                </w:tcPr>
                <w:p>
                  <w:pPr>
                    <w:pStyle w:val="62"/>
                    <w:jc w:val="center"/>
                    <w:rPr>
                      <w:rFonts w:ascii="Times New Roman" w:hAnsi="Times New Roman" w:cs="Times New Roman"/>
                      <w:bCs/>
                      <w:lang w:val="en-US"/>
                    </w:rPr>
                  </w:pPr>
                  <w:r>
                    <w:rPr>
                      <w:rFonts w:ascii="Times New Roman" w:hAnsi="Times New Roman" w:cs="Times New Roman"/>
                    </w:rPr>
                    <w:t>不涉及</w:t>
                  </w:r>
                </w:p>
              </w:tc>
              <w:tc>
                <w:tcPr>
                  <w:tcW w:w="553" w:type="pct"/>
                  <w:vAlign w:val="center"/>
                </w:tcPr>
                <w:p>
                  <w:pPr>
                    <w:pStyle w:val="62"/>
                    <w:jc w:val="center"/>
                    <w:rPr>
                      <w:rFonts w:ascii="Times New Roman" w:hAnsi="Times New Roman" w:cs="Times New Roman"/>
                      <w:bCs/>
                      <w:lang w:val="en-US"/>
                    </w:rPr>
                  </w:pPr>
                  <w:r>
                    <w:rPr>
                      <w:rFonts w:ascii="Times New Roman" w:hAnsi="Times New Roman" w:cs="Times New Roma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Align w:val="center"/>
                </w:tcPr>
                <w:p>
                  <w:pPr>
                    <w:pStyle w:val="62"/>
                    <w:jc w:val="center"/>
                    <w:rPr>
                      <w:rFonts w:ascii="Times New Roman" w:hAnsi="Times New Roman" w:cs="Times New Roman"/>
                    </w:rPr>
                  </w:pPr>
                  <w:r>
                    <w:rPr>
                      <w:rFonts w:ascii="Times New Roman" w:hAnsi="Times New Roman" w:cs="Times New Roman"/>
                    </w:rPr>
                    <w:t>海洋</w:t>
                  </w:r>
                </w:p>
              </w:tc>
              <w:tc>
                <w:tcPr>
                  <w:tcW w:w="1858" w:type="pct"/>
                  <w:vAlign w:val="center"/>
                </w:tcPr>
                <w:p>
                  <w:pPr>
                    <w:pStyle w:val="62"/>
                    <w:jc w:val="center"/>
                    <w:rPr>
                      <w:rFonts w:ascii="Times New Roman" w:hAnsi="Times New Roman" w:cs="Times New Roman"/>
                      <w:bCs/>
                      <w:lang w:val="en-US"/>
                    </w:rPr>
                  </w:pPr>
                  <w:r>
                    <w:rPr>
                      <w:rFonts w:ascii="Times New Roman" w:hAnsi="Times New Roman" w:cs="Times New Roman"/>
                    </w:rPr>
                    <w:t>直接向海排放污染物的海洋工程建设项目</w:t>
                  </w:r>
                </w:p>
              </w:tc>
              <w:tc>
                <w:tcPr>
                  <w:tcW w:w="1977" w:type="pct"/>
                  <w:vAlign w:val="center"/>
                </w:tcPr>
                <w:p>
                  <w:pPr>
                    <w:pStyle w:val="62"/>
                    <w:jc w:val="center"/>
                    <w:rPr>
                      <w:rFonts w:ascii="Times New Roman" w:hAnsi="Times New Roman" w:cs="Times New Roman"/>
                      <w:bCs/>
                      <w:lang w:val="en-US"/>
                    </w:rPr>
                  </w:pPr>
                  <w:r>
                    <w:rPr>
                      <w:rFonts w:ascii="Times New Roman" w:hAnsi="Times New Roman" w:cs="Times New Roman"/>
                    </w:rPr>
                    <w:t>不涉及</w:t>
                  </w:r>
                </w:p>
              </w:tc>
              <w:tc>
                <w:tcPr>
                  <w:tcW w:w="553" w:type="pct"/>
                  <w:vAlign w:val="center"/>
                </w:tcPr>
                <w:p>
                  <w:pPr>
                    <w:pStyle w:val="62"/>
                    <w:jc w:val="center"/>
                    <w:rPr>
                      <w:rFonts w:ascii="Times New Roman" w:hAnsi="Times New Roman" w:cs="Times New Roman"/>
                      <w:bCs/>
                      <w:lang w:val="en-US"/>
                    </w:rPr>
                  </w:pPr>
                  <w:r>
                    <w:rPr>
                      <w:rFonts w:ascii="Times New Roman" w:hAnsi="Times New Roman" w:cs="Times New Roman"/>
                    </w:rPr>
                    <w:t>否</w:t>
                  </w:r>
                </w:p>
              </w:tc>
            </w:tr>
          </w:tbl>
          <w:p>
            <w:pPr>
              <w:pStyle w:val="62"/>
              <w:spacing w:line="440" w:lineRule="exact"/>
              <w:jc w:val="both"/>
              <w:rPr>
                <w:rFonts w:ascii="Times New Roman" w:hAnsi="Times New Roman" w:cs="Times New Roman"/>
                <w:sz w:val="24"/>
                <w:szCs w:val="24"/>
                <w:lang w:val="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39" w:hRule="atLeast"/>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规划情况</w:t>
            </w:r>
          </w:p>
        </w:tc>
        <w:tc>
          <w:tcPr>
            <w:tcW w:w="7019" w:type="dxa"/>
            <w:gridSpan w:val="3"/>
            <w:vAlign w:val="center"/>
          </w:tcPr>
          <w:p>
            <w:pPr>
              <w:pStyle w:val="62"/>
              <w:spacing w:line="440" w:lineRule="exact"/>
              <w:jc w:val="both"/>
              <w:rPr>
                <w:rFonts w:ascii="Times New Roman" w:hAnsi="Times New Roman" w:cs="Times New Roman"/>
                <w:sz w:val="24"/>
              </w:rPr>
            </w:pPr>
            <w:r>
              <w:rPr>
                <w:rFonts w:ascii="Times New Roman" w:hAnsi="Times New Roman" w:cs="Times New Roman"/>
                <w:sz w:val="24"/>
              </w:rPr>
              <w:t>规划名称：《安徽凤台经济开发区总体发展规划（2016～2030）》；</w:t>
            </w:r>
          </w:p>
          <w:p>
            <w:pPr>
              <w:pStyle w:val="62"/>
              <w:spacing w:line="440" w:lineRule="exact"/>
              <w:jc w:val="both"/>
              <w:rPr>
                <w:rFonts w:ascii="Times New Roman" w:hAnsi="Times New Roman" w:cs="Times New Roman"/>
                <w:sz w:val="24"/>
              </w:rPr>
            </w:pPr>
            <w:r>
              <w:rPr>
                <w:rFonts w:ascii="Times New Roman" w:hAnsi="Times New Roman" w:cs="Times New Roman"/>
                <w:sz w:val="24"/>
              </w:rPr>
              <w:t>规划单位：安徽凤台经济开发区管理委员会</w:t>
            </w:r>
          </w:p>
          <w:p>
            <w:pPr>
              <w:pStyle w:val="62"/>
              <w:spacing w:line="440" w:lineRule="exact"/>
              <w:jc w:val="both"/>
              <w:rPr>
                <w:rFonts w:ascii="Times New Roman" w:hAnsi="Times New Roman" w:cs="Times New Roman"/>
                <w:sz w:val="24"/>
              </w:rPr>
            </w:pPr>
            <w:r>
              <w:rPr>
                <w:rFonts w:ascii="Times New Roman" w:hAnsi="Times New Roman" w:cs="Times New Roman"/>
                <w:sz w:val="24"/>
              </w:rPr>
              <w:t>审批机关：淮南市人民政府</w:t>
            </w:r>
          </w:p>
          <w:p>
            <w:pPr>
              <w:pStyle w:val="62"/>
              <w:spacing w:line="440" w:lineRule="exact"/>
              <w:jc w:val="both"/>
              <w:rPr>
                <w:rFonts w:ascii="Times New Roman" w:hAnsi="Times New Roman" w:cs="Times New Roman"/>
                <w:sz w:val="24"/>
              </w:rPr>
            </w:pPr>
            <w:r>
              <w:rPr>
                <w:rFonts w:ascii="Times New Roman" w:hAnsi="Times New Roman" w:cs="Times New Roman"/>
                <w:sz w:val="24"/>
              </w:rPr>
              <w:t>审批文件名称和文号：《淮南市人民政府关于凤台县城总体规划（2016-2030年）的批复》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规划环境影响评价情况</w:t>
            </w:r>
          </w:p>
        </w:tc>
        <w:tc>
          <w:tcPr>
            <w:tcW w:w="7019" w:type="dxa"/>
            <w:gridSpan w:val="3"/>
            <w:vAlign w:val="center"/>
          </w:tcPr>
          <w:p>
            <w:pPr>
              <w:adjustRightInd w:val="0"/>
              <w:snapToGrid w:val="0"/>
              <w:spacing w:line="360" w:lineRule="auto"/>
              <w:jc w:val="both"/>
              <w:rPr>
                <w:rFonts w:ascii="Times New Roman" w:hAnsi="Times New Roman"/>
                <w:sz w:val="24"/>
              </w:rPr>
            </w:pPr>
            <w:r>
              <w:rPr>
                <w:rFonts w:ascii="Times New Roman" w:hAnsi="Times New Roman"/>
                <w:sz w:val="24"/>
              </w:rPr>
              <w:t>规划环评名称：《安徽凤台经济开发区总体发展规划环境影响报告书》</w:t>
            </w:r>
          </w:p>
          <w:p>
            <w:pPr>
              <w:adjustRightInd w:val="0"/>
              <w:snapToGrid w:val="0"/>
              <w:spacing w:line="360" w:lineRule="auto"/>
              <w:jc w:val="both"/>
              <w:rPr>
                <w:rFonts w:ascii="Times New Roman" w:hAnsi="Times New Roman"/>
                <w:bCs/>
                <w:sz w:val="24"/>
                <w:lang w:val="en-US"/>
              </w:rPr>
            </w:pPr>
            <w:r>
              <w:rPr>
                <w:rFonts w:ascii="Times New Roman" w:hAnsi="Times New Roman"/>
                <w:sz w:val="24"/>
              </w:rPr>
              <w:t>规划环评审批机关：</w:t>
            </w:r>
            <w:r>
              <w:rPr>
                <w:rFonts w:ascii="Times New Roman" w:hAnsi="Times New Roman"/>
                <w:bCs/>
                <w:sz w:val="24"/>
                <w:lang w:val="en-US"/>
              </w:rPr>
              <w:t>安徽省环境保护厅</w:t>
            </w:r>
          </w:p>
          <w:p>
            <w:pPr>
              <w:adjustRightInd w:val="0"/>
              <w:snapToGrid w:val="0"/>
              <w:spacing w:line="360" w:lineRule="auto"/>
              <w:jc w:val="both"/>
              <w:rPr>
                <w:rFonts w:ascii="Times New Roman" w:hAnsi="Times New Roman"/>
                <w:sz w:val="24"/>
              </w:rPr>
            </w:pPr>
            <w:r>
              <w:rPr>
                <w:rFonts w:ascii="Times New Roman" w:hAnsi="Times New Roman"/>
                <w:sz w:val="24"/>
                <w:lang w:val="en-US"/>
              </w:rPr>
              <w:t>审查意见</w:t>
            </w:r>
            <w:r>
              <w:rPr>
                <w:rFonts w:ascii="Times New Roman" w:hAnsi="Times New Roman"/>
                <w:sz w:val="24"/>
              </w:rPr>
              <w:t>名称：《安徽省环境保护厅关于安徽凤台经济开发区总体发展规划环境影响报告书审查意见的函》</w:t>
            </w:r>
          </w:p>
          <w:p>
            <w:pPr>
              <w:adjustRightInd w:val="0"/>
              <w:snapToGrid w:val="0"/>
              <w:spacing w:line="360" w:lineRule="auto"/>
              <w:jc w:val="both"/>
              <w:rPr>
                <w:rFonts w:ascii="Times New Roman" w:hAnsi="Times New Roman"/>
                <w:bCs/>
                <w:sz w:val="24"/>
              </w:rPr>
            </w:pPr>
            <w:r>
              <w:rPr>
                <w:rFonts w:ascii="Times New Roman" w:hAnsi="Times New Roman"/>
                <w:sz w:val="24"/>
                <w:lang w:val="en-US"/>
              </w:rPr>
              <w:t>审查意见文号</w:t>
            </w:r>
            <w:r>
              <w:rPr>
                <w:rFonts w:ascii="Times New Roman" w:hAnsi="Times New Roman"/>
                <w:sz w:val="24"/>
              </w:rPr>
              <w:t>：</w:t>
            </w:r>
            <w:r>
              <w:rPr>
                <w:rFonts w:ascii="Times New Roman" w:hAnsi="Times New Roman"/>
                <w:bCs/>
                <w:sz w:val="24"/>
              </w:rPr>
              <w:t>皖环函[2018]131号</w:t>
            </w:r>
          </w:p>
          <w:p>
            <w:pPr>
              <w:pStyle w:val="2"/>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61" w:type="dxa"/>
            <w:vAlign w:val="center"/>
          </w:tcPr>
          <w:p>
            <w:pPr>
              <w:pStyle w:val="62"/>
              <w:spacing w:line="440" w:lineRule="exact"/>
              <w:jc w:val="center"/>
              <w:rPr>
                <w:rFonts w:ascii="Times New Roman" w:hAnsi="Times New Roman" w:cs="Times New Roman"/>
                <w:sz w:val="24"/>
                <w:szCs w:val="24"/>
              </w:rPr>
            </w:pPr>
            <w:r>
              <w:rPr>
                <w:rFonts w:ascii="Times New Roman" w:hAnsi="Times New Roman" w:cs="Times New Roman"/>
                <w:sz w:val="24"/>
                <w:szCs w:val="24"/>
              </w:rPr>
              <w:t>规划及规划环境影响评价符合性分析</w:t>
            </w:r>
          </w:p>
        </w:tc>
        <w:tc>
          <w:tcPr>
            <w:tcW w:w="7019" w:type="dxa"/>
            <w:gridSpan w:val="3"/>
            <w:vAlign w:val="center"/>
          </w:tcPr>
          <w:p>
            <w:pPr>
              <w:adjustRightInd w:val="0"/>
              <w:snapToGrid w:val="0"/>
              <w:spacing w:line="440" w:lineRule="exact"/>
              <w:ind w:firstLine="482" w:firstLineChars="200"/>
              <w:jc w:val="both"/>
              <w:rPr>
                <w:rFonts w:ascii="Times New Roman" w:hAnsi="Times New Roman"/>
                <w:sz w:val="24"/>
                <w:szCs w:val="24"/>
                <w:lang w:val="en-US"/>
              </w:rPr>
            </w:pPr>
            <w:r>
              <w:rPr>
                <w:rFonts w:ascii="Times New Roman" w:hAnsi="Times New Roman"/>
                <w:b/>
                <w:bCs/>
                <w:sz w:val="24"/>
                <w:szCs w:val="24"/>
              </w:rPr>
              <w:t>1、规划符合性</w:t>
            </w:r>
          </w:p>
          <w:p>
            <w:pPr>
              <w:autoSpaceDE/>
              <w:autoSpaceDN/>
              <w:spacing w:line="360" w:lineRule="auto"/>
              <w:ind w:firstLine="480" w:firstLineChars="200"/>
              <w:jc w:val="both"/>
              <w:rPr>
                <w:rFonts w:ascii="Times New Roman" w:hAnsi="Times New Roman"/>
                <w:bCs/>
                <w:sz w:val="24"/>
              </w:rPr>
            </w:pPr>
            <w:r>
              <w:rPr>
                <w:rFonts w:ascii="Times New Roman" w:hAnsi="Times New Roman"/>
                <w:bCs/>
                <w:sz w:val="24"/>
              </w:rPr>
              <w:t>根据《安徽凤台经济开发区总体发展规划（2016～2030）》，凤台经济开发区规范范围包括“一区两园”，“一区”为凤台经济开发区；“两园”包括凤凰产业园、桂集产业园。共计10.04km</w:t>
            </w:r>
            <w:r>
              <w:rPr>
                <w:rFonts w:ascii="Times New Roman" w:hAnsi="Times New Roman"/>
                <w:bCs/>
                <w:sz w:val="24"/>
                <w:vertAlign w:val="superscript"/>
              </w:rPr>
              <w:t>2</w:t>
            </w:r>
            <w:r>
              <w:rPr>
                <w:rFonts w:ascii="Times New Roman" w:hAnsi="Times New Roman"/>
                <w:bCs/>
                <w:sz w:val="24"/>
              </w:rPr>
              <w:t>。其中桂集产业园面积约0.71km</w:t>
            </w:r>
            <w:r>
              <w:rPr>
                <w:rFonts w:ascii="Times New Roman" w:hAnsi="Times New Roman"/>
                <w:bCs/>
                <w:sz w:val="24"/>
                <w:vertAlign w:val="superscript"/>
              </w:rPr>
              <w:t>2</w:t>
            </w:r>
            <w:r>
              <w:rPr>
                <w:rFonts w:ascii="Times New Roman" w:hAnsi="Times New Roman"/>
                <w:bCs/>
                <w:sz w:val="24"/>
              </w:rPr>
              <w:t>。四至范围为：东至308省道，南至龙眠路，西至老凤利路，北至老镇区。开发区主导产业为机械装备、精细化工、新型建材，兼顾培育电子电器，纺织服装及农副产品加工、光伏发电等新兴产业。</w:t>
            </w:r>
          </w:p>
          <w:p>
            <w:pPr>
              <w:autoSpaceDE/>
              <w:autoSpaceDN/>
              <w:spacing w:line="440" w:lineRule="exact"/>
              <w:ind w:firstLine="480" w:firstLineChars="200"/>
              <w:jc w:val="both"/>
              <w:rPr>
                <w:rFonts w:ascii="Times New Roman" w:hAnsi="Times New Roman"/>
                <w:bCs/>
                <w:sz w:val="24"/>
              </w:rPr>
            </w:pPr>
            <w:r>
              <w:rPr>
                <w:rFonts w:ascii="Times New Roman" w:hAnsi="Times New Roman"/>
                <w:bCs/>
                <w:sz w:val="24"/>
              </w:rPr>
              <w:t>本项目选址于安徽凤台经济开发区桂集产业园，土地类型为工业用地。项目产品为车载机械触控显示屏，为</w:t>
            </w:r>
            <w:r>
              <w:rPr>
                <w:rFonts w:hint="eastAsia" w:ascii="Times New Roman" w:hAnsi="Times New Roman"/>
                <w:bCs/>
                <w:sz w:val="24"/>
              </w:rPr>
              <w:t>电子</w:t>
            </w:r>
            <w:r>
              <w:rPr>
                <w:rFonts w:ascii="Times New Roman" w:hAnsi="Times New Roman"/>
                <w:bCs/>
                <w:sz w:val="24"/>
              </w:rPr>
              <w:t>产业，不属于开发区严格禁止项目且不在开发区的负面清单范围内，因此，项目选址符合项目凤台县经济开发区总体发展规划，选址与当地规划相符。</w:t>
            </w:r>
          </w:p>
          <w:p>
            <w:pPr>
              <w:autoSpaceDE/>
              <w:autoSpaceDN/>
              <w:spacing w:line="440" w:lineRule="exact"/>
              <w:ind w:firstLine="482" w:firstLineChars="200"/>
              <w:jc w:val="both"/>
              <w:rPr>
                <w:rFonts w:ascii="Times New Roman" w:hAnsi="Times New Roman"/>
                <w:b/>
                <w:sz w:val="24"/>
                <w:lang w:val="en-US"/>
              </w:rPr>
            </w:pPr>
            <w:r>
              <w:rPr>
                <w:rFonts w:ascii="Times New Roman" w:hAnsi="Times New Roman"/>
                <w:b/>
                <w:sz w:val="24"/>
                <w:lang w:val="en-US"/>
              </w:rPr>
              <w:t>2、规划环评符合性分析</w:t>
            </w:r>
          </w:p>
          <w:p>
            <w:pPr>
              <w:autoSpaceDE/>
              <w:autoSpaceDN/>
              <w:spacing w:line="440" w:lineRule="exact"/>
              <w:ind w:firstLine="480" w:firstLineChars="200"/>
              <w:jc w:val="both"/>
              <w:rPr>
                <w:rFonts w:ascii="Times New Roman" w:hAnsi="Times New Roman"/>
                <w:bCs/>
                <w:sz w:val="24"/>
              </w:rPr>
            </w:pPr>
            <w:r>
              <w:rPr>
                <w:rFonts w:ascii="Times New Roman" w:hAnsi="Times New Roman"/>
                <w:bCs/>
                <w:sz w:val="24"/>
              </w:rPr>
              <w:t>（1）本项目建设与《安徽凤台经济开发区总体发展规划环境影响报告书》和《安徽省环境保护厅关于安徽凤台经济开发区总体发展规划环境影响报告书审查意见的函》的符合性分析见下表。</w:t>
            </w:r>
          </w:p>
          <w:p>
            <w:pPr>
              <w:pStyle w:val="66"/>
              <w:spacing w:line="440" w:lineRule="exact"/>
              <w:rPr>
                <w:rFonts w:ascii="Times New Roman" w:hAnsi="Times New Roman"/>
                <w:kern w:val="2"/>
                <w:sz w:val="21"/>
                <w:szCs w:val="21"/>
              </w:rPr>
            </w:pPr>
            <w:r>
              <w:rPr>
                <w:rFonts w:ascii="Times New Roman" w:hAnsi="Times New Roman"/>
                <w:kern w:val="2"/>
                <w:sz w:val="21"/>
                <w:szCs w:val="21"/>
              </w:rPr>
              <w:t>表</w:t>
            </w:r>
            <w:r>
              <w:rPr>
                <w:rFonts w:ascii="Times New Roman" w:hAnsi="Times New Roman"/>
                <w:kern w:val="2"/>
                <w:sz w:val="21"/>
                <w:szCs w:val="21"/>
                <w:lang w:val="en-US"/>
              </w:rPr>
              <w:t xml:space="preserve">1-2  </w:t>
            </w:r>
            <w:r>
              <w:rPr>
                <w:rFonts w:ascii="Times New Roman" w:hAnsi="Times New Roman"/>
                <w:kern w:val="2"/>
                <w:sz w:val="21"/>
                <w:szCs w:val="21"/>
              </w:rPr>
              <w:t>项目与凤台经济开发区总体发展规划环境影响报告书审查意见的函符合性分析</w:t>
            </w:r>
          </w:p>
          <w:tbl>
            <w:tblPr>
              <w:tblStyle w:val="2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102"/>
              <w:gridCol w:w="2760"/>
              <w:gridCol w:w="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0" w:hRule="atLeast"/>
                <w:jc w:val="center"/>
              </w:trPr>
              <w:tc>
                <w:tcPr>
                  <w:tcW w:w="205" w:type="pct"/>
                  <w:vAlign w:val="center"/>
                </w:tcPr>
                <w:p>
                  <w:pPr>
                    <w:pStyle w:val="62"/>
                    <w:jc w:val="center"/>
                    <w:rPr>
                      <w:rFonts w:ascii="Times New Roman" w:hAnsi="Times New Roman" w:cs="Times New Roman"/>
                      <w:b/>
                      <w:bCs/>
                    </w:rPr>
                  </w:pPr>
                  <w:r>
                    <w:rPr>
                      <w:rFonts w:ascii="Times New Roman" w:hAnsi="Times New Roman" w:cs="Times New Roman"/>
                      <w:b/>
                      <w:bCs/>
                    </w:rPr>
                    <w:t>序号</w:t>
                  </w:r>
                </w:p>
              </w:tc>
              <w:tc>
                <w:tcPr>
                  <w:tcW w:w="2546" w:type="pct"/>
                  <w:vAlign w:val="center"/>
                </w:tcPr>
                <w:p>
                  <w:pPr>
                    <w:pStyle w:val="62"/>
                    <w:jc w:val="center"/>
                    <w:rPr>
                      <w:rFonts w:ascii="Times New Roman" w:hAnsi="Times New Roman" w:cs="Times New Roman"/>
                      <w:b/>
                      <w:bCs/>
                    </w:rPr>
                  </w:pPr>
                  <w:r>
                    <w:rPr>
                      <w:rFonts w:ascii="Times New Roman" w:hAnsi="Times New Roman" w:cs="Times New Roman"/>
                      <w:b/>
                      <w:bCs/>
                    </w:rPr>
                    <w:t>规划环评审查意见</w:t>
                  </w:r>
                </w:p>
              </w:tc>
              <w:tc>
                <w:tcPr>
                  <w:tcW w:w="1719" w:type="pct"/>
                  <w:vAlign w:val="center"/>
                </w:tcPr>
                <w:p>
                  <w:pPr>
                    <w:pStyle w:val="62"/>
                    <w:jc w:val="center"/>
                    <w:rPr>
                      <w:rFonts w:ascii="Times New Roman" w:hAnsi="Times New Roman" w:cs="Times New Roman"/>
                      <w:b/>
                      <w:bCs/>
                    </w:rPr>
                  </w:pPr>
                  <w:r>
                    <w:rPr>
                      <w:rFonts w:ascii="Times New Roman" w:hAnsi="Times New Roman" w:cs="Times New Roman"/>
                      <w:b/>
                      <w:bCs/>
                    </w:rPr>
                    <w:t>本项目情况</w:t>
                  </w:r>
                </w:p>
              </w:tc>
              <w:tc>
                <w:tcPr>
                  <w:tcW w:w="530" w:type="pct"/>
                  <w:vAlign w:val="center"/>
                </w:tcPr>
                <w:p>
                  <w:pPr>
                    <w:pStyle w:val="62"/>
                    <w:jc w:val="center"/>
                    <w:rPr>
                      <w:rFonts w:ascii="Times New Roman" w:hAnsi="Times New Roman" w:cs="Times New Roman"/>
                      <w:b/>
                      <w:bCs/>
                    </w:rPr>
                  </w:pPr>
                  <w:r>
                    <w:rPr>
                      <w:rFonts w:ascii="Times New Roman" w:hAnsi="Times New Roman" w:cs="Times New Roman"/>
                      <w:b/>
                      <w:bCs/>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5" w:type="pct"/>
                  <w:vAlign w:val="center"/>
                </w:tcPr>
                <w:p>
                  <w:pPr>
                    <w:jc w:val="center"/>
                    <w:rPr>
                      <w:rFonts w:ascii="Times New Roman" w:hAnsi="Times New Roman"/>
                    </w:rPr>
                  </w:pPr>
                  <w:r>
                    <w:rPr>
                      <w:rFonts w:ascii="Times New Roman" w:hAnsi="Times New Roman"/>
                    </w:rPr>
                    <w:t>1</w:t>
                  </w:r>
                </w:p>
              </w:tc>
              <w:tc>
                <w:tcPr>
                  <w:tcW w:w="2546" w:type="pct"/>
                  <w:vAlign w:val="center"/>
                </w:tcPr>
                <w:p>
                  <w:pPr>
                    <w:pStyle w:val="62"/>
                    <w:jc w:val="center"/>
                    <w:rPr>
                      <w:rFonts w:ascii="Times New Roman" w:hAnsi="Times New Roman" w:cs="Times New Roman"/>
                    </w:rPr>
                  </w:pPr>
                  <w:r>
                    <w:rPr>
                      <w:rFonts w:ascii="Times New Roman" w:hAnsi="Times New Roman" w:cs="Times New Roman"/>
                    </w:rPr>
                    <w:t>主导产业由“矿山机械、煤化工、新型建材”调整为“机械装备、精细化工、新型建材”，精细化工项目只布局在综合园</w:t>
                  </w:r>
                </w:p>
              </w:tc>
              <w:tc>
                <w:tcPr>
                  <w:tcW w:w="1719" w:type="pct"/>
                  <w:vAlign w:val="center"/>
                </w:tcPr>
                <w:p>
                  <w:pPr>
                    <w:jc w:val="center"/>
                    <w:rPr>
                      <w:rFonts w:ascii="Times New Roman" w:hAnsi="Times New Roman"/>
                    </w:rPr>
                  </w:pPr>
                  <w:r>
                    <w:rPr>
                      <w:rFonts w:ascii="Times New Roman" w:hAnsi="Times New Roman"/>
                    </w:rPr>
                    <w:t>本项目为车载触控显示屏制造，为机械装备相配套的上游产业，属于兼顾培育产业范围，同时不属于开发区严格禁止项目，不在开发区的负面清单范围内</w:t>
                  </w:r>
                </w:p>
              </w:tc>
              <w:tc>
                <w:tcPr>
                  <w:tcW w:w="530" w:type="pct"/>
                  <w:vAlign w:val="center"/>
                </w:tcPr>
                <w:p>
                  <w:pPr>
                    <w:jc w:val="center"/>
                    <w:rPr>
                      <w:rFonts w:ascii="Times New Roman" w:hAnsi="Times New Roman"/>
                    </w:rPr>
                  </w:pPr>
                  <w:r>
                    <w:rPr>
                      <w:rFonts w:ascii="Times New Roman" w:hAnsi="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5" w:type="pct"/>
                  <w:vAlign w:val="center"/>
                </w:tcPr>
                <w:p>
                  <w:pPr>
                    <w:jc w:val="center"/>
                    <w:rPr>
                      <w:rFonts w:ascii="Times New Roman" w:hAnsi="Times New Roman"/>
                    </w:rPr>
                  </w:pPr>
                  <w:r>
                    <w:rPr>
                      <w:rFonts w:ascii="Times New Roman" w:hAnsi="Times New Roman"/>
                    </w:rPr>
                    <w:t>2</w:t>
                  </w:r>
                </w:p>
              </w:tc>
              <w:tc>
                <w:tcPr>
                  <w:tcW w:w="2546" w:type="pct"/>
                  <w:vAlign w:val="center"/>
                </w:tcPr>
                <w:p>
                  <w:pPr>
                    <w:pStyle w:val="62"/>
                    <w:jc w:val="center"/>
                    <w:rPr>
                      <w:rFonts w:ascii="Times New Roman" w:hAnsi="Times New Roman" w:cs="Times New Roman"/>
                    </w:rPr>
                  </w:pPr>
                  <w:r>
                    <w:rPr>
                      <w:rFonts w:ascii="Times New Roman" w:hAnsi="Times New Roman" w:cs="Times New Roman"/>
                    </w:rPr>
                    <w:t>进一步优化开发区的空间布局。根据开发区各产业特点，充分考虑食品企业和居住区域环境要求，进一步优化调整空间布局，减轻和避免各功能区之间、项目之间在环境要求方面的相互影响。在与居住区相邻的工业区项目选择及布点时，充分考虑与居住区之间的关系和环境防护问题，确保居民区环境质量。现有不符合功能分区的项目，要采取措施逐步进行调整或搬迁。需要设置环境防护距离的企业，应按有关规定严格设定。严格控制开发区特别是主区周边用地性质，加强对环境敏感点的保护。开发区内现有的天然水体应予以保留。</w:t>
                  </w:r>
                </w:p>
              </w:tc>
              <w:tc>
                <w:tcPr>
                  <w:tcW w:w="1719" w:type="pct"/>
                  <w:vAlign w:val="center"/>
                </w:tcPr>
                <w:p>
                  <w:pPr>
                    <w:jc w:val="center"/>
                    <w:rPr>
                      <w:rFonts w:ascii="Times New Roman" w:hAnsi="Times New Roman"/>
                    </w:rPr>
                  </w:pPr>
                  <w:r>
                    <w:rPr>
                      <w:rFonts w:ascii="Times New Roman" w:hAnsi="Times New Roman"/>
                      <w:bCs/>
                      <w:szCs w:val="18"/>
                    </w:rPr>
                    <w:t>本项目位于安徽凤台经济开发区桂集产业园。</w:t>
                  </w:r>
                  <w:r>
                    <w:rPr>
                      <w:rFonts w:ascii="Times New Roman" w:hAnsi="Times New Roman"/>
                      <w:bCs/>
                      <w:szCs w:val="22"/>
                    </w:rPr>
                    <w:t>防护距离范围内无敏感点及食品企业</w:t>
                  </w:r>
                </w:p>
              </w:tc>
              <w:tc>
                <w:tcPr>
                  <w:tcW w:w="530" w:type="pct"/>
                  <w:vAlign w:val="center"/>
                </w:tcPr>
                <w:p>
                  <w:pPr>
                    <w:jc w:val="center"/>
                    <w:rPr>
                      <w:rFonts w:ascii="Times New Roman" w:hAnsi="Times New Roman"/>
                    </w:rPr>
                  </w:pPr>
                  <w:r>
                    <w:rPr>
                      <w:rFonts w:ascii="Times New Roman" w:hAnsi="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5" w:type="pct"/>
                  <w:vAlign w:val="center"/>
                </w:tcPr>
                <w:p>
                  <w:pPr>
                    <w:jc w:val="center"/>
                    <w:rPr>
                      <w:rFonts w:ascii="Times New Roman" w:hAnsi="Times New Roman"/>
                    </w:rPr>
                  </w:pPr>
                  <w:r>
                    <w:rPr>
                      <w:rFonts w:ascii="Times New Roman" w:hAnsi="Times New Roman"/>
                    </w:rPr>
                    <w:t>3</w:t>
                  </w:r>
                </w:p>
              </w:tc>
              <w:tc>
                <w:tcPr>
                  <w:tcW w:w="2546" w:type="pct"/>
                  <w:vAlign w:val="center"/>
                </w:tcPr>
                <w:p>
                  <w:pPr>
                    <w:pStyle w:val="62"/>
                    <w:jc w:val="center"/>
                    <w:rPr>
                      <w:rFonts w:ascii="Times New Roman" w:hAnsi="Times New Roman" w:cs="Times New Roman"/>
                    </w:rPr>
                  </w:pPr>
                  <w:r>
                    <w:rPr>
                      <w:rFonts w:ascii="Times New Roman" w:hAnsi="Times New Roman" w:cs="Times New Roman"/>
                    </w:rPr>
                    <w:t>严禁建设国家明令禁止的项目，严格控制高耗水、高耗能、污水排放量大的项目建设。</w:t>
                  </w:r>
                </w:p>
              </w:tc>
              <w:tc>
                <w:tcPr>
                  <w:tcW w:w="1719" w:type="pct"/>
                  <w:vAlign w:val="center"/>
                </w:tcPr>
                <w:p>
                  <w:pPr>
                    <w:pStyle w:val="62"/>
                    <w:jc w:val="center"/>
                    <w:rPr>
                      <w:rFonts w:ascii="Times New Roman" w:hAnsi="Times New Roman" w:cs="Times New Roman"/>
                      <w:bCs/>
                      <w:sz w:val="24"/>
                    </w:rPr>
                  </w:pPr>
                  <w:r>
                    <w:rPr>
                      <w:rFonts w:hint="eastAsia" w:ascii="Times New Roman" w:hAnsi="Times New Roman" w:cs="Times New Roman"/>
                      <w:bCs/>
                      <w:szCs w:val="18"/>
                    </w:rPr>
                    <w:t>【</w:t>
                  </w:r>
                  <w:r>
                    <w:rPr>
                      <w:rFonts w:ascii="Times New Roman" w:hAnsi="Times New Roman" w:cs="Times New Roman"/>
                      <w:bCs/>
                      <w:szCs w:val="18"/>
                    </w:rPr>
                    <w:t>C3059】其他玻璃制品制造，不属于国家明令禁止的项目，不属于高耗水、高耗能、污水排放量大的项目</w:t>
                  </w:r>
                </w:p>
              </w:tc>
              <w:tc>
                <w:tcPr>
                  <w:tcW w:w="530" w:type="pct"/>
                  <w:vAlign w:val="center"/>
                </w:tcPr>
                <w:p>
                  <w:pPr>
                    <w:jc w:val="center"/>
                    <w:rPr>
                      <w:rFonts w:ascii="Times New Roman" w:hAnsi="Times New Roman"/>
                    </w:rPr>
                  </w:pPr>
                  <w:r>
                    <w:rPr>
                      <w:rFonts w:ascii="Times New Roman" w:hAnsi="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5" w:type="pct"/>
                  <w:vAlign w:val="center"/>
                </w:tcPr>
                <w:p>
                  <w:pPr>
                    <w:jc w:val="center"/>
                    <w:rPr>
                      <w:rFonts w:ascii="Times New Roman" w:hAnsi="Times New Roman"/>
                    </w:rPr>
                  </w:pPr>
                  <w:r>
                    <w:rPr>
                      <w:rFonts w:ascii="Times New Roman" w:hAnsi="Times New Roman"/>
                    </w:rPr>
                    <w:t>4</w:t>
                  </w:r>
                </w:p>
              </w:tc>
              <w:tc>
                <w:tcPr>
                  <w:tcW w:w="2546" w:type="pct"/>
                  <w:vAlign w:val="center"/>
                </w:tcPr>
                <w:p>
                  <w:pPr>
                    <w:pStyle w:val="62"/>
                    <w:jc w:val="center"/>
                    <w:rPr>
                      <w:rFonts w:ascii="Times New Roman" w:hAnsi="Times New Roman" w:cs="Times New Roman"/>
                    </w:rPr>
                  </w:pPr>
                  <w:r>
                    <w:rPr>
                      <w:rFonts w:ascii="Times New Roman" w:hAnsi="Times New Roman" w:cs="Times New Roman"/>
                    </w:rPr>
                    <w:t>加强环境保护机构、制度建设和管理。入区建设项目应认真履行环保法律法规要求，严格执行环境影响评价制度和环保“三同时”制度；新增大气污染物、水污染物和重金属的排放总量，应按照污染物排放总量控制的要求严格执行</w:t>
                  </w:r>
                </w:p>
              </w:tc>
              <w:tc>
                <w:tcPr>
                  <w:tcW w:w="1719" w:type="pct"/>
                  <w:vAlign w:val="center"/>
                </w:tcPr>
                <w:p>
                  <w:pPr>
                    <w:pStyle w:val="62"/>
                    <w:jc w:val="center"/>
                    <w:rPr>
                      <w:rFonts w:ascii="Times New Roman" w:hAnsi="Times New Roman" w:cs="Times New Roman"/>
                      <w:lang w:val="en-US"/>
                    </w:rPr>
                  </w:pPr>
                  <w:r>
                    <w:rPr>
                      <w:rFonts w:ascii="Times New Roman" w:hAnsi="Times New Roman" w:cs="Times New Roman"/>
                      <w:lang w:val="en-US"/>
                    </w:rPr>
                    <w:t>项目正在履行环境影响评价制度，严格执行环境保护“三同时”制度；建设单位承诺按照报告表提出的环保措施要求及国家的环境法律法规和标准要求进行厂内建设及运行管理。</w:t>
                  </w:r>
                </w:p>
              </w:tc>
              <w:tc>
                <w:tcPr>
                  <w:tcW w:w="530" w:type="pct"/>
                  <w:vAlign w:val="center"/>
                </w:tcPr>
                <w:p>
                  <w:pPr>
                    <w:jc w:val="center"/>
                    <w:rPr>
                      <w:rFonts w:ascii="Times New Roman" w:hAnsi="Times New Roman"/>
                    </w:rPr>
                  </w:pPr>
                  <w:r>
                    <w:rPr>
                      <w:rFonts w:ascii="Times New Roman" w:hAnsi="Times New Roman"/>
                    </w:rPr>
                    <w:t>符合</w:t>
                  </w:r>
                </w:p>
              </w:tc>
            </w:tr>
          </w:tbl>
          <w:p>
            <w:pPr>
              <w:spacing w:line="440" w:lineRule="exact"/>
              <w:ind w:firstLine="480" w:firstLineChars="200"/>
              <w:jc w:val="both"/>
              <w:rPr>
                <w:rFonts w:ascii="Times New Roman" w:hAnsi="Times New Roman"/>
                <w:sz w:val="24"/>
              </w:rPr>
            </w:pPr>
            <w:r>
              <w:rPr>
                <w:rFonts w:ascii="Times New Roman" w:hAnsi="Times New Roman"/>
                <w:bCs/>
                <w:kern w:val="2"/>
                <w:sz w:val="24"/>
                <w:szCs w:val="32"/>
              </w:rPr>
              <w:t>本项目位于安徽凤台经济开发区桂集产业园，为机械装备相配套的上游产业，属于兼顾培育产业范围，不属于开发区严格禁止项目，不在开发区的负面清单范围内。因此，项目建设符合安徽凤台经济开发区总体发展规划环境影响评价报告书及审查意见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8" w:hRule="atLeast"/>
          <w:jc w:val="center"/>
        </w:trPr>
        <w:tc>
          <w:tcPr>
            <w:tcW w:w="1261" w:type="dxa"/>
            <w:vAlign w:val="center"/>
          </w:tcPr>
          <w:p>
            <w:pPr>
              <w:pStyle w:val="2"/>
              <w:spacing w:after="0" w:line="440" w:lineRule="exact"/>
              <w:ind w:left="0" w:leftChars="0" w:firstLine="0" w:firstLineChars="0"/>
              <w:jc w:val="center"/>
              <w:rPr>
                <w:rFonts w:ascii="Times New Roman" w:hAnsi="Times New Roman"/>
              </w:rPr>
            </w:pPr>
            <w:r>
              <w:rPr>
                <w:rFonts w:ascii="Times New Roman" w:hAnsi="Times New Roman"/>
              </w:rPr>
              <w:t>其他符合性分析</w:t>
            </w:r>
          </w:p>
        </w:tc>
        <w:tc>
          <w:tcPr>
            <w:tcW w:w="7019" w:type="dxa"/>
            <w:gridSpan w:val="3"/>
            <w:vAlign w:val="center"/>
          </w:tcPr>
          <w:p>
            <w:pPr>
              <w:pStyle w:val="6"/>
              <w:spacing w:line="440" w:lineRule="exact"/>
              <w:ind w:left="0" w:firstLine="482" w:firstLineChars="200"/>
              <w:jc w:val="both"/>
              <w:rPr>
                <w:rFonts w:ascii="Times New Roman" w:hAnsi="Times New Roman" w:cs="Times New Roman"/>
              </w:rPr>
            </w:pPr>
            <w:r>
              <w:rPr>
                <w:rFonts w:ascii="Times New Roman" w:hAnsi="Times New Roman" w:cs="Times New Roman"/>
              </w:rPr>
              <w:t>1、“三线一单”符合性分析判定</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分析建设项目与所在地“三线一单”（生态保护红线、环境质量底线、资源利用上线和生态环境准入清单）及相关生态环境保护法律法规政策、生态环境保护规划的符合性。</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根据环境保护部环评[2016]150号《关于以改善环境质量为核心加强环境影响评价管理的通知》要求：为适应以改善环境质量为核心的环境管理要求，切实加强环境影响评价（以下简称环评）管理，落实“生态保护红线、环境质量底线、资源利用上线和环境准入负面清单”（以下简称“三线一单”）约束，建立项目环评审批与规划环评、现有项目环境管理、区域环境质量联动机制，更好地发挥环评制度从源头防范环境污染和生态破坏的作用，加快推进改善环境质量。</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（1）生态保护红线</w:t>
            </w:r>
          </w:p>
          <w:p>
            <w:pPr>
              <w:spacing w:line="440" w:lineRule="exact"/>
              <w:ind w:firstLine="480"/>
              <w:jc w:val="both"/>
              <w:rPr>
                <w:rFonts w:ascii="Times New Roman" w:hAnsi="Times New Roman"/>
                <w:sz w:val="24"/>
              </w:rPr>
            </w:pPr>
            <w:r>
              <w:rPr>
                <w:rFonts w:ascii="Times New Roman" w:hAnsi="Times New Roman"/>
                <w:sz w:val="24"/>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spacing w:line="440" w:lineRule="exact"/>
              <w:ind w:firstLine="480"/>
              <w:jc w:val="both"/>
              <w:rPr>
                <w:rFonts w:ascii="Times New Roman" w:hAnsi="Times New Roman"/>
                <w:sz w:val="24"/>
              </w:rPr>
            </w:pPr>
            <w:r>
              <w:rPr>
                <w:rFonts w:ascii="Times New Roman" w:hAnsi="Times New Roman"/>
                <w:sz w:val="24"/>
              </w:rPr>
              <w:t>根据《安徽省生态保护红线》，淮南市生态保护红线总面积为373.98平方公里，占全市国土总面积的6.76%。</w:t>
            </w:r>
          </w:p>
          <w:p>
            <w:pPr>
              <w:pStyle w:val="2"/>
              <w:spacing w:after="0" w:line="440" w:lineRule="exact"/>
              <w:ind w:left="0" w:leftChars="0" w:firstLine="0" w:firstLineChars="0"/>
              <w:jc w:val="center"/>
              <w:rPr>
                <w:rFonts w:ascii="Times New Roman" w:hAnsi="Times New Roman"/>
                <w:b/>
                <w:bCs/>
                <w:szCs w:val="18"/>
              </w:rPr>
            </w:pPr>
            <w:r>
              <w:rPr>
                <w:rFonts w:ascii="Times New Roman" w:hAnsi="Times New Roman"/>
                <w:b/>
                <w:bCs/>
                <w:szCs w:val="18"/>
              </w:rPr>
              <w:t>表1-3  淮南市生态保护红线划定结果</w:t>
            </w:r>
          </w:p>
          <w:tbl>
            <w:tblPr>
              <w:tblStyle w:val="2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928"/>
              <w:gridCol w:w="1135"/>
              <w:gridCol w:w="1312"/>
              <w:gridCol w:w="1064"/>
              <w:gridCol w:w="1056"/>
              <w:gridCol w:w="15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990"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行政区划代码</w:t>
                  </w:r>
                </w:p>
              </w:tc>
              <w:tc>
                <w:tcPr>
                  <w:tcW w:w="870"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省辖市</w:t>
                  </w:r>
                </w:p>
              </w:tc>
              <w:tc>
                <w:tcPr>
                  <w:tcW w:w="1064"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县（市、区）</w:t>
                  </w:r>
                </w:p>
              </w:tc>
              <w:tc>
                <w:tcPr>
                  <w:tcW w:w="1230"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省辖市（县、市、区）域面积（km</w:t>
                  </w:r>
                  <w:r>
                    <w:rPr>
                      <w:rFonts w:ascii="Times New Roman" w:hAnsi="Times New Roman"/>
                      <w:b/>
                      <w:bCs/>
                      <w:vertAlign w:val="superscript"/>
                      <w:lang w:val="en-US" w:bidi="ar-SA"/>
                    </w:rPr>
                    <w:t>2</w:t>
                  </w:r>
                  <w:r>
                    <w:rPr>
                      <w:rFonts w:ascii="Times New Roman" w:hAnsi="Times New Roman"/>
                      <w:b/>
                      <w:bCs/>
                      <w:lang w:val="en-US" w:bidi="ar-SA"/>
                    </w:rPr>
                    <w:t>）</w:t>
                  </w:r>
                </w:p>
              </w:tc>
              <w:tc>
                <w:tcPr>
                  <w:tcW w:w="990"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红线面积（km</w:t>
                  </w:r>
                  <w:r>
                    <w:rPr>
                      <w:rFonts w:ascii="Times New Roman" w:hAnsi="Times New Roman"/>
                      <w:b/>
                      <w:bCs/>
                      <w:vertAlign w:val="superscript"/>
                      <w:lang w:val="en-US" w:bidi="ar-SA"/>
                    </w:rPr>
                    <w:t>2</w:t>
                  </w:r>
                  <w:r>
                    <w:rPr>
                      <w:rFonts w:ascii="Times New Roman" w:hAnsi="Times New Roman"/>
                      <w:b/>
                      <w:bCs/>
                      <w:lang w:val="en-US" w:bidi="ar-SA"/>
                    </w:rPr>
                    <w:t>）</w:t>
                  </w:r>
                </w:p>
              </w:tc>
              <w:tc>
                <w:tcPr>
                  <w:tcW w:w="990"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面积占比</w:t>
                  </w:r>
                </w:p>
              </w:tc>
              <w:tc>
                <w:tcPr>
                  <w:tcW w:w="1470"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主导生态功能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340400</w:t>
                  </w:r>
                </w:p>
              </w:tc>
              <w:tc>
                <w:tcPr>
                  <w:tcW w:w="870"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淮南市</w:t>
                  </w:r>
                </w:p>
              </w:tc>
              <w:tc>
                <w:tcPr>
                  <w:tcW w:w="106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淮南市</w:t>
                  </w:r>
                </w:p>
              </w:tc>
              <w:tc>
                <w:tcPr>
                  <w:tcW w:w="123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5532.4</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373.98</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6.76%</w:t>
                  </w:r>
                </w:p>
              </w:tc>
              <w:tc>
                <w:tcPr>
                  <w:tcW w:w="1470" w:type="dxa"/>
                  <w:noWrap/>
                  <w:vAlign w:val="center"/>
                </w:tcPr>
                <w:p>
                  <w:pPr>
                    <w:widowControl/>
                    <w:autoSpaceDE/>
                    <w:autoSpaceDN/>
                    <w:jc w:val="center"/>
                    <w:rPr>
                      <w:rFonts w:ascii="Times New Roman" w:hAnsi="Times New Roman"/>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340402</w:t>
                  </w:r>
                </w:p>
              </w:tc>
              <w:tc>
                <w:tcPr>
                  <w:tcW w:w="870" w:type="dxa"/>
                  <w:vMerge w:val="continue"/>
                  <w:vAlign w:val="center"/>
                </w:tcPr>
                <w:p>
                  <w:pPr>
                    <w:widowControl/>
                    <w:autoSpaceDE/>
                    <w:autoSpaceDN/>
                    <w:jc w:val="center"/>
                    <w:rPr>
                      <w:rFonts w:ascii="Times New Roman" w:hAnsi="Times New Roman"/>
                      <w:lang w:val="en-US" w:bidi="ar-SA"/>
                    </w:rPr>
                  </w:pPr>
                </w:p>
              </w:tc>
              <w:tc>
                <w:tcPr>
                  <w:tcW w:w="106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太通区</w:t>
                  </w:r>
                </w:p>
              </w:tc>
              <w:tc>
                <w:tcPr>
                  <w:tcW w:w="123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306.3</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37.83</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12.35%</w:t>
                  </w:r>
                </w:p>
              </w:tc>
              <w:tc>
                <w:tcPr>
                  <w:tcW w:w="147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340403</w:t>
                  </w:r>
                </w:p>
              </w:tc>
              <w:tc>
                <w:tcPr>
                  <w:tcW w:w="870" w:type="dxa"/>
                  <w:vMerge w:val="continue"/>
                  <w:vAlign w:val="center"/>
                </w:tcPr>
                <w:p>
                  <w:pPr>
                    <w:widowControl/>
                    <w:autoSpaceDE/>
                    <w:autoSpaceDN/>
                    <w:jc w:val="center"/>
                    <w:rPr>
                      <w:rFonts w:ascii="Times New Roman" w:hAnsi="Times New Roman"/>
                      <w:lang w:val="en-US" w:bidi="ar-SA"/>
                    </w:rPr>
                  </w:pPr>
                </w:p>
              </w:tc>
              <w:tc>
                <w:tcPr>
                  <w:tcW w:w="106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田家庵区</w:t>
                  </w:r>
                </w:p>
              </w:tc>
              <w:tc>
                <w:tcPr>
                  <w:tcW w:w="123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250.0</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11.07</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4.43%</w:t>
                  </w:r>
                </w:p>
              </w:tc>
              <w:tc>
                <w:tcPr>
                  <w:tcW w:w="147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340404</w:t>
                  </w:r>
                </w:p>
              </w:tc>
              <w:tc>
                <w:tcPr>
                  <w:tcW w:w="870" w:type="dxa"/>
                  <w:vMerge w:val="continue"/>
                  <w:vAlign w:val="center"/>
                </w:tcPr>
                <w:p>
                  <w:pPr>
                    <w:widowControl/>
                    <w:autoSpaceDE/>
                    <w:autoSpaceDN/>
                    <w:jc w:val="center"/>
                    <w:rPr>
                      <w:rFonts w:ascii="Times New Roman" w:hAnsi="Times New Roman"/>
                      <w:lang w:val="en-US" w:bidi="ar-SA"/>
                    </w:rPr>
                  </w:pPr>
                </w:p>
              </w:tc>
              <w:tc>
                <w:tcPr>
                  <w:tcW w:w="106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谢家集区</w:t>
                  </w:r>
                </w:p>
              </w:tc>
              <w:tc>
                <w:tcPr>
                  <w:tcW w:w="123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270.6</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47.85</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17.68%</w:t>
                  </w:r>
                </w:p>
              </w:tc>
              <w:tc>
                <w:tcPr>
                  <w:tcW w:w="147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340405</w:t>
                  </w:r>
                </w:p>
              </w:tc>
              <w:tc>
                <w:tcPr>
                  <w:tcW w:w="870" w:type="dxa"/>
                  <w:vMerge w:val="continue"/>
                  <w:vAlign w:val="center"/>
                </w:tcPr>
                <w:p>
                  <w:pPr>
                    <w:widowControl/>
                    <w:autoSpaceDE/>
                    <w:autoSpaceDN/>
                    <w:jc w:val="center"/>
                    <w:rPr>
                      <w:rFonts w:ascii="Times New Roman" w:hAnsi="Times New Roman"/>
                      <w:lang w:val="en-US" w:bidi="ar-SA"/>
                    </w:rPr>
                  </w:pPr>
                </w:p>
              </w:tc>
              <w:tc>
                <w:tcPr>
                  <w:tcW w:w="106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八公山区</w:t>
                  </w:r>
                </w:p>
              </w:tc>
              <w:tc>
                <w:tcPr>
                  <w:tcW w:w="123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67.2</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12.50</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18.61%</w:t>
                  </w:r>
                </w:p>
              </w:tc>
              <w:tc>
                <w:tcPr>
                  <w:tcW w:w="147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340406</w:t>
                  </w:r>
                </w:p>
              </w:tc>
              <w:tc>
                <w:tcPr>
                  <w:tcW w:w="870" w:type="dxa"/>
                  <w:vMerge w:val="continue"/>
                  <w:vAlign w:val="center"/>
                </w:tcPr>
                <w:p>
                  <w:pPr>
                    <w:widowControl/>
                    <w:autoSpaceDE/>
                    <w:autoSpaceDN/>
                    <w:jc w:val="center"/>
                    <w:rPr>
                      <w:rFonts w:ascii="Times New Roman" w:hAnsi="Times New Roman"/>
                      <w:lang w:val="en-US" w:bidi="ar-SA"/>
                    </w:rPr>
                  </w:pPr>
                </w:p>
              </w:tc>
              <w:tc>
                <w:tcPr>
                  <w:tcW w:w="106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潘集区</w:t>
                  </w:r>
                </w:p>
              </w:tc>
              <w:tc>
                <w:tcPr>
                  <w:tcW w:w="123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598.3</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23.55</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3.94%</w:t>
                  </w:r>
                </w:p>
              </w:tc>
              <w:tc>
                <w:tcPr>
                  <w:tcW w:w="147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生多维护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340421</w:t>
                  </w:r>
                </w:p>
              </w:tc>
              <w:tc>
                <w:tcPr>
                  <w:tcW w:w="870" w:type="dxa"/>
                  <w:vMerge w:val="continue"/>
                  <w:vAlign w:val="center"/>
                </w:tcPr>
                <w:p>
                  <w:pPr>
                    <w:widowControl/>
                    <w:autoSpaceDE/>
                    <w:autoSpaceDN/>
                    <w:jc w:val="center"/>
                    <w:rPr>
                      <w:rFonts w:ascii="Times New Roman" w:hAnsi="Times New Roman"/>
                      <w:lang w:val="en-US" w:bidi="ar-SA"/>
                    </w:rPr>
                  </w:pPr>
                </w:p>
              </w:tc>
              <w:tc>
                <w:tcPr>
                  <w:tcW w:w="106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凤台县</w:t>
                  </w:r>
                </w:p>
              </w:tc>
              <w:tc>
                <w:tcPr>
                  <w:tcW w:w="123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1091.7</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66.54</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6.10%</w:t>
                  </w:r>
                </w:p>
              </w:tc>
              <w:tc>
                <w:tcPr>
                  <w:tcW w:w="147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水土保持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340422</w:t>
                  </w:r>
                </w:p>
              </w:tc>
              <w:tc>
                <w:tcPr>
                  <w:tcW w:w="870" w:type="dxa"/>
                  <w:vMerge w:val="continue"/>
                  <w:vAlign w:val="center"/>
                </w:tcPr>
                <w:p>
                  <w:pPr>
                    <w:widowControl/>
                    <w:autoSpaceDE/>
                    <w:autoSpaceDN/>
                    <w:jc w:val="center"/>
                    <w:rPr>
                      <w:rFonts w:ascii="Times New Roman" w:hAnsi="Times New Roman"/>
                      <w:lang w:val="en-US" w:bidi="ar-SA"/>
                    </w:rPr>
                  </w:pPr>
                </w:p>
              </w:tc>
              <w:tc>
                <w:tcPr>
                  <w:tcW w:w="106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寿县</w:t>
                  </w:r>
                </w:p>
              </w:tc>
              <w:tc>
                <w:tcPr>
                  <w:tcW w:w="123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2948.4</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174.64</w:t>
                  </w:r>
                </w:p>
              </w:tc>
              <w:tc>
                <w:tcPr>
                  <w:tcW w:w="99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5.92%</w:t>
                  </w:r>
                </w:p>
              </w:tc>
              <w:tc>
                <w:tcPr>
                  <w:tcW w:w="147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水土保持</w:t>
                  </w:r>
                </w:p>
              </w:tc>
            </w:tr>
          </w:tbl>
          <w:p>
            <w:pPr>
              <w:spacing w:line="440" w:lineRule="exact"/>
              <w:ind w:firstLine="480" w:firstLineChars="200"/>
              <w:jc w:val="both"/>
              <w:rPr>
                <w:rFonts w:ascii="Times New Roman" w:hAnsi="Times New Roman"/>
                <w:sz w:val="24"/>
                <w:szCs w:val="24"/>
              </w:rPr>
            </w:pPr>
            <w:r>
              <w:rPr>
                <w:rFonts w:ascii="Times New Roman" w:hAnsi="Times New Roman"/>
                <w:sz w:val="24"/>
                <w:szCs w:val="24"/>
              </w:rPr>
              <w:t>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w:t>
            </w:r>
          </w:p>
          <w:p>
            <w:pPr>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本项目位于</w:t>
            </w:r>
            <w:r>
              <w:rPr>
                <w:rFonts w:ascii="Times New Roman" w:hAnsi="Times New Roman"/>
                <w:bCs/>
                <w:kern w:val="2"/>
                <w:sz w:val="24"/>
                <w:szCs w:val="32"/>
              </w:rPr>
              <w:t>安徽凤台经济开发区桂集产业园</w:t>
            </w:r>
            <w:r>
              <w:rPr>
                <w:rFonts w:ascii="Times New Roman" w:hAnsi="Times New Roman"/>
                <w:sz w:val="24"/>
                <w:szCs w:val="24"/>
              </w:rPr>
              <w:t>，用地性质为工业用地。根据调查，建设项目影响范围内无重要生态影响功能区域，建设项目影响范围内无自然保护区、风景名胜区、森林公园、地质公园、重要湿地等特殊生态敏感区以及重要生态敏感区。本项目不在淮南市生态红线范围内，详见附图6。</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（2）环境质量底线</w:t>
            </w:r>
          </w:p>
          <w:p>
            <w:pPr>
              <w:pStyle w:val="6"/>
              <w:spacing w:line="440" w:lineRule="exact"/>
              <w:ind w:left="0" w:firstLine="480" w:firstLineChars="200"/>
              <w:jc w:val="both"/>
              <w:rPr>
                <w:rFonts w:ascii="Times New Roman" w:hAnsi="Times New Roman" w:cs="Times New Roman"/>
                <w:b w:val="0"/>
                <w:bCs w:val="0"/>
              </w:rPr>
            </w:pPr>
            <w:r>
              <w:rPr>
                <w:rFonts w:ascii="Times New Roman" w:hAnsi="Times New Roman" w:cs="Times New Roman"/>
                <w:b w:val="0"/>
                <w:bCs w:val="0"/>
              </w:rPr>
              <w:t>根据《2021年淮南市环境质量状况公报》可知，2021年，淮南市市区环境空气中的主要污染物二氧化硫（SO</w:t>
            </w:r>
            <w:r>
              <w:rPr>
                <w:rFonts w:ascii="Times New Roman" w:hAnsi="Times New Roman" w:cs="Times New Roman"/>
                <w:b w:val="0"/>
                <w:bCs w:val="0"/>
                <w:vertAlign w:val="subscript"/>
              </w:rPr>
              <w:t>2</w:t>
            </w:r>
            <w:r>
              <w:rPr>
                <w:rFonts w:ascii="Times New Roman" w:hAnsi="Times New Roman" w:cs="Times New Roman"/>
                <w:b w:val="0"/>
                <w:bCs w:val="0"/>
              </w:rPr>
              <w:t>）年均浓度、二氧化氮（NO</w:t>
            </w:r>
            <w:r>
              <w:rPr>
                <w:rFonts w:ascii="Times New Roman" w:hAnsi="Times New Roman" w:cs="Times New Roman"/>
                <w:b w:val="0"/>
                <w:bCs w:val="0"/>
                <w:vertAlign w:val="subscript"/>
              </w:rPr>
              <w:t>2</w:t>
            </w:r>
            <w:r>
              <w:rPr>
                <w:rFonts w:ascii="Times New Roman" w:hAnsi="Times New Roman" w:cs="Times New Roman"/>
                <w:b w:val="0"/>
                <w:bCs w:val="0"/>
              </w:rPr>
              <w:t>）年均浓度、可吸入颗粒物（PM</w:t>
            </w:r>
            <w:r>
              <w:rPr>
                <w:rFonts w:ascii="Times New Roman" w:hAnsi="Times New Roman" w:cs="Times New Roman"/>
                <w:b w:val="0"/>
                <w:bCs w:val="0"/>
                <w:vertAlign w:val="subscript"/>
              </w:rPr>
              <w:t>10</w:t>
            </w:r>
            <w:r>
              <w:rPr>
                <w:rFonts w:ascii="Times New Roman" w:hAnsi="Times New Roman" w:cs="Times New Roman"/>
                <w:b w:val="0"/>
                <w:bCs w:val="0"/>
              </w:rPr>
              <w:t>）年均浓度、细颗粒物（PM</w:t>
            </w:r>
            <w:r>
              <w:rPr>
                <w:rFonts w:ascii="Times New Roman" w:hAnsi="Times New Roman" w:cs="Times New Roman"/>
                <w:b w:val="0"/>
                <w:bCs w:val="0"/>
                <w:vertAlign w:val="subscript"/>
              </w:rPr>
              <w:t>2.5</w:t>
            </w:r>
            <w:r>
              <w:rPr>
                <w:rFonts w:ascii="Times New Roman" w:hAnsi="Times New Roman" w:cs="Times New Roman"/>
                <w:b w:val="0"/>
                <w:bCs w:val="0"/>
              </w:rPr>
              <w:t>）年均浓度、一氧化碳（CO）日均值第95百分位浓度、臭氧（O</w:t>
            </w:r>
            <w:r>
              <w:rPr>
                <w:rFonts w:ascii="Times New Roman" w:hAnsi="Times New Roman" w:cs="Times New Roman"/>
                <w:b w:val="0"/>
                <w:bCs w:val="0"/>
                <w:vertAlign w:val="subscript"/>
              </w:rPr>
              <w:t>3</w:t>
            </w:r>
            <w:r>
              <w:rPr>
                <w:rFonts w:ascii="Times New Roman" w:hAnsi="Times New Roman" w:cs="Times New Roman"/>
                <w:b w:val="0"/>
                <w:bCs w:val="0"/>
              </w:rPr>
              <w:t>）日最大8小时平均第90百分位浓度分别为8微克/立方米、23微克/立方米、71微克/立方米、42微克/立方米、0.9毫克/立方米和162微克/立方米，二氧化硫（SO</w:t>
            </w:r>
            <w:r>
              <w:rPr>
                <w:rFonts w:ascii="Times New Roman" w:hAnsi="Times New Roman" w:cs="Times New Roman"/>
                <w:b w:val="0"/>
                <w:bCs w:val="0"/>
                <w:vertAlign w:val="subscript"/>
              </w:rPr>
              <w:t>2</w:t>
            </w:r>
            <w:r>
              <w:rPr>
                <w:rFonts w:ascii="Times New Roman" w:hAnsi="Times New Roman" w:cs="Times New Roman"/>
                <w:b w:val="0"/>
                <w:bCs w:val="0"/>
              </w:rPr>
              <w:t>）、二氧化氮（NO</w:t>
            </w:r>
            <w:r>
              <w:rPr>
                <w:rFonts w:ascii="Times New Roman" w:hAnsi="Times New Roman" w:cs="Times New Roman"/>
                <w:b w:val="0"/>
                <w:bCs w:val="0"/>
                <w:vertAlign w:val="subscript"/>
              </w:rPr>
              <w:t>2</w:t>
            </w:r>
            <w:r>
              <w:rPr>
                <w:rFonts w:ascii="Times New Roman" w:hAnsi="Times New Roman" w:cs="Times New Roman"/>
                <w:b w:val="0"/>
                <w:bCs w:val="0"/>
              </w:rPr>
              <w:t>）、一氧化碳（CO）均符合《环境空气质量标准》（GB3095-2012）二级标准，可吸入颗粒物（PM</w:t>
            </w:r>
            <w:r>
              <w:rPr>
                <w:rFonts w:ascii="Times New Roman" w:hAnsi="Times New Roman" w:cs="Times New Roman"/>
                <w:b w:val="0"/>
                <w:bCs w:val="0"/>
                <w:vertAlign w:val="subscript"/>
              </w:rPr>
              <w:t>10</w:t>
            </w:r>
            <w:r>
              <w:rPr>
                <w:rFonts w:ascii="Times New Roman" w:hAnsi="Times New Roman" w:cs="Times New Roman"/>
                <w:b w:val="0"/>
                <w:bCs w:val="0"/>
              </w:rPr>
              <w:t>）年均浓度、臭氧（O</w:t>
            </w:r>
            <w:r>
              <w:rPr>
                <w:rFonts w:ascii="Times New Roman" w:hAnsi="Times New Roman" w:cs="Times New Roman"/>
                <w:b w:val="0"/>
                <w:bCs w:val="0"/>
                <w:vertAlign w:val="subscript"/>
              </w:rPr>
              <w:t>3</w:t>
            </w:r>
            <w:r>
              <w:rPr>
                <w:rFonts w:ascii="Times New Roman" w:hAnsi="Times New Roman" w:cs="Times New Roman"/>
                <w:b w:val="0"/>
                <w:bCs w:val="0"/>
              </w:rPr>
              <w:t>）和细颗粒物（PM</w:t>
            </w:r>
            <w:r>
              <w:rPr>
                <w:rFonts w:ascii="Times New Roman" w:hAnsi="Times New Roman" w:cs="Times New Roman"/>
                <w:b w:val="0"/>
                <w:bCs w:val="0"/>
                <w:vertAlign w:val="subscript"/>
              </w:rPr>
              <w:t>2.5</w:t>
            </w:r>
            <w:r>
              <w:rPr>
                <w:rFonts w:ascii="Times New Roman" w:hAnsi="Times New Roman" w:cs="Times New Roman"/>
                <w:b w:val="0"/>
                <w:bCs w:val="0"/>
              </w:rPr>
              <w:t>）年均浓度分别超过《环境空气质量标准》（GB3095-2012）二级标准0.01倍、0.01倍和0.20倍。因此，淮南市为不达标区，项目所在地大气环境质量一般，在采取大气污染防治专项整治方案后，淮南市空气质量能够得到改善。</w:t>
            </w:r>
          </w:p>
          <w:p>
            <w:pPr>
              <w:pStyle w:val="2"/>
              <w:spacing w:after="0" w:line="440" w:lineRule="exact"/>
              <w:ind w:left="0" w:leftChars="0" w:firstLine="480"/>
              <w:jc w:val="both"/>
              <w:rPr>
                <w:rFonts w:ascii="Times New Roman" w:hAnsi="Times New Roman"/>
                <w:sz w:val="24"/>
              </w:rPr>
            </w:pPr>
            <w:r>
              <w:rPr>
                <w:rFonts w:ascii="Times New Roman" w:hAnsi="Times New Roman"/>
                <w:sz w:val="24"/>
              </w:rPr>
              <w:t>根据《2021年淮南市环境质量状况公报》，2021年，全市地表水26个监测断面（点位）中</w:t>
            </w:r>
            <w:r>
              <w:rPr>
                <w:rFonts w:hint="eastAsia" w:cs="宋体"/>
                <w:sz w:val="24"/>
              </w:rPr>
              <w:t>Ⅰ</w:t>
            </w:r>
            <w:r>
              <w:rPr>
                <w:rFonts w:ascii="Times New Roman" w:hAnsi="Times New Roman"/>
                <w:sz w:val="24"/>
              </w:rPr>
              <w:t>-</w:t>
            </w:r>
            <w:r>
              <w:rPr>
                <w:rFonts w:hint="eastAsia" w:cs="宋体"/>
                <w:sz w:val="24"/>
              </w:rPr>
              <w:t>Ⅲ</w:t>
            </w:r>
            <w:r>
              <w:rPr>
                <w:rFonts w:ascii="Times New Roman" w:hAnsi="Times New Roman"/>
                <w:sz w:val="24"/>
              </w:rPr>
              <w:t>类水质比例为76.9%，无劣</w:t>
            </w:r>
            <w:r>
              <w:rPr>
                <w:rFonts w:hint="eastAsia" w:cs="宋体"/>
                <w:sz w:val="24"/>
              </w:rPr>
              <w:t>Ⅴ</w:t>
            </w:r>
            <w:r>
              <w:rPr>
                <w:rFonts w:ascii="Times New Roman" w:hAnsi="Times New Roman"/>
                <w:sz w:val="24"/>
              </w:rPr>
              <w:t>类水质，总体水质状况为良好。比上年增加0.7个百分点，水质状况保持良好。市辖淮河干流及其支流22个监测断面中</w:t>
            </w:r>
            <w:r>
              <w:rPr>
                <w:rFonts w:hint="eastAsia" w:cs="宋体"/>
                <w:sz w:val="24"/>
              </w:rPr>
              <w:t>Ⅰ</w:t>
            </w:r>
            <w:r>
              <w:rPr>
                <w:rFonts w:ascii="Times New Roman" w:hAnsi="Times New Roman"/>
                <w:sz w:val="24"/>
              </w:rPr>
              <w:t>-</w:t>
            </w:r>
            <w:r>
              <w:rPr>
                <w:rFonts w:hint="eastAsia" w:cs="宋体"/>
                <w:sz w:val="24"/>
              </w:rPr>
              <w:t>Ⅲ</w:t>
            </w:r>
            <w:r>
              <w:rPr>
                <w:rFonts w:ascii="Times New Roman" w:hAnsi="Times New Roman"/>
                <w:sz w:val="24"/>
              </w:rPr>
              <w:t>类水质比例为86.4%，无劣</w:t>
            </w:r>
            <w:r>
              <w:rPr>
                <w:rFonts w:hint="eastAsia" w:cs="宋体"/>
                <w:sz w:val="24"/>
              </w:rPr>
              <w:t>Ⅴ</w:t>
            </w:r>
            <w:r>
              <w:rPr>
                <w:rFonts w:ascii="Times New Roman" w:hAnsi="Times New Roman"/>
                <w:sz w:val="24"/>
              </w:rPr>
              <w:t>类水质，总体水质良好。与2020年相比水质比例增加5.2个百分点，水质状况保持良好。项目位于安徽凤台经济开发区桂集产业园，纳污水体为永幸河，地表水环境质量现状引用《安徽凤台经济开发区环境影响区域评估报告》地表水环境质量现状监测数据，永幸河各监测断面监测项目满足《地表水环境质量标准》（GB3838-2002）中的</w:t>
            </w:r>
            <w:r>
              <w:rPr>
                <w:rFonts w:hint="eastAsia" w:cs="宋体"/>
                <w:sz w:val="24"/>
                <w:lang w:val="en-US"/>
              </w:rPr>
              <w:t>Ⅳ</w:t>
            </w:r>
            <w:r>
              <w:rPr>
                <w:rFonts w:ascii="Times New Roman" w:hAnsi="Times New Roman"/>
                <w:sz w:val="24"/>
              </w:rPr>
              <w:t>类标准要求。</w:t>
            </w:r>
          </w:p>
          <w:p>
            <w:pPr>
              <w:pStyle w:val="2"/>
              <w:spacing w:after="0" w:line="440" w:lineRule="exact"/>
              <w:ind w:left="0" w:leftChars="0" w:firstLine="480"/>
              <w:jc w:val="both"/>
              <w:rPr>
                <w:rFonts w:ascii="Times New Roman" w:hAnsi="Times New Roman"/>
                <w:sz w:val="24"/>
              </w:rPr>
            </w:pPr>
            <w:r>
              <w:rPr>
                <w:rFonts w:ascii="Times New Roman" w:hAnsi="Times New Roman"/>
                <w:sz w:val="24"/>
              </w:rPr>
              <w:t>根据《安徽凤台经济开发区环境影响区域评估报告》声环境质量监测结果，项目区域声环境质量满足《声环境质量标准》（GB3096-2008）中3类标准要求。</w:t>
            </w:r>
          </w:p>
          <w:p>
            <w:pPr>
              <w:spacing w:line="440" w:lineRule="exact"/>
              <w:ind w:firstLine="482"/>
              <w:jc w:val="both"/>
              <w:rPr>
                <w:rFonts w:ascii="Times New Roman" w:hAnsi="Times New Roman"/>
                <w:sz w:val="24"/>
              </w:rPr>
            </w:pPr>
            <w:r>
              <w:rPr>
                <w:rFonts w:ascii="Times New Roman" w:hAnsi="Times New Roman"/>
                <w:sz w:val="24"/>
              </w:rPr>
              <w:t>（3）资源利用上线</w:t>
            </w:r>
          </w:p>
          <w:p>
            <w:pPr>
              <w:spacing w:line="440" w:lineRule="exact"/>
              <w:ind w:firstLine="480"/>
              <w:jc w:val="both"/>
              <w:rPr>
                <w:rFonts w:ascii="Times New Roman" w:hAnsi="Times New Roman"/>
                <w:sz w:val="24"/>
                <w:lang w:bidi="ar"/>
              </w:rPr>
            </w:pPr>
            <w:r>
              <w:rPr>
                <w:rFonts w:ascii="Times New Roman" w:hAnsi="Times New Roman"/>
                <w:sz w:val="24"/>
                <w:lang w:bidi="ar"/>
              </w:rPr>
              <w:t>本项目水、电由区域供水管网和供电管网提供，满足资源利用要求。本项目运营过程中消耗的一定的电力、水等资源，相对区域资源利用总量较小。项目生产原料为外购玻璃，不使用自然资源。符合资源利用上线要求。</w:t>
            </w:r>
          </w:p>
          <w:p>
            <w:pPr>
              <w:spacing w:line="440" w:lineRule="exact"/>
              <w:ind w:firstLine="480"/>
              <w:jc w:val="both"/>
              <w:rPr>
                <w:rFonts w:ascii="Times New Roman" w:hAnsi="Times New Roman"/>
                <w:sz w:val="24"/>
              </w:rPr>
            </w:pPr>
            <w:r>
              <w:rPr>
                <w:rFonts w:ascii="Times New Roman" w:hAnsi="Times New Roman"/>
                <w:sz w:val="24"/>
              </w:rPr>
              <w:t>（4）环境准入负面清单</w:t>
            </w:r>
          </w:p>
          <w:p>
            <w:pPr>
              <w:adjustRightInd w:val="0"/>
              <w:snapToGrid w:val="0"/>
              <w:spacing w:line="440" w:lineRule="exact"/>
              <w:ind w:firstLine="480" w:firstLineChars="200"/>
              <w:jc w:val="both"/>
              <w:rPr>
                <w:rFonts w:ascii="Times New Roman" w:hAnsi="Times New Roman"/>
                <w:sz w:val="24"/>
                <w:lang w:bidi="ar"/>
              </w:rPr>
            </w:pPr>
            <w:r>
              <w:rPr>
                <w:rFonts w:ascii="Times New Roman" w:hAnsi="Times New Roman"/>
                <w:sz w:val="24"/>
                <w:lang w:bidi="ar"/>
              </w:rPr>
              <w:t>本项目属于玻璃制品制造，其产业政策定位根据《安徽凤台经济开发区总体发展规划环境影响报告书》中内容分析，环境保护政策规划、总量管控要求、清洁生产标准等，本着“高水平、高起点”的原则，园区对入驻企业类型提出规划范围内禁止准入及限制准入行业的环境负面清单。</w:t>
            </w:r>
          </w:p>
          <w:p>
            <w:pPr>
              <w:spacing w:line="440" w:lineRule="exact"/>
              <w:jc w:val="center"/>
              <w:rPr>
                <w:rFonts w:ascii="Times New Roman" w:hAnsi="Times New Roman"/>
                <w:b/>
                <w:bCs/>
              </w:rPr>
            </w:pPr>
            <w:r>
              <w:rPr>
                <w:rFonts w:ascii="Times New Roman" w:hAnsi="Times New Roman"/>
                <w:b/>
                <w:bCs/>
              </w:rPr>
              <w:t>表1-4  开发区行业负面清单</w:t>
            </w:r>
          </w:p>
          <w:tbl>
            <w:tblPr>
              <w:tblStyle w:val="2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4170"/>
              <w:gridCol w:w="2189"/>
              <w:gridCol w:w="1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85"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类别</w:t>
                  </w:r>
                </w:p>
              </w:tc>
              <w:tc>
                <w:tcPr>
                  <w:tcW w:w="3750"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负面清单</w:t>
                  </w:r>
                </w:p>
              </w:tc>
              <w:tc>
                <w:tcPr>
                  <w:tcW w:w="1969"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主要依据、标准和参考指标</w:t>
                  </w:r>
                </w:p>
              </w:tc>
              <w:tc>
                <w:tcPr>
                  <w:tcW w:w="998"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禁止类</w:t>
                  </w:r>
                </w:p>
              </w:tc>
              <w:tc>
                <w:tcPr>
                  <w:tcW w:w="37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坚持以国家相关产业政策和环境保护政策为指导，引进的项目必须符合国家产业政策和环保政策的要求;禁止不符合国家产业政策及环境保护政策的项目入区</w:t>
                  </w:r>
                </w:p>
              </w:tc>
              <w:tc>
                <w:tcPr>
                  <w:tcW w:w="196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产业政策及环境保护政策</w:t>
                  </w:r>
                </w:p>
              </w:tc>
              <w:tc>
                <w:tcPr>
                  <w:tcW w:w="99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vAlign w:val="center"/>
                </w:tcPr>
                <w:p>
                  <w:pPr>
                    <w:widowControl/>
                    <w:autoSpaceDE/>
                    <w:autoSpaceDN/>
                    <w:jc w:val="center"/>
                    <w:rPr>
                      <w:rFonts w:ascii="Times New Roman" w:hAnsi="Times New Roman"/>
                      <w:lang w:val="en-US" w:bidi="ar-SA"/>
                    </w:rPr>
                  </w:pPr>
                </w:p>
              </w:tc>
              <w:tc>
                <w:tcPr>
                  <w:tcW w:w="37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禁止入驻与开发区定位冲突的项目</w:t>
                  </w:r>
                </w:p>
              </w:tc>
              <w:tc>
                <w:tcPr>
                  <w:tcW w:w="196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产业定位</w:t>
                  </w:r>
                </w:p>
              </w:tc>
              <w:tc>
                <w:tcPr>
                  <w:tcW w:w="99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非禁止类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vAlign w:val="center"/>
                </w:tcPr>
                <w:p>
                  <w:pPr>
                    <w:widowControl/>
                    <w:autoSpaceDE/>
                    <w:autoSpaceDN/>
                    <w:jc w:val="center"/>
                    <w:rPr>
                      <w:rFonts w:ascii="Times New Roman" w:hAnsi="Times New Roman"/>
                      <w:lang w:val="en-US" w:bidi="ar-SA"/>
                    </w:rPr>
                  </w:pPr>
                </w:p>
              </w:tc>
              <w:tc>
                <w:tcPr>
                  <w:tcW w:w="37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禁止入驻产业结构调整指导目录中的淘汰类项目</w:t>
                  </w:r>
                </w:p>
              </w:tc>
              <w:tc>
                <w:tcPr>
                  <w:tcW w:w="196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《产业结构调整指导目录（2019年本）</w:t>
                  </w:r>
                </w:p>
              </w:tc>
              <w:tc>
                <w:tcPr>
                  <w:tcW w:w="99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非淘汰类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vAlign w:val="center"/>
                </w:tcPr>
                <w:p>
                  <w:pPr>
                    <w:widowControl/>
                    <w:autoSpaceDE/>
                    <w:autoSpaceDN/>
                    <w:jc w:val="center"/>
                    <w:rPr>
                      <w:rFonts w:ascii="Times New Roman" w:hAnsi="Times New Roman"/>
                      <w:lang w:val="en-US" w:bidi="ar-SA"/>
                    </w:rPr>
                  </w:pPr>
                </w:p>
              </w:tc>
              <w:tc>
                <w:tcPr>
                  <w:tcW w:w="37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禁止使用高污染燃料的项目入驻</w:t>
                  </w:r>
                </w:p>
              </w:tc>
              <w:tc>
                <w:tcPr>
                  <w:tcW w:w="196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99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使用电能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限制类</w:t>
                  </w:r>
                </w:p>
              </w:tc>
              <w:tc>
                <w:tcPr>
                  <w:tcW w:w="37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国家产业政策中限制类</w:t>
                  </w:r>
                </w:p>
              </w:tc>
              <w:tc>
                <w:tcPr>
                  <w:tcW w:w="196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《产业结构调整指导目录（2019年本）》</w:t>
                  </w:r>
                </w:p>
              </w:tc>
              <w:tc>
                <w:tcPr>
                  <w:tcW w:w="99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非限制类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vAlign w:val="center"/>
                </w:tcPr>
                <w:p>
                  <w:pPr>
                    <w:widowControl/>
                    <w:autoSpaceDE/>
                    <w:autoSpaceDN/>
                    <w:jc w:val="center"/>
                    <w:rPr>
                      <w:rFonts w:ascii="Times New Roman" w:hAnsi="Times New Roman"/>
                      <w:lang w:val="en-US" w:bidi="ar-SA"/>
                    </w:rPr>
                  </w:pPr>
                </w:p>
              </w:tc>
              <w:tc>
                <w:tcPr>
                  <w:tcW w:w="37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限制不符合国家产业政策及环境保护政策的项目入驻开发区</w:t>
                  </w:r>
                </w:p>
              </w:tc>
              <w:tc>
                <w:tcPr>
                  <w:tcW w:w="196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产业政策及环境保护政策</w:t>
                  </w:r>
                </w:p>
              </w:tc>
              <w:tc>
                <w:tcPr>
                  <w:tcW w:w="99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非限制类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vAlign w:val="center"/>
                </w:tcPr>
                <w:p>
                  <w:pPr>
                    <w:widowControl/>
                    <w:autoSpaceDE/>
                    <w:autoSpaceDN/>
                    <w:jc w:val="center"/>
                    <w:rPr>
                      <w:rFonts w:ascii="Times New Roman" w:hAnsi="Times New Roman"/>
                      <w:lang w:val="en-US" w:bidi="ar-SA"/>
                    </w:rPr>
                  </w:pPr>
                </w:p>
              </w:tc>
              <w:tc>
                <w:tcPr>
                  <w:tcW w:w="37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已入驻开发区内与主导产业及其产业链关联度较低的项目</w:t>
                  </w:r>
                </w:p>
              </w:tc>
              <w:tc>
                <w:tcPr>
                  <w:tcW w:w="196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产业定位</w:t>
                  </w:r>
                </w:p>
              </w:tc>
              <w:tc>
                <w:tcPr>
                  <w:tcW w:w="99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与园区已建产业关联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vAlign w:val="center"/>
                </w:tcPr>
                <w:p>
                  <w:pPr>
                    <w:widowControl/>
                    <w:autoSpaceDE/>
                    <w:autoSpaceDN/>
                    <w:jc w:val="center"/>
                    <w:rPr>
                      <w:rFonts w:ascii="Times New Roman" w:hAnsi="Times New Roman"/>
                      <w:lang w:val="en-US" w:bidi="ar-SA"/>
                    </w:rPr>
                  </w:pPr>
                </w:p>
              </w:tc>
              <w:tc>
                <w:tcPr>
                  <w:tcW w:w="3750" w:type="dxa"/>
                  <w:noWrap/>
                  <w:vAlign w:val="center"/>
                </w:tcPr>
                <w:p>
                  <w:pPr>
                    <w:widowControl/>
                    <w:autoSpaceDE/>
                    <w:autoSpaceDN/>
                    <w:jc w:val="center"/>
                    <w:rPr>
                      <w:rFonts w:ascii="Times New Roman" w:hAnsi="Times New Roman"/>
                      <w:lang w:val="en-US" w:bidi="ar-SA"/>
                    </w:rPr>
                  </w:pPr>
                  <w:r>
                    <w:rPr>
                      <w:rFonts w:ascii="Times New Roman" w:hAnsi="Times New Roman"/>
                      <w:bCs/>
                    </w:rPr>
                    <w:t>不符合行业清洁生产标准二级标准要求的；</w:t>
                  </w:r>
                </w:p>
              </w:tc>
              <w:tc>
                <w:tcPr>
                  <w:tcW w:w="1969" w:type="dxa"/>
                  <w:vMerge w:val="restart"/>
                  <w:noWrap/>
                  <w:vAlign w:val="center"/>
                </w:tcPr>
                <w:p>
                  <w:pPr>
                    <w:widowControl/>
                    <w:autoSpaceDE/>
                    <w:autoSpaceDN/>
                    <w:jc w:val="center"/>
                    <w:rPr>
                      <w:rFonts w:ascii="Times New Roman" w:hAnsi="Times New Roman"/>
                      <w:lang w:val="en-US" w:bidi="ar-SA"/>
                    </w:rPr>
                  </w:pPr>
                  <w:r>
                    <w:rPr>
                      <w:rFonts w:ascii="Times New Roman" w:hAnsi="Times New Roman"/>
                      <w:bCs/>
                    </w:rPr>
                    <w:t>清洁生产</w:t>
                  </w:r>
                </w:p>
              </w:tc>
              <w:tc>
                <w:tcPr>
                  <w:tcW w:w="998" w:type="dxa"/>
                  <w:vMerge w:val="restart"/>
                  <w:noWrap/>
                  <w:vAlign w:val="center"/>
                </w:tcPr>
                <w:p>
                  <w:pPr>
                    <w:widowControl/>
                    <w:autoSpaceDE/>
                    <w:autoSpaceDN/>
                    <w:jc w:val="center"/>
                    <w:rPr>
                      <w:rFonts w:ascii="Times New Roman" w:hAnsi="Times New Roman"/>
                      <w:lang w:val="en-US" w:bidi="ar-SA"/>
                    </w:rPr>
                  </w:pPr>
                  <w:r>
                    <w:rPr>
                      <w:rFonts w:ascii="Times New Roman" w:hAnsi="Times New Roman"/>
                      <w:bCs/>
                    </w:rPr>
                    <w:t>符合清洁生产的要求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vAlign w:val="center"/>
                </w:tcPr>
                <w:p>
                  <w:pPr>
                    <w:widowControl/>
                    <w:autoSpaceDE/>
                    <w:autoSpaceDN/>
                    <w:jc w:val="center"/>
                    <w:rPr>
                      <w:rFonts w:ascii="Times New Roman" w:hAnsi="Times New Roman"/>
                      <w:lang w:val="en-US" w:bidi="ar-SA"/>
                    </w:rPr>
                  </w:pPr>
                </w:p>
              </w:tc>
              <w:tc>
                <w:tcPr>
                  <w:tcW w:w="3750" w:type="dxa"/>
                  <w:noWrap/>
                  <w:vAlign w:val="center"/>
                </w:tcPr>
                <w:p>
                  <w:pPr>
                    <w:adjustRightInd w:val="0"/>
                    <w:snapToGrid w:val="0"/>
                    <w:jc w:val="center"/>
                    <w:rPr>
                      <w:rFonts w:ascii="Times New Roman" w:hAnsi="Times New Roman"/>
                      <w:lang w:val="en-US" w:bidi="ar-SA"/>
                    </w:rPr>
                  </w:pPr>
                  <w:r>
                    <w:rPr>
                      <w:rFonts w:ascii="Times New Roman" w:hAnsi="Times New Roman"/>
                      <w:bCs/>
                    </w:rPr>
                    <w:t>无行业清洁生产标准，但符合开发区主导产业定位，达不到国内同类行业同等规模先进水平的项目</w:t>
                  </w:r>
                </w:p>
              </w:tc>
              <w:tc>
                <w:tcPr>
                  <w:tcW w:w="1969" w:type="dxa"/>
                  <w:vMerge w:val="continue"/>
                  <w:noWrap/>
                  <w:vAlign w:val="center"/>
                </w:tcPr>
                <w:p>
                  <w:pPr>
                    <w:widowControl/>
                    <w:autoSpaceDE/>
                    <w:autoSpaceDN/>
                    <w:jc w:val="center"/>
                    <w:rPr>
                      <w:rFonts w:ascii="Times New Roman" w:hAnsi="Times New Roman"/>
                      <w:bCs/>
                    </w:rPr>
                  </w:pPr>
                </w:p>
              </w:tc>
              <w:tc>
                <w:tcPr>
                  <w:tcW w:w="998" w:type="dxa"/>
                  <w:vMerge w:val="continue"/>
                  <w:noWrap/>
                  <w:vAlign w:val="center"/>
                </w:tcPr>
                <w:p>
                  <w:pPr>
                    <w:widowControl/>
                    <w:autoSpaceDE/>
                    <w:autoSpaceDN/>
                    <w:jc w:val="center"/>
                    <w:rPr>
                      <w:rFonts w:ascii="Times New Roman" w:hAnsi="Times New Roman"/>
                      <w:lang w:val="en-US" w:bidi="ar-SA"/>
                    </w:rPr>
                  </w:pPr>
                </w:p>
              </w:tc>
            </w:tr>
          </w:tbl>
          <w:p>
            <w:pPr>
              <w:spacing w:line="440" w:lineRule="exact"/>
              <w:ind w:firstLine="480"/>
              <w:jc w:val="center"/>
              <w:rPr>
                <w:rFonts w:ascii="Times New Roman" w:hAnsi="Times New Roman"/>
                <w:b/>
                <w:bCs/>
              </w:rPr>
            </w:pPr>
            <w:r>
              <w:rPr>
                <w:rFonts w:ascii="Times New Roman" w:hAnsi="Times New Roman"/>
                <w:b/>
                <w:bCs/>
              </w:rPr>
              <w:t>表1-5  开发区工艺负面清单</w:t>
            </w:r>
          </w:p>
          <w:tbl>
            <w:tblPr>
              <w:tblStyle w:val="2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3239"/>
              <w:gridCol w:w="3193"/>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noWrap/>
                  <w:vAlign w:val="center"/>
                </w:tcPr>
                <w:p>
                  <w:pPr>
                    <w:widowControl/>
                    <w:autoSpaceDE/>
                    <w:autoSpaceDN/>
                    <w:snapToGrid w:val="0"/>
                    <w:jc w:val="center"/>
                    <w:rPr>
                      <w:rFonts w:ascii="Times New Roman" w:hAnsi="Times New Roman"/>
                      <w:b/>
                      <w:bCs/>
                      <w:lang w:val="en-US" w:bidi="ar-SA"/>
                    </w:rPr>
                  </w:pPr>
                  <w:r>
                    <w:rPr>
                      <w:rFonts w:ascii="Times New Roman" w:hAnsi="Times New Roman"/>
                      <w:b/>
                      <w:bCs/>
                      <w:lang w:val="en-US" w:bidi="ar-SA"/>
                    </w:rPr>
                    <w:t>类别</w:t>
                  </w:r>
                </w:p>
              </w:tc>
              <w:tc>
                <w:tcPr>
                  <w:tcW w:w="3239" w:type="dxa"/>
                  <w:noWrap/>
                  <w:vAlign w:val="center"/>
                </w:tcPr>
                <w:p>
                  <w:pPr>
                    <w:widowControl/>
                    <w:autoSpaceDE/>
                    <w:autoSpaceDN/>
                    <w:snapToGrid w:val="0"/>
                    <w:jc w:val="center"/>
                    <w:rPr>
                      <w:rFonts w:ascii="Times New Roman" w:hAnsi="Times New Roman"/>
                      <w:b/>
                      <w:bCs/>
                      <w:lang w:val="en-US" w:bidi="ar-SA"/>
                    </w:rPr>
                  </w:pPr>
                  <w:r>
                    <w:rPr>
                      <w:rFonts w:ascii="Times New Roman" w:hAnsi="Times New Roman"/>
                      <w:b/>
                      <w:bCs/>
                      <w:lang w:val="en-US" w:bidi="ar-SA"/>
                    </w:rPr>
                    <w:t>准入条件</w:t>
                  </w:r>
                </w:p>
              </w:tc>
              <w:tc>
                <w:tcPr>
                  <w:tcW w:w="3193" w:type="dxa"/>
                  <w:noWrap/>
                  <w:vAlign w:val="center"/>
                </w:tcPr>
                <w:p>
                  <w:pPr>
                    <w:widowControl/>
                    <w:autoSpaceDE/>
                    <w:autoSpaceDN/>
                    <w:snapToGrid w:val="0"/>
                    <w:jc w:val="center"/>
                    <w:rPr>
                      <w:rFonts w:ascii="Times New Roman" w:hAnsi="Times New Roman"/>
                      <w:b/>
                      <w:bCs/>
                      <w:lang w:val="en-US" w:bidi="ar-SA"/>
                    </w:rPr>
                  </w:pPr>
                  <w:r>
                    <w:rPr>
                      <w:rFonts w:ascii="Times New Roman" w:hAnsi="Times New Roman"/>
                      <w:b/>
                      <w:bCs/>
                      <w:lang w:val="en-US" w:bidi="ar-SA"/>
                    </w:rPr>
                    <w:t>主要依据﹑标准和参考指标</w:t>
                  </w:r>
                </w:p>
              </w:tc>
              <w:tc>
                <w:tcPr>
                  <w:tcW w:w="1077" w:type="dxa"/>
                  <w:noWrap/>
                  <w:vAlign w:val="center"/>
                </w:tcPr>
                <w:p>
                  <w:pPr>
                    <w:widowControl/>
                    <w:autoSpaceDE/>
                    <w:autoSpaceDN/>
                    <w:snapToGrid w:val="0"/>
                    <w:jc w:val="center"/>
                    <w:rPr>
                      <w:rFonts w:ascii="Times New Roman" w:hAnsi="Times New Roman"/>
                      <w:b/>
                      <w:bCs/>
                      <w:lang w:val="en-US" w:bidi="ar-SA"/>
                    </w:rPr>
                  </w:pPr>
                  <w:r>
                    <w:rPr>
                      <w:rFonts w:ascii="Times New Roman" w:hAnsi="Times New Roman"/>
                      <w:b/>
                      <w:bCs/>
                      <w:lang w:val="en-US" w:bidi="ar-SA"/>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Merge w:val="restart"/>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禁止类</w:t>
                  </w:r>
                </w:p>
              </w:tc>
              <w:tc>
                <w:tcPr>
                  <w:tcW w:w="3239" w:type="dxa"/>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禁止入驻产业结构调整指导目录中的淘汰类、限制类生产工艺</w:t>
                  </w:r>
                </w:p>
              </w:tc>
              <w:tc>
                <w:tcPr>
                  <w:tcW w:w="3193" w:type="dxa"/>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《产业结构调整指导目录（2019年本）</w:t>
                  </w:r>
                </w:p>
              </w:tc>
              <w:tc>
                <w:tcPr>
                  <w:tcW w:w="1077" w:type="dxa"/>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Merge w:val="continue"/>
                  <w:vAlign w:val="center"/>
                </w:tcPr>
                <w:p>
                  <w:pPr>
                    <w:widowControl/>
                    <w:autoSpaceDE/>
                    <w:autoSpaceDN/>
                    <w:snapToGrid w:val="0"/>
                    <w:jc w:val="center"/>
                    <w:rPr>
                      <w:rFonts w:ascii="Times New Roman" w:hAnsi="Times New Roman"/>
                      <w:lang w:val="en-US" w:bidi="ar-SA"/>
                    </w:rPr>
                  </w:pPr>
                </w:p>
              </w:tc>
              <w:tc>
                <w:tcPr>
                  <w:tcW w:w="7509" w:type="dxa"/>
                  <w:gridSpan w:val="3"/>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（1）精细化工区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Merge w:val="continue"/>
                  <w:vAlign w:val="center"/>
                </w:tcPr>
                <w:p>
                  <w:pPr>
                    <w:widowControl/>
                    <w:autoSpaceDE/>
                    <w:autoSpaceDN/>
                    <w:snapToGrid w:val="0"/>
                    <w:jc w:val="center"/>
                    <w:rPr>
                      <w:rFonts w:ascii="Times New Roman" w:hAnsi="Times New Roman"/>
                      <w:lang w:val="en-US" w:bidi="ar-SA"/>
                    </w:rPr>
                  </w:pPr>
                </w:p>
              </w:tc>
              <w:tc>
                <w:tcPr>
                  <w:tcW w:w="3239" w:type="dxa"/>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农药原料药、基础原料药﹔高污染、高能耗、高水耗、对环境影响较人的生产项目其他含有剧毒原料或亏染严重的化工类产品生产﹔及其他不符合《产业结构调整指导目录（2019年本））》要求的所有产业</w:t>
                  </w:r>
                </w:p>
              </w:tc>
              <w:tc>
                <w:tcPr>
                  <w:tcW w:w="3193" w:type="dxa"/>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《部分工业行业淘汰落后生产工艺装备和产品指导目录》、《产业结构调整指导目录（2019年本）》、开发区产业定位及用地规划要求</w:t>
                  </w:r>
                </w:p>
              </w:tc>
              <w:tc>
                <w:tcPr>
                  <w:tcW w:w="1077" w:type="dxa"/>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非精细化工口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Merge w:val="continue"/>
                  <w:vAlign w:val="center"/>
                </w:tcPr>
                <w:p>
                  <w:pPr>
                    <w:widowControl/>
                    <w:autoSpaceDE/>
                    <w:autoSpaceDN/>
                    <w:snapToGrid w:val="0"/>
                    <w:jc w:val="center"/>
                    <w:rPr>
                      <w:rFonts w:ascii="Times New Roman" w:hAnsi="Times New Roman"/>
                      <w:lang w:val="en-US" w:bidi="ar-SA"/>
                    </w:rPr>
                  </w:pPr>
                </w:p>
              </w:tc>
              <w:tc>
                <w:tcPr>
                  <w:tcW w:w="7509" w:type="dxa"/>
                  <w:gridSpan w:val="3"/>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（2）机械装备及电子区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Merge w:val="continue"/>
                  <w:vAlign w:val="center"/>
                </w:tcPr>
                <w:p>
                  <w:pPr>
                    <w:widowControl/>
                    <w:autoSpaceDE/>
                    <w:autoSpaceDN/>
                    <w:snapToGrid w:val="0"/>
                    <w:jc w:val="center"/>
                    <w:rPr>
                      <w:rFonts w:ascii="Times New Roman" w:hAnsi="Times New Roman"/>
                      <w:lang w:val="en-US" w:bidi="ar-SA"/>
                    </w:rPr>
                  </w:pPr>
                </w:p>
              </w:tc>
              <w:tc>
                <w:tcPr>
                  <w:tcW w:w="3239" w:type="dxa"/>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含电镀工艺企业；多晶硅生产；不符合《部分工业行业淘汰落后生产工艺装备和产品指导目录》《产业结构调整指导目录（2019年本）》要求的所有类别；</w:t>
                  </w:r>
                </w:p>
              </w:tc>
              <w:tc>
                <w:tcPr>
                  <w:tcW w:w="3193" w:type="dxa"/>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《部分工业行业淘汰落后生产工艺装备和产品指导目录》、《产业结构调整指导目录（2019年本）》、开发区产业定位及用地规划要求</w:t>
                  </w:r>
                </w:p>
              </w:tc>
              <w:tc>
                <w:tcPr>
                  <w:tcW w:w="1077" w:type="dxa"/>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本项目为机械装备相配套相关产业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Merge w:val="continue"/>
                  <w:vAlign w:val="center"/>
                </w:tcPr>
                <w:p>
                  <w:pPr>
                    <w:widowControl/>
                    <w:autoSpaceDE/>
                    <w:autoSpaceDN/>
                    <w:snapToGrid w:val="0"/>
                    <w:jc w:val="center"/>
                    <w:rPr>
                      <w:rFonts w:ascii="Times New Roman" w:hAnsi="Times New Roman"/>
                      <w:lang w:val="en-US" w:bidi="ar-SA"/>
                    </w:rPr>
                  </w:pPr>
                </w:p>
              </w:tc>
              <w:tc>
                <w:tcPr>
                  <w:tcW w:w="7509" w:type="dxa"/>
                  <w:gridSpan w:val="3"/>
                  <w:noWrap/>
                  <w:vAlign w:val="center"/>
                </w:tcPr>
                <w:p>
                  <w:pPr>
                    <w:widowControl/>
                    <w:autoSpaceDE/>
                    <w:autoSpaceDN/>
                    <w:snapToGrid w:val="0"/>
                    <w:jc w:val="center"/>
                    <w:rPr>
                      <w:rFonts w:ascii="Times New Roman" w:hAnsi="Times New Roman"/>
                      <w:lang w:val="en-US" w:bidi="ar-SA"/>
                    </w:rPr>
                  </w:pPr>
                  <w:r>
                    <w:rPr>
                      <w:rFonts w:ascii="Times New Roman" w:hAnsi="Times New Roman"/>
                      <w:lang w:val="en-US" w:bidi="ar-SA"/>
                    </w:rPr>
                    <w:t>（3）新型建材区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Merge w:val="continue"/>
                  <w:vAlign w:val="center"/>
                </w:tcPr>
                <w:p>
                  <w:pPr>
                    <w:widowControl/>
                    <w:autoSpaceDE/>
                    <w:autoSpaceDN/>
                    <w:snapToGrid w:val="0"/>
                    <w:jc w:val="center"/>
                    <w:rPr>
                      <w:rFonts w:ascii="Times New Roman" w:hAnsi="Times New Roman"/>
                      <w:lang w:val="en-US" w:bidi="ar-SA"/>
                    </w:rPr>
                  </w:pPr>
                </w:p>
              </w:tc>
              <w:tc>
                <w:tcPr>
                  <w:tcW w:w="3239" w:type="dxa"/>
                  <w:noWrap/>
                  <w:vAlign w:val="center"/>
                </w:tcPr>
                <w:p>
                  <w:pPr>
                    <w:adjustRightInd w:val="0"/>
                    <w:snapToGrid w:val="0"/>
                    <w:jc w:val="center"/>
                    <w:rPr>
                      <w:rFonts w:ascii="Times New Roman" w:hAnsi="Times New Roman"/>
                      <w:bCs/>
                    </w:rPr>
                  </w:pPr>
                  <w:r>
                    <w:rPr>
                      <w:rFonts w:ascii="Times New Roman" w:hAnsi="Times New Roman"/>
                      <w:bCs/>
                    </w:rPr>
                    <w:t>1、新建水泥生产线</w:t>
                  </w:r>
                </w:p>
                <w:p>
                  <w:pPr>
                    <w:adjustRightInd w:val="0"/>
                    <w:snapToGrid w:val="0"/>
                    <w:jc w:val="center"/>
                    <w:rPr>
                      <w:rFonts w:ascii="Times New Roman" w:hAnsi="Times New Roman"/>
                      <w:bCs/>
                    </w:rPr>
                  </w:pPr>
                  <w:r>
                    <w:rPr>
                      <w:rFonts w:ascii="Times New Roman" w:hAnsi="Times New Roman"/>
                      <w:bCs/>
                    </w:rPr>
                    <w:t>2、直径3米以下水泥粉磨设备</w:t>
                  </w:r>
                </w:p>
                <w:p>
                  <w:pPr>
                    <w:adjustRightInd w:val="0"/>
                    <w:snapToGrid w:val="0"/>
                    <w:jc w:val="center"/>
                    <w:rPr>
                      <w:rFonts w:ascii="Times New Roman" w:hAnsi="Times New Roman"/>
                      <w:bCs/>
                    </w:rPr>
                  </w:pPr>
                  <w:r>
                    <w:rPr>
                      <w:rFonts w:ascii="Times New Roman" w:hAnsi="Times New Roman"/>
                      <w:bCs/>
                    </w:rPr>
                    <w:t>3、无复膜塑编水泥包装袋生产线</w:t>
                  </w:r>
                </w:p>
                <w:p>
                  <w:pPr>
                    <w:adjustRightInd w:val="0"/>
                    <w:snapToGrid w:val="0"/>
                    <w:jc w:val="center"/>
                    <w:rPr>
                      <w:rFonts w:ascii="Times New Roman" w:hAnsi="Times New Roman"/>
                      <w:bCs/>
                    </w:rPr>
                  </w:pPr>
                  <w:r>
                    <w:rPr>
                      <w:rFonts w:ascii="Times New Roman" w:hAnsi="Times New Roman"/>
                      <w:bCs/>
                    </w:rPr>
                    <w:t>4、平拉工艺平板玻璃生产线（含格法）</w:t>
                  </w:r>
                </w:p>
                <w:p>
                  <w:pPr>
                    <w:widowControl/>
                    <w:autoSpaceDE/>
                    <w:autoSpaceDN/>
                    <w:snapToGrid w:val="0"/>
                    <w:jc w:val="center"/>
                    <w:rPr>
                      <w:rFonts w:ascii="Times New Roman" w:hAnsi="Times New Roman"/>
                      <w:lang w:val="en-US" w:bidi="ar-SA"/>
                    </w:rPr>
                  </w:pPr>
                  <w:r>
                    <w:rPr>
                      <w:rFonts w:ascii="Times New Roman" w:hAnsi="Times New Roman"/>
                      <w:bCs/>
                    </w:rPr>
                    <w:t>5、100万平方米/年以下的建筑陶瓷砖、20万件/年以下低档卫生陶瓷生产线及其他不符合《产业结构调整指导目录（2019年本）》要求的所有产业</w:t>
                  </w:r>
                </w:p>
              </w:tc>
              <w:tc>
                <w:tcPr>
                  <w:tcW w:w="3193" w:type="dxa"/>
                  <w:noWrap/>
                  <w:vAlign w:val="center"/>
                </w:tcPr>
                <w:p>
                  <w:pPr>
                    <w:widowControl/>
                    <w:autoSpaceDE/>
                    <w:autoSpaceDN/>
                    <w:snapToGrid w:val="0"/>
                    <w:jc w:val="center"/>
                    <w:rPr>
                      <w:rFonts w:ascii="Times New Roman" w:hAnsi="Times New Roman"/>
                      <w:lang w:val="en-US" w:bidi="ar-SA"/>
                    </w:rPr>
                  </w:pPr>
                  <w:r>
                    <w:rPr>
                      <w:rFonts w:ascii="Times New Roman" w:hAnsi="Times New Roman"/>
                      <w:bCs/>
                    </w:rPr>
                    <w:t>产业结构调整指导目录（2019年本）</w:t>
                  </w:r>
                </w:p>
              </w:tc>
              <w:tc>
                <w:tcPr>
                  <w:tcW w:w="1077" w:type="dxa"/>
                  <w:noWrap/>
                  <w:vAlign w:val="center"/>
                </w:tcPr>
                <w:p>
                  <w:pPr>
                    <w:widowControl/>
                    <w:autoSpaceDE/>
                    <w:autoSpaceDN/>
                    <w:snapToGrid w:val="0"/>
                    <w:jc w:val="center"/>
                    <w:rPr>
                      <w:rFonts w:ascii="Times New Roman" w:hAnsi="Times New Roman"/>
                      <w:lang w:val="en-US" w:bidi="ar-SA"/>
                    </w:rPr>
                  </w:pPr>
                  <w:r>
                    <w:rPr>
                      <w:rFonts w:ascii="Times New Roman" w:hAnsi="Times New Roman"/>
                      <w:bCs/>
                    </w:rPr>
                    <w:t>非建材</w:t>
                  </w:r>
                </w:p>
              </w:tc>
            </w:tr>
          </w:tbl>
          <w:p>
            <w:pPr>
              <w:spacing w:line="440" w:lineRule="exact"/>
              <w:ind w:firstLine="480"/>
              <w:jc w:val="both"/>
              <w:rPr>
                <w:rFonts w:ascii="Times New Roman" w:hAnsi="Times New Roman"/>
                <w:sz w:val="24"/>
              </w:rPr>
            </w:pPr>
            <w:r>
              <w:rPr>
                <w:rFonts w:ascii="Times New Roman" w:hAnsi="Times New Roman"/>
                <w:sz w:val="24"/>
              </w:rPr>
              <w:t>综上所述，本项目符合“三线一单”控制要求。</w:t>
            </w:r>
          </w:p>
          <w:p>
            <w:pPr>
              <w:pStyle w:val="5"/>
              <w:spacing w:line="440" w:lineRule="exact"/>
              <w:ind w:left="0" w:firstLine="482" w:firstLineChars="200"/>
              <w:jc w:val="both"/>
              <w:rPr>
                <w:rFonts w:eastAsia="宋体"/>
                <w:b/>
                <w:bCs/>
                <w:sz w:val="24"/>
                <w:szCs w:val="24"/>
              </w:rPr>
            </w:pPr>
            <w:r>
              <w:rPr>
                <w:rFonts w:eastAsia="宋体"/>
                <w:b/>
                <w:bCs/>
                <w:sz w:val="24"/>
                <w:szCs w:val="24"/>
              </w:rPr>
              <w:t>2、与《安徽省2021-2022年秋冬季大气污染综合治理攻坚行动方案》（皖大气办[2021]7号）符合性分析</w:t>
            </w:r>
          </w:p>
          <w:p>
            <w:pPr>
              <w:pStyle w:val="110"/>
              <w:spacing w:before="0" w:after="0" w:line="440" w:lineRule="exact"/>
              <w:rPr>
                <w:rFonts w:eastAsia="宋体"/>
                <w:b/>
                <w:bCs/>
                <w:lang w:val="en-US"/>
              </w:rPr>
            </w:pPr>
            <w:r>
              <w:rPr>
                <w:rFonts w:eastAsia="宋体"/>
                <w:b/>
                <w:bCs/>
                <w:lang w:val="en-US"/>
              </w:rPr>
              <w:t>表1-6  与《安徽省2021-2022年秋冬季大气污染综合治理攻坚行动方案》相符性分析</w:t>
            </w:r>
          </w:p>
          <w:tbl>
            <w:tblPr>
              <w:tblStyle w:val="2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2961"/>
              <w:gridCol w:w="4389"/>
              <w:gridCol w:w="4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09"/>
                    <w:rPr>
                      <w:b/>
                      <w:bCs/>
                      <w:sz w:val="21"/>
                      <w:szCs w:val="21"/>
                    </w:rPr>
                  </w:pPr>
                  <w:r>
                    <w:rPr>
                      <w:b/>
                      <w:bCs/>
                      <w:sz w:val="21"/>
                      <w:szCs w:val="21"/>
                    </w:rPr>
                    <w:t>序号</w:t>
                  </w:r>
                </w:p>
              </w:tc>
              <w:tc>
                <w:tcPr>
                  <w:tcW w:w="0" w:type="auto"/>
                  <w:vAlign w:val="center"/>
                </w:tcPr>
                <w:p>
                  <w:pPr>
                    <w:pStyle w:val="109"/>
                    <w:rPr>
                      <w:b/>
                      <w:bCs/>
                      <w:sz w:val="21"/>
                      <w:szCs w:val="21"/>
                    </w:rPr>
                  </w:pPr>
                  <w:r>
                    <w:rPr>
                      <w:b/>
                      <w:bCs/>
                      <w:sz w:val="21"/>
                      <w:szCs w:val="21"/>
                    </w:rPr>
                    <w:t>文件相关内容</w:t>
                  </w:r>
                </w:p>
              </w:tc>
              <w:tc>
                <w:tcPr>
                  <w:tcW w:w="0" w:type="auto"/>
                  <w:vAlign w:val="center"/>
                </w:tcPr>
                <w:p>
                  <w:pPr>
                    <w:pStyle w:val="109"/>
                    <w:rPr>
                      <w:b/>
                      <w:bCs/>
                      <w:sz w:val="21"/>
                      <w:szCs w:val="21"/>
                    </w:rPr>
                  </w:pPr>
                  <w:r>
                    <w:rPr>
                      <w:b/>
                      <w:bCs/>
                      <w:sz w:val="21"/>
                      <w:szCs w:val="21"/>
                    </w:rPr>
                    <w:t>本项目情况</w:t>
                  </w:r>
                </w:p>
              </w:tc>
              <w:tc>
                <w:tcPr>
                  <w:tcW w:w="0" w:type="auto"/>
                  <w:vAlign w:val="center"/>
                </w:tcPr>
                <w:p>
                  <w:pPr>
                    <w:pStyle w:val="109"/>
                    <w:rPr>
                      <w:b/>
                      <w:bCs/>
                      <w:sz w:val="21"/>
                      <w:szCs w:val="21"/>
                    </w:rPr>
                  </w:pPr>
                  <w:r>
                    <w:rPr>
                      <w:b/>
                      <w:bCs/>
                      <w:sz w:val="21"/>
                      <w:szCs w:val="21"/>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vAlign w:val="center"/>
                </w:tcPr>
                <w:p>
                  <w:pPr>
                    <w:pStyle w:val="109"/>
                    <w:rPr>
                      <w:sz w:val="21"/>
                      <w:szCs w:val="21"/>
                    </w:rPr>
                  </w:pPr>
                  <w:r>
                    <w:rPr>
                      <w:sz w:val="21"/>
                      <w:szCs w:val="21"/>
                    </w:rPr>
                    <w:t>1</w:t>
                  </w:r>
                </w:p>
              </w:tc>
              <w:tc>
                <w:tcPr>
                  <w:tcW w:w="0" w:type="auto"/>
                  <w:vAlign w:val="center"/>
                </w:tcPr>
                <w:p>
                  <w:pPr>
                    <w:pStyle w:val="109"/>
                    <w:rPr>
                      <w:sz w:val="21"/>
                      <w:szCs w:val="21"/>
                    </w:rPr>
                  </w:pPr>
                  <w:r>
                    <w:rPr>
                      <w:sz w:val="21"/>
                      <w:szCs w:val="21"/>
                    </w:rPr>
                    <w:t>严格落实能耗“双控”、产能置换、污染物区域消减、煤炭减量替代等要求。</w:t>
                  </w:r>
                </w:p>
              </w:tc>
              <w:tc>
                <w:tcPr>
                  <w:tcW w:w="0" w:type="auto"/>
                  <w:vAlign w:val="center"/>
                </w:tcPr>
                <w:p>
                  <w:pPr>
                    <w:pStyle w:val="109"/>
                    <w:rPr>
                      <w:sz w:val="21"/>
                      <w:szCs w:val="21"/>
                    </w:rPr>
                  </w:pPr>
                  <w:r>
                    <w:rPr>
                      <w:sz w:val="21"/>
                      <w:szCs w:val="21"/>
                    </w:rPr>
                    <w:t>项目实行污染物区域倍量替代</w:t>
                  </w:r>
                </w:p>
              </w:tc>
              <w:tc>
                <w:tcPr>
                  <w:tcW w:w="0" w:type="auto"/>
                  <w:vAlign w:val="center"/>
                </w:tcPr>
                <w:p>
                  <w:pPr>
                    <w:pStyle w:val="109"/>
                    <w:rPr>
                      <w:sz w:val="21"/>
                      <w:szCs w:val="21"/>
                    </w:rPr>
                  </w:pPr>
                  <w:r>
                    <w:rPr>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0" w:type="auto"/>
                  <w:vAlign w:val="center"/>
                </w:tcPr>
                <w:p>
                  <w:pPr>
                    <w:pStyle w:val="109"/>
                    <w:rPr>
                      <w:sz w:val="21"/>
                      <w:szCs w:val="21"/>
                    </w:rPr>
                  </w:pPr>
                  <w:r>
                    <w:rPr>
                      <w:sz w:val="21"/>
                      <w:szCs w:val="21"/>
                    </w:rPr>
                    <w:t>2</w:t>
                  </w:r>
                </w:p>
              </w:tc>
              <w:tc>
                <w:tcPr>
                  <w:tcW w:w="0" w:type="auto"/>
                  <w:vAlign w:val="center"/>
                </w:tcPr>
                <w:p>
                  <w:pPr>
                    <w:pStyle w:val="109"/>
                    <w:rPr>
                      <w:sz w:val="21"/>
                      <w:szCs w:val="21"/>
                    </w:rPr>
                  </w:pPr>
                  <w:r>
                    <w:rPr>
                      <w:sz w:val="21"/>
                      <w:szCs w:val="21"/>
                    </w:rPr>
                    <w:t>持续开展VOCs整治攻坚行动：持续落实《安徽省大气办关于深入开展挥发性有机物污染治理工作的通知》有关要求。开展VOCs治理示范项目推选，引导推动低VOCs替代、无组织排放管控、末端治理升级改造、运维能力提升等技术创新，以先进促后进。</w:t>
                  </w:r>
                </w:p>
              </w:tc>
              <w:tc>
                <w:tcPr>
                  <w:tcW w:w="0" w:type="auto"/>
                  <w:vAlign w:val="center"/>
                </w:tcPr>
                <w:p>
                  <w:pPr>
                    <w:pStyle w:val="109"/>
                    <w:rPr>
                      <w:sz w:val="21"/>
                      <w:szCs w:val="21"/>
                    </w:rPr>
                  </w:pPr>
                  <w:r>
                    <w:rPr>
                      <w:rFonts w:hint="eastAsia"/>
                      <w:sz w:val="21"/>
                      <w:szCs w:val="21"/>
                    </w:rPr>
                    <w:t>本项目网印油墨符合《油墨中可挥发性有机化合物</w:t>
                  </w:r>
                  <w:r>
                    <w:rPr>
                      <w:sz w:val="21"/>
                      <w:szCs w:val="21"/>
                    </w:rPr>
                    <w:t>（VOCs）含量的限值》（GB38507-2020）中表1油墨中可挥发性有机化合物含量的溶剂油墨中网印油墨限值≤75%；UV油墨符合《油墨中可挥发性有机化合物（VOCs）含量的限值》（GB38507-2020） 中表1油墨中可挥发性有机化合物含量的限值的能量固化喷墨印刷油墨≤5%；</w:t>
                  </w:r>
                  <w:r>
                    <w:rPr>
                      <w:rFonts w:hint="eastAsia"/>
                      <w:sz w:val="21"/>
                      <w:szCs w:val="21"/>
                    </w:rPr>
                    <w:t>洗网水符合《清洗剂挥发性有机化合物含量限值》（</w:t>
                  </w:r>
                  <w:r>
                    <w:rPr>
                      <w:sz w:val="21"/>
                      <w:szCs w:val="21"/>
                    </w:rPr>
                    <w:t>GB38508-2020）表1清洗剂VOC含量及特定挥发性有机物限制要求，满足有机溶剂清洗剂VOC含量≤900g/L。</w:t>
                  </w:r>
                  <w:r>
                    <w:rPr>
                      <w:rFonts w:hint="eastAsia"/>
                      <w:sz w:val="21"/>
                      <w:szCs w:val="21"/>
                    </w:rPr>
                    <w:t>玻璃保护液符合《低挥发有机化合物含量涂料产品技术要求》</w:t>
                  </w:r>
                  <w:r>
                    <w:rPr>
                      <w:sz w:val="21"/>
                      <w:szCs w:val="21"/>
                    </w:rPr>
                    <w:t>（GB/T38597-2020）表1水性涂料中工业防护涂料中包装涂料的面漆VOC含量的要求≤270g/L</w:t>
                  </w:r>
                </w:p>
              </w:tc>
              <w:tc>
                <w:tcPr>
                  <w:tcW w:w="0" w:type="auto"/>
                  <w:vAlign w:val="center"/>
                </w:tcPr>
                <w:p>
                  <w:pPr>
                    <w:pStyle w:val="109"/>
                    <w:rPr>
                      <w:sz w:val="21"/>
                      <w:szCs w:val="21"/>
                    </w:rPr>
                  </w:pPr>
                  <w:r>
                    <w:rPr>
                      <w:sz w:val="21"/>
                      <w:szCs w:val="21"/>
                    </w:rPr>
                    <w:t>相符</w:t>
                  </w:r>
                </w:p>
              </w:tc>
            </w:tr>
          </w:tbl>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综上所述，本项目与《安徽省2021-2022年秋冬季大气污染综合治理攻坚行动方案》（皖大气办[2021]7号）相符。</w:t>
            </w:r>
          </w:p>
          <w:p>
            <w:pPr>
              <w:pStyle w:val="5"/>
              <w:spacing w:line="440" w:lineRule="exact"/>
              <w:ind w:left="0" w:firstLine="482" w:firstLineChars="200"/>
              <w:jc w:val="both"/>
              <w:rPr>
                <w:rFonts w:eastAsia="宋体"/>
                <w:b/>
                <w:bCs/>
                <w:sz w:val="24"/>
                <w:szCs w:val="24"/>
              </w:rPr>
            </w:pPr>
            <w:r>
              <w:rPr>
                <w:rFonts w:eastAsia="宋体"/>
                <w:b/>
                <w:bCs/>
                <w:sz w:val="24"/>
                <w:szCs w:val="24"/>
              </w:rPr>
              <w:t>3、与《淮南市2021-2022年秋冬季大气污染综合治理攻坚行动实施方案》（淮环委办[2021]44号）符合性分析</w:t>
            </w:r>
          </w:p>
          <w:p>
            <w:pPr>
              <w:pStyle w:val="110"/>
              <w:spacing w:before="0" w:after="0" w:line="440" w:lineRule="exact"/>
              <w:rPr>
                <w:rFonts w:eastAsia="宋体"/>
                <w:b/>
                <w:bCs/>
                <w:lang w:val="en-US"/>
              </w:rPr>
            </w:pPr>
            <w:r>
              <w:rPr>
                <w:rFonts w:eastAsia="宋体"/>
                <w:b/>
                <w:bCs/>
                <w:lang w:val="en-US"/>
              </w:rPr>
              <w:t>表1-7  与《淮南市2021-2022年秋冬季大气污染综合治理攻坚行动实施方案》相符性分析</w:t>
            </w:r>
          </w:p>
          <w:tbl>
            <w:tblPr>
              <w:tblStyle w:val="2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4793"/>
              <w:gridCol w:w="1919"/>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37" w:type="dxa"/>
                  <w:vAlign w:val="center"/>
                </w:tcPr>
                <w:p>
                  <w:pPr>
                    <w:pStyle w:val="109"/>
                    <w:rPr>
                      <w:b/>
                      <w:bCs/>
                      <w:sz w:val="21"/>
                      <w:szCs w:val="21"/>
                    </w:rPr>
                  </w:pPr>
                  <w:r>
                    <w:rPr>
                      <w:b/>
                      <w:bCs/>
                      <w:sz w:val="21"/>
                      <w:szCs w:val="21"/>
                    </w:rPr>
                    <w:t>序号</w:t>
                  </w:r>
                </w:p>
              </w:tc>
              <w:tc>
                <w:tcPr>
                  <w:tcW w:w="4602" w:type="dxa"/>
                  <w:vAlign w:val="center"/>
                </w:tcPr>
                <w:p>
                  <w:pPr>
                    <w:pStyle w:val="109"/>
                    <w:rPr>
                      <w:b/>
                      <w:bCs/>
                      <w:sz w:val="21"/>
                      <w:szCs w:val="21"/>
                    </w:rPr>
                  </w:pPr>
                  <w:r>
                    <w:rPr>
                      <w:b/>
                      <w:bCs/>
                      <w:sz w:val="21"/>
                      <w:szCs w:val="21"/>
                    </w:rPr>
                    <w:t>文件相关内容</w:t>
                  </w:r>
                </w:p>
              </w:tc>
              <w:tc>
                <w:tcPr>
                  <w:tcW w:w="1843" w:type="dxa"/>
                  <w:vAlign w:val="center"/>
                </w:tcPr>
                <w:p>
                  <w:pPr>
                    <w:pStyle w:val="109"/>
                    <w:rPr>
                      <w:b/>
                      <w:bCs/>
                      <w:sz w:val="21"/>
                      <w:szCs w:val="21"/>
                    </w:rPr>
                  </w:pPr>
                  <w:r>
                    <w:rPr>
                      <w:b/>
                      <w:bCs/>
                      <w:sz w:val="21"/>
                      <w:szCs w:val="21"/>
                    </w:rPr>
                    <w:t>本项目情况</w:t>
                  </w:r>
                </w:p>
              </w:tc>
              <w:tc>
                <w:tcPr>
                  <w:tcW w:w="814" w:type="dxa"/>
                  <w:vAlign w:val="center"/>
                </w:tcPr>
                <w:p>
                  <w:pPr>
                    <w:pStyle w:val="109"/>
                    <w:rPr>
                      <w:b/>
                      <w:bCs/>
                      <w:sz w:val="21"/>
                      <w:szCs w:val="21"/>
                    </w:rPr>
                  </w:pPr>
                  <w:r>
                    <w:rPr>
                      <w:b/>
                      <w:bCs/>
                      <w:sz w:val="21"/>
                      <w:szCs w:val="21"/>
                    </w:rPr>
                    <w:t>是否</w:t>
                  </w:r>
                </w:p>
                <w:p>
                  <w:pPr>
                    <w:pStyle w:val="109"/>
                    <w:rPr>
                      <w:b/>
                      <w:bCs/>
                      <w:sz w:val="21"/>
                      <w:szCs w:val="21"/>
                    </w:rPr>
                  </w:pPr>
                  <w:r>
                    <w:rPr>
                      <w:b/>
                      <w:bCs/>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537" w:type="dxa"/>
                  <w:vAlign w:val="center"/>
                </w:tcPr>
                <w:p>
                  <w:pPr>
                    <w:pStyle w:val="109"/>
                    <w:rPr>
                      <w:sz w:val="21"/>
                      <w:szCs w:val="21"/>
                    </w:rPr>
                  </w:pPr>
                  <w:r>
                    <w:rPr>
                      <w:sz w:val="21"/>
                      <w:szCs w:val="21"/>
                    </w:rPr>
                    <w:t>1</w:t>
                  </w:r>
                </w:p>
              </w:tc>
              <w:tc>
                <w:tcPr>
                  <w:tcW w:w="4602" w:type="dxa"/>
                  <w:vAlign w:val="center"/>
                </w:tcPr>
                <w:p>
                  <w:pPr>
                    <w:pStyle w:val="109"/>
                    <w:rPr>
                      <w:sz w:val="21"/>
                      <w:szCs w:val="21"/>
                    </w:rPr>
                  </w:pPr>
                  <w:r>
                    <w:rPr>
                      <w:sz w:val="21"/>
                      <w:szCs w:val="21"/>
                    </w:rPr>
                    <w:t>扎实推进VOCs治理突出问题排查整治：加快整治年度VOCs综合治理项目，确保完成挥发性有机物重点工程减排量年度计划目标。12月底前，采取单一活性炭吸附、喷淋、光氧催化等治理措施的企业原则上应升级改造。开展VOCs治理示范项目推选，引导推动低VOCs原辅材料替代、无组织排放管控、末端治理升级改造、运维能力提升等技术创新，以先进促后进。</w:t>
                  </w:r>
                </w:p>
              </w:tc>
              <w:tc>
                <w:tcPr>
                  <w:tcW w:w="1843" w:type="dxa"/>
                  <w:vAlign w:val="center"/>
                </w:tcPr>
                <w:p>
                  <w:pPr>
                    <w:pStyle w:val="109"/>
                    <w:rPr>
                      <w:sz w:val="21"/>
                      <w:szCs w:val="21"/>
                    </w:rPr>
                  </w:pPr>
                  <w:r>
                    <w:rPr>
                      <w:sz w:val="21"/>
                      <w:szCs w:val="21"/>
                    </w:rPr>
                    <w:t>本项目VOCs采用密闭收集+二级活性炭+30m高排气筒有组织排放</w:t>
                  </w:r>
                </w:p>
              </w:tc>
              <w:tc>
                <w:tcPr>
                  <w:tcW w:w="814" w:type="dxa"/>
                  <w:vAlign w:val="center"/>
                </w:tcPr>
                <w:p>
                  <w:pPr>
                    <w:pStyle w:val="109"/>
                    <w:rPr>
                      <w:sz w:val="21"/>
                      <w:szCs w:val="21"/>
                    </w:rPr>
                  </w:pPr>
                  <w:r>
                    <w:rPr>
                      <w:sz w:val="21"/>
                      <w:szCs w:val="21"/>
                    </w:rPr>
                    <w:t>相符</w:t>
                  </w:r>
                </w:p>
              </w:tc>
            </w:tr>
          </w:tbl>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综上所述，本项目与《淮南市2021-2022年秋冬季大气污染综合治理攻坚行动实施方案》（淮环委办[2021]44号）相符。</w:t>
            </w:r>
          </w:p>
          <w:p>
            <w:pPr>
              <w:pStyle w:val="5"/>
              <w:keepNext/>
              <w:keepLines/>
              <w:autoSpaceDE/>
              <w:autoSpaceDN/>
              <w:snapToGrid w:val="0"/>
              <w:spacing w:line="440" w:lineRule="exact"/>
              <w:ind w:left="0" w:firstLine="482" w:firstLineChars="200"/>
              <w:jc w:val="both"/>
              <w:rPr>
                <w:rFonts w:eastAsia="宋体"/>
                <w:b/>
                <w:bCs/>
                <w:sz w:val="24"/>
                <w:szCs w:val="24"/>
              </w:rPr>
            </w:pPr>
            <w:r>
              <w:rPr>
                <w:rFonts w:eastAsia="宋体"/>
                <w:b/>
                <w:bCs/>
                <w:sz w:val="24"/>
                <w:szCs w:val="24"/>
              </w:rPr>
              <w:t>4、与《淮南市打赢蓝天保卫战三年行动计划实施方案》相符性分析</w:t>
            </w:r>
          </w:p>
          <w:p>
            <w:pPr>
              <w:pStyle w:val="110"/>
              <w:spacing w:before="0" w:after="0" w:line="440" w:lineRule="exact"/>
              <w:rPr>
                <w:rFonts w:eastAsia="宋体"/>
                <w:b/>
                <w:bCs/>
                <w:lang w:val="en-US"/>
              </w:rPr>
            </w:pPr>
          </w:p>
          <w:p>
            <w:pPr>
              <w:pStyle w:val="110"/>
              <w:spacing w:before="0" w:after="0" w:line="440" w:lineRule="exact"/>
              <w:rPr>
                <w:rFonts w:eastAsia="宋体"/>
                <w:b/>
                <w:bCs/>
                <w:lang w:val="en-US"/>
              </w:rPr>
            </w:pPr>
          </w:p>
          <w:p>
            <w:pPr>
              <w:pStyle w:val="110"/>
              <w:spacing w:before="0" w:after="0" w:line="440" w:lineRule="exact"/>
              <w:rPr>
                <w:rFonts w:eastAsia="宋体"/>
                <w:b/>
                <w:bCs/>
                <w:lang w:val="en-US"/>
              </w:rPr>
            </w:pPr>
            <w:r>
              <w:rPr>
                <w:rFonts w:eastAsia="宋体"/>
                <w:b/>
                <w:bCs/>
                <w:lang w:val="en-US"/>
              </w:rPr>
              <w:t>表1-8  与《淮南市打赢蓝天保卫战三年行动计划实施方案》相符性分析</w:t>
            </w:r>
          </w:p>
          <w:tbl>
            <w:tblPr>
              <w:tblStyle w:val="2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3543"/>
              <w:gridCol w:w="3855"/>
              <w:gridCol w:w="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09"/>
                    <w:rPr>
                      <w:b/>
                      <w:bCs/>
                      <w:sz w:val="21"/>
                      <w:szCs w:val="21"/>
                    </w:rPr>
                  </w:pPr>
                  <w:r>
                    <w:rPr>
                      <w:b/>
                      <w:bCs/>
                      <w:sz w:val="21"/>
                      <w:szCs w:val="21"/>
                    </w:rPr>
                    <w:t>序号</w:t>
                  </w:r>
                </w:p>
              </w:tc>
              <w:tc>
                <w:tcPr>
                  <w:tcW w:w="0" w:type="auto"/>
                  <w:vAlign w:val="center"/>
                </w:tcPr>
                <w:p>
                  <w:pPr>
                    <w:pStyle w:val="109"/>
                    <w:rPr>
                      <w:b/>
                      <w:bCs/>
                      <w:sz w:val="21"/>
                      <w:szCs w:val="21"/>
                    </w:rPr>
                  </w:pPr>
                  <w:r>
                    <w:rPr>
                      <w:b/>
                      <w:bCs/>
                      <w:sz w:val="21"/>
                      <w:szCs w:val="21"/>
                    </w:rPr>
                    <w:t>文件相关内容</w:t>
                  </w:r>
                </w:p>
              </w:tc>
              <w:tc>
                <w:tcPr>
                  <w:tcW w:w="0" w:type="auto"/>
                  <w:vAlign w:val="center"/>
                </w:tcPr>
                <w:p>
                  <w:pPr>
                    <w:pStyle w:val="109"/>
                    <w:rPr>
                      <w:b/>
                      <w:bCs/>
                      <w:sz w:val="21"/>
                      <w:szCs w:val="21"/>
                    </w:rPr>
                  </w:pPr>
                  <w:r>
                    <w:rPr>
                      <w:b/>
                      <w:bCs/>
                      <w:sz w:val="21"/>
                      <w:szCs w:val="21"/>
                    </w:rPr>
                    <w:t>本项目情况</w:t>
                  </w:r>
                </w:p>
              </w:tc>
              <w:tc>
                <w:tcPr>
                  <w:tcW w:w="0" w:type="auto"/>
                  <w:vAlign w:val="center"/>
                </w:tcPr>
                <w:p>
                  <w:pPr>
                    <w:pStyle w:val="109"/>
                    <w:rPr>
                      <w:b/>
                      <w:bCs/>
                      <w:sz w:val="21"/>
                      <w:szCs w:val="21"/>
                    </w:rPr>
                  </w:pPr>
                  <w:r>
                    <w:rPr>
                      <w:b/>
                      <w:bCs/>
                      <w:sz w:val="21"/>
                      <w:szCs w:val="21"/>
                    </w:rPr>
                    <w:t>是否</w:t>
                  </w:r>
                </w:p>
                <w:p>
                  <w:pPr>
                    <w:pStyle w:val="109"/>
                    <w:rPr>
                      <w:b/>
                      <w:bCs/>
                      <w:sz w:val="21"/>
                      <w:szCs w:val="21"/>
                    </w:rPr>
                  </w:pPr>
                  <w:r>
                    <w:rPr>
                      <w:b/>
                      <w:bCs/>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0" w:type="auto"/>
                  <w:vAlign w:val="center"/>
                </w:tcPr>
                <w:p>
                  <w:pPr>
                    <w:pStyle w:val="109"/>
                    <w:rPr>
                      <w:sz w:val="21"/>
                      <w:szCs w:val="21"/>
                    </w:rPr>
                  </w:pPr>
                  <w:r>
                    <w:rPr>
                      <w:sz w:val="21"/>
                      <w:szCs w:val="21"/>
                    </w:rPr>
                    <w:t>1</w:t>
                  </w:r>
                </w:p>
              </w:tc>
              <w:tc>
                <w:tcPr>
                  <w:tcW w:w="0" w:type="auto"/>
                  <w:vAlign w:val="center"/>
                </w:tcPr>
                <w:p>
                  <w:pPr>
                    <w:pStyle w:val="109"/>
                    <w:rPr>
                      <w:sz w:val="21"/>
                      <w:szCs w:val="21"/>
                    </w:rPr>
                  </w:pPr>
                  <w:r>
                    <w:rPr>
                      <w:sz w:val="21"/>
                      <w:szCs w:val="21"/>
                    </w:rPr>
                    <w:t>优化产业布局。配合上级部门完成生态保护红线、环境质量底线、资源利用上线、环境准入清单编制工作，明确禁止和限制发展的行业、生产工艺和产业目录。严格执行国家高耗能、高污染和资源型行业准入条件。积极推行区域、规划环境影响评价，新、改、扩建钢铁、石化、化工、焦化、建材、有色等项目的环境影响评价，应满足区域、规划环评要求。</w:t>
                  </w:r>
                </w:p>
              </w:tc>
              <w:tc>
                <w:tcPr>
                  <w:tcW w:w="0" w:type="auto"/>
                  <w:vAlign w:val="center"/>
                </w:tcPr>
                <w:p>
                  <w:pPr>
                    <w:pStyle w:val="109"/>
                    <w:rPr>
                      <w:sz w:val="21"/>
                      <w:szCs w:val="21"/>
                    </w:rPr>
                  </w:pPr>
                  <w:r>
                    <w:rPr>
                      <w:sz w:val="21"/>
                      <w:szCs w:val="21"/>
                    </w:rPr>
                    <w:t>本项目不属于禁止和限制发展的行业，不使用禁止生产工艺，不属于高耗能、高污染和资源型行业；项目建设满足区域规划环评要求</w:t>
                  </w:r>
                </w:p>
              </w:tc>
              <w:tc>
                <w:tcPr>
                  <w:tcW w:w="0" w:type="auto"/>
                  <w:vAlign w:val="center"/>
                </w:tcPr>
                <w:p>
                  <w:pPr>
                    <w:pStyle w:val="109"/>
                    <w:rPr>
                      <w:sz w:val="21"/>
                      <w:szCs w:val="21"/>
                    </w:rPr>
                  </w:pPr>
                  <w:r>
                    <w:rPr>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0" w:type="auto"/>
                  <w:vAlign w:val="center"/>
                </w:tcPr>
                <w:p>
                  <w:pPr>
                    <w:pStyle w:val="109"/>
                    <w:rPr>
                      <w:sz w:val="21"/>
                      <w:szCs w:val="21"/>
                    </w:rPr>
                  </w:pPr>
                  <w:r>
                    <w:rPr>
                      <w:sz w:val="21"/>
                      <w:szCs w:val="21"/>
                    </w:rPr>
                    <w:t>2</w:t>
                  </w:r>
                </w:p>
              </w:tc>
              <w:tc>
                <w:tcPr>
                  <w:tcW w:w="0" w:type="auto"/>
                  <w:vAlign w:val="center"/>
                </w:tcPr>
                <w:p>
                  <w:pPr>
                    <w:pStyle w:val="109"/>
                    <w:rPr>
                      <w:sz w:val="21"/>
                      <w:szCs w:val="21"/>
                    </w:rPr>
                  </w:pPr>
                  <w:r>
                    <w:rPr>
                      <w:sz w:val="21"/>
                      <w:szCs w:val="21"/>
                    </w:rPr>
                    <w:t>严控“两高”行业产能。严格执行国家关于“两高”产业准入目录和产能总量控制政策措施。严禁新增钢铁、焦化、电解铝、铸造、水泥和平板玻璃等产能；严格执行钢铁、水泥等行业产能置换实施办法；新、改、扩建涉及大宗物料运输的建设项目，原则上不得采用公路运输。</w:t>
                  </w:r>
                </w:p>
              </w:tc>
              <w:tc>
                <w:tcPr>
                  <w:tcW w:w="0" w:type="auto"/>
                  <w:vAlign w:val="center"/>
                </w:tcPr>
                <w:p>
                  <w:pPr>
                    <w:pStyle w:val="109"/>
                    <w:rPr>
                      <w:sz w:val="21"/>
                      <w:szCs w:val="21"/>
                    </w:rPr>
                  </w:pPr>
                  <w:r>
                    <w:rPr>
                      <w:sz w:val="21"/>
                      <w:szCs w:val="21"/>
                    </w:rPr>
                    <w:t>项目不属于“两高”行业</w:t>
                  </w:r>
                </w:p>
              </w:tc>
              <w:tc>
                <w:tcPr>
                  <w:tcW w:w="0" w:type="auto"/>
                  <w:vAlign w:val="center"/>
                </w:tcPr>
                <w:p>
                  <w:pPr>
                    <w:pStyle w:val="109"/>
                    <w:rPr>
                      <w:sz w:val="21"/>
                      <w:szCs w:val="21"/>
                    </w:rPr>
                  </w:pPr>
                  <w:r>
                    <w:rPr>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0" w:type="auto"/>
                  <w:vAlign w:val="center"/>
                </w:tcPr>
                <w:p>
                  <w:pPr>
                    <w:pStyle w:val="109"/>
                    <w:rPr>
                      <w:sz w:val="21"/>
                      <w:szCs w:val="21"/>
                    </w:rPr>
                  </w:pPr>
                  <w:r>
                    <w:rPr>
                      <w:sz w:val="21"/>
                      <w:szCs w:val="21"/>
                    </w:rPr>
                    <w:t>3</w:t>
                  </w:r>
                </w:p>
              </w:tc>
              <w:tc>
                <w:tcPr>
                  <w:tcW w:w="0" w:type="auto"/>
                  <w:vAlign w:val="center"/>
                </w:tcPr>
                <w:p>
                  <w:pPr>
                    <w:pStyle w:val="109"/>
                    <w:rPr>
                      <w:sz w:val="21"/>
                      <w:szCs w:val="21"/>
                    </w:rPr>
                  </w:pPr>
                  <w:r>
                    <w:rPr>
                      <w:sz w:val="21"/>
                      <w:szCs w:val="21"/>
                    </w:rPr>
                    <w:t>强化“散乱污”企业综合整治。全面开展“散乱污”企业及集群综合整治行动。</w:t>
                  </w:r>
                </w:p>
              </w:tc>
              <w:tc>
                <w:tcPr>
                  <w:tcW w:w="0" w:type="auto"/>
                  <w:vAlign w:val="center"/>
                </w:tcPr>
                <w:p>
                  <w:pPr>
                    <w:pStyle w:val="109"/>
                    <w:rPr>
                      <w:sz w:val="21"/>
                      <w:szCs w:val="21"/>
                    </w:rPr>
                  </w:pPr>
                  <w:r>
                    <w:rPr>
                      <w:sz w:val="21"/>
                      <w:szCs w:val="21"/>
                    </w:rPr>
                    <w:t>企业不属于“散乱污”企业</w:t>
                  </w:r>
                </w:p>
              </w:tc>
              <w:tc>
                <w:tcPr>
                  <w:tcW w:w="0" w:type="auto"/>
                  <w:vAlign w:val="center"/>
                </w:tcPr>
                <w:p>
                  <w:pPr>
                    <w:pStyle w:val="109"/>
                    <w:rPr>
                      <w:sz w:val="21"/>
                      <w:szCs w:val="21"/>
                    </w:rPr>
                  </w:pPr>
                  <w:r>
                    <w:rPr>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0" w:type="auto"/>
                  <w:vAlign w:val="center"/>
                </w:tcPr>
                <w:p>
                  <w:pPr>
                    <w:pStyle w:val="109"/>
                    <w:rPr>
                      <w:sz w:val="21"/>
                      <w:szCs w:val="21"/>
                    </w:rPr>
                  </w:pPr>
                  <w:r>
                    <w:rPr>
                      <w:sz w:val="21"/>
                      <w:szCs w:val="21"/>
                    </w:rPr>
                    <w:t>4</w:t>
                  </w:r>
                </w:p>
              </w:tc>
              <w:tc>
                <w:tcPr>
                  <w:tcW w:w="0" w:type="auto"/>
                  <w:vAlign w:val="center"/>
                </w:tcPr>
                <w:p>
                  <w:pPr>
                    <w:pStyle w:val="109"/>
                    <w:rPr>
                      <w:sz w:val="21"/>
                      <w:szCs w:val="21"/>
                    </w:rPr>
                  </w:pPr>
                  <w:r>
                    <w:rPr>
                      <w:sz w:val="21"/>
                      <w:szCs w:val="21"/>
                    </w:rPr>
                    <w:t>深化工业污染治理。推进重点行业污染治理升级改造。二氧化硫、氮氧化物、颗粒物、挥发性有机物（VOCs）全面执行大气污染物特别排放限值。推动实施钢铁等行业超低排放改造。</w:t>
                  </w:r>
                </w:p>
              </w:tc>
              <w:tc>
                <w:tcPr>
                  <w:tcW w:w="0" w:type="auto"/>
                  <w:vAlign w:val="center"/>
                </w:tcPr>
                <w:p>
                  <w:pPr>
                    <w:pStyle w:val="109"/>
                    <w:rPr>
                      <w:sz w:val="21"/>
                      <w:szCs w:val="21"/>
                    </w:rPr>
                  </w:pPr>
                  <w:r>
                    <w:rPr>
                      <w:sz w:val="21"/>
                      <w:szCs w:val="21"/>
                    </w:rPr>
                    <w:t>项目污染物排放执行特别排放限值；</w:t>
                  </w:r>
                </w:p>
              </w:tc>
              <w:tc>
                <w:tcPr>
                  <w:tcW w:w="0" w:type="auto"/>
                  <w:vAlign w:val="center"/>
                </w:tcPr>
                <w:p>
                  <w:pPr>
                    <w:pStyle w:val="109"/>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0" w:type="auto"/>
                  <w:vAlign w:val="center"/>
                </w:tcPr>
                <w:p>
                  <w:pPr>
                    <w:pStyle w:val="109"/>
                    <w:rPr>
                      <w:sz w:val="21"/>
                      <w:szCs w:val="21"/>
                    </w:rPr>
                  </w:pPr>
                  <w:r>
                    <w:rPr>
                      <w:sz w:val="21"/>
                      <w:szCs w:val="21"/>
                    </w:rPr>
                    <w:t>5</w:t>
                  </w:r>
                </w:p>
              </w:tc>
              <w:tc>
                <w:tcPr>
                  <w:tcW w:w="0" w:type="auto"/>
                  <w:vAlign w:val="center"/>
                </w:tcPr>
                <w:p>
                  <w:pPr>
                    <w:pStyle w:val="109"/>
                    <w:rPr>
                      <w:sz w:val="21"/>
                      <w:szCs w:val="21"/>
                    </w:rPr>
                  </w:pPr>
                  <w:r>
                    <w:rPr>
                      <w:sz w:val="21"/>
                      <w:szCs w:val="21"/>
                    </w:rPr>
                    <w:t>实施VOCs专项整治行动。开展化工、工业涂装、包装印刷等VOCs排放重点行业和油品储运销综合整治，执行泄漏检测与修复标准。禁止建设生产和使用高VOCs含量的溶剂型涂料、油墨、胶粘剂等项目。开展VOCs整治专项执法行动，严厉打击违法排污行为，对治理效果差、技术服务能力弱、运营管理水平低的治理单位，公布名单，实行联合惩戒，扶持培育VOCs治理和服务专业化规模化龙头企业。</w:t>
                  </w:r>
                </w:p>
              </w:tc>
              <w:tc>
                <w:tcPr>
                  <w:tcW w:w="0" w:type="auto"/>
                  <w:vAlign w:val="center"/>
                </w:tcPr>
                <w:p>
                  <w:pPr>
                    <w:pStyle w:val="109"/>
                    <w:rPr>
                      <w:sz w:val="21"/>
                      <w:szCs w:val="21"/>
                    </w:rPr>
                  </w:pPr>
                  <w:r>
                    <w:rPr>
                      <w:rFonts w:hint="eastAsia"/>
                      <w:sz w:val="21"/>
                      <w:szCs w:val="21"/>
                    </w:rPr>
                    <w:t>本项目网印油墨符合《油墨中可挥发性有机化合物</w:t>
                  </w:r>
                  <w:r>
                    <w:rPr>
                      <w:sz w:val="21"/>
                      <w:szCs w:val="21"/>
                    </w:rPr>
                    <w:t>（VOCs）含量的限值》（GB38507-2020）中表1油墨中可挥发性有机化合物含量的溶剂油墨中网印油墨限值≤75%；UV油墨符合《油墨中可挥发性有机化合物（VOCs）含量的限值》（GB38507-2020） 中表1油墨中可挥发性有机化合物含量的限值的能量固化喷墨印刷油墨≤5%；洗网水符合《清洗剂挥发性有机化合物含量限值》（GB38508-2020）表1清洗剂VOC含量及特定挥发性有机物限制要求，满足有机溶剂清洗剂VOC含量≤900g/L。玻璃保护液符合《低挥</w:t>
                  </w:r>
                  <w:r>
                    <w:rPr>
                      <w:rFonts w:hint="eastAsia"/>
                      <w:sz w:val="21"/>
                      <w:szCs w:val="21"/>
                    </w:rPr>
                    <w:t>发有机化合物含量涂料产品技术要求》</w:t>
                  </w:r>
                  <w:r>
                    <w:rPr>
                      <w:sz w:val="21"/>
                      <w:szCs w:val="21"/>
                    </w:rPr>
                    <w:t>（GB/T38597-2020）表1水性涂料中工业防护涂料中包装涂料的面漆VOC含量的要求≤270g/L</w:t>
                  </w:r>
                </w:p>
              </w:tc>
              <w:tc>
                <w:tcPr>
                  <w:tcW w:w="0" w:type="auto"/>
                  <w:vAlign w:val="center"/>
                </w:tcPr>
                <w:p>
                  <w:pPr>
                    <w:pStyle w:val="109"/>
                    <w:rPr>
                      <w:sz w:val="21"/>
                      <w:szCs w:val="21"/>
                    </w:rPr>
                  </w:pPr>
                  <w:r>
                    <w:rPr>
                      <w:sz w:val="21"/>
                      <w:szCs w:val="21"/>
                    </w:rPr>
                    <w:t>符合</w:t>
                  </w:r>
                </w:p>
              </w:tc>
            </w:tr>
          </w:tbl>
          <w:p>
            <w:pPr>
              <w:pStyle w:val="5"/>
              <w:spacing w:line="440" w:lineRule="exact"/>
              <w:ind w:left="0" w:firstLine="482" w:firstLineChars="200"/>
              <w:jc w:val="both"/>
              <w:rPr>
                <w:rFonts w:eastAsia="宋体"/>
                <w:b/>
                <w:bCs/>
                <w:sz w:val="24"/>
                <w:szCs w:val="24"/>
              </w:rPr>
            </w:pPr>
            <w:r>
              <w:rPr>
                <w:rFonts w:eastAsia="宋体"/>
                <w:b/>
                <w:bCs/>
                <w:sz w:val="24"/>
                <w:szCs w:val="24"/>
              </w:rPr>
              <w:t>5、与《安徽省2021年应对气候变化和大气污染防治重点工作任务》的相符性分析</w:t>
            </w:r>
          </w:p>
          <w:p>
            <w:pPr>
              <w:pStyle w:val="110"/>
              <w:spacing w:before="0" w:after="0" w:line="440" w:lineRule="exact"/>
              <w:rPr>
                <w:rFonts w:eastAsia="宋体"/>
                <w:b/>
                <w:bCs/>
                <w:lang w:val="en-US"/>
              </w:rPr>
            </w:pPr>
            <w:r>
              <w:rPr>
                <w:rFonts w:eastAsia="宋体"/>
                <w:b/>
                <w:bCs/>
                <w:lang w:val="en-US"/>
              </w:rPr>
              <w:t>表1-9  与《安徽省2021年应对气候变化和大气污染防治重点工作任务》相符性分析</w:t>
            </w:r>
          </w:p>
          <w:tbl>
            <w:tblPr>
              <w:tblStyle w:val="2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3333"/>
              <w:gridCol w:w="4027"/>
              <w:gridCol w:w="4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09"/>
                    <w:rPr>
                      <w:b/>
                      <w:bCs/>
                      <w:sz w:val="21"/>
                      <w:szCs w:val="21"/>
                    </w:rPr>
                  </w:pPr>
                  <w:r>
                    <w:rPr>
                      <w:b/>
                      <w:bCs/>
                      <w:sz w:val="21"/>
                      <w:szCs w:val="21"/>
                    </w:rPr>
                    <w:t>序号</w:t>
                  </w:r>
                </w:p>
              </w:tc>
              <w:tc>
                <w:tcPr>
                  <w:tcW w:w="0" w:type="auto"/>
                  <w:vAlign w:val="center"/>
                </w:tcPr>
                <w:p>
                  <w:pPr>
                    <w:pStyle w:val="109"/>
                    <w:rPr>
                      <w:b/>
                      <w:bCs/>
                      <w:sz w:val="21"/>
                      <w:szCs w:val="21"/>
                    </w:rPr>
                  </w:pPr>
                  <w:r>
                    <w:rPr>
                      <w:b/>
                      <w:bCs/>
                      <w:sz w:val="21"/>
                      <w:szCs w:val="21"/>
                    </w:rPr>
                    <w:t>文件相关内容</w:t>
                  </w:r>
                </w:p>
              </w:tc>
              <w:tc>
                <w:tcPr>
                  <w:tcW w:w="0" w:type="auto"/>
                  <w:vAlign w:val="center"/>
                </w:tcPr>
                <w:p>
                  <w:pPr>
                    <w:pStyle w:val="109"/>
                    <w:rPr>
                      <w:b/>
                      <w:bCs/>
                      <w:sz w:val="21"/>
                      <w:szCs w:val="21"/>
                    </w:rPr>
                  </w:pPr>
                  <w:r>
                    <w:rPr>
                      <w:b/>
                      <w:bCs/>
                      <w:sz w:val="21"/>
                      <w:szCs w:val="21"/>
                    </w:rPr>
                    <w:t>本项目情况</w:t>
                  </w:r>
                </w:p>
              </w:tc>
              <w:tc>
                <w:tcPr>
                  <w:tcW w:w="0" w:type="auto"/>
                  <w:vAlign w:val="center"/>
                </w:tcPr>
                <w:p>
                  <w:pPr>
                    <w:pStyle w:val="109"/>
                    <w:rPr>
                      <w:b/>
                      <w:bCs/>
                      <w:sz w:val="21"/>
                      <w:szCs w:val="21"/>
                    </w:rPr>
                  </w:pPr>
                  <w:r>
                    <w:rPr>
                      <w:b/>
                      <w:bCs/>
                      <w:sz w:val="21"/>
                      <w:szCs w:val="21"/>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0" w:type="auto"/>
                  <w:vAlign w:val="center"/>
                </w:tcPr>
                <w:p>
                  <w:pPr>
                    <w:pStyle w:val="109"/>
                    <w:rPr>
                      <w:sz w:val="21"/>
                      <w:szCs w:val="21"/>
                    </w:rPr>
                  </w:pPr>
                  <w:r>
                    <w:rPr>
                      <w:sz w:val="21"/>
                      <w:szCs w:val="21"/>
                    </w:rPr>
                    <w:t>1</w:t>
                  </w:r>
                </w:p>
              </w:tc>
              <w:tc>
                <w:tcPr>
                  <w:tcW w:w="0" w:type="auto"/>
                  <w:vAlign w:val="center"/>
                </w:tcPr>
                <w:p>
                  <w:pPr>
                    <w:pStyle w:val="109"/>
                    <w:rPr>
                      <w:sz w:val="21"/>
                      <w:szCs w:val="21"/>
                    </w:rPr>
                  </w:pPr>
                  <w:r>
                    <w:rPr>
                      <w:sz w:val="21"/>
                      <w:szCs w:val="21"/>
                    </w:rPr>
                    <w:t>加快推动VOCs精细化管理。实施VOCs产品源头替代工程，严格落实《油墨中可挥发有机化合物含量的限值》等国家产品VOCs含量限值标准，推进家具制造、汽车制造、印刷和记录媒介、橡胶和塑料制品等行业低VOCs含量原辅材料替代。实施重点企业VOCs综合治理工程，编制执行“一企一策”，推进治污设施改造升级。提升涉VOCs企业“双随机一公开”执法水平，加强无组织排放管控，9月底前，各地集中开展一次VOCs整治专项执法行动；年底前，各地至少完成一轮所在地省级及以上开发区和省级化工园区走航监测、红外热成像等智能监测。</w:t>
                  </w:r>
                </w:p>
              </w:tc>
              <w:tc>
                <w:tcPr>
                  <w:tcW w:w="0" w:type="auto"/>
                  <w:vAlign w:val="center"/>
                </w:tcPr>
                <w:p>
                  <w:pPr>
                    <w:pStyle w:val="109"/>
                    <w:rPr>
                      <w:sz w:val="21"/>
                      <w:szCs w:val="21"/>
                    </w:rPr>
                  </w:pPr>
                  <w:r>
                    <w:rPr>
                      <w:rFonts w:hint="eastAsia"/>
                      <w:sz w:val="21"/>
                      <w:szCs w:val="21"/>
                    </w:rPr>
                    <w:t>本项目网印油墨符合《油墨中可挥发性有机化合物</w:t>
                  </w:r>
                  <w:r>
                    <w:rPr>
                      <w:sz w:val="21"/>
                      <w:szCs w:val="21"/>
                    </w:rPr>
                    <w:t>（VOCs）含量的限值》（GB38507-2020）中表1油墨中可挥发性有机化合物含量的溶剂油墨中网印油墨限值≤75%；UV油墨符合《油墨中可挥发性有机化合物（VOCs）含量的限值》（GB38507-2020） 中表1油墨中可挥发性有机化合物含量的限值的能量固化喷墨印刷油墨≤5%；洗网水符合《清洗剂挥发性有机化合物含量限值》（GB38508-2020）表1清洗剂VOC含量及特定挥发性有机物限制要求，满足有机溶剂清洗剂VOC含量≤900g/L。玻璃保护液符合《低挥</w:t>
                  </w:r>
                  <w:r>
                    <w:rPr>
                      <w:rFonts w:hint="eastAsia"/>
                      <w:sz w:val="21"/>
                      <w:szCs w:val="21"/>
                    </w:rPr>
                    <w:t>发有机化合物含量涂料产品技术要求》</w:t>
                  </w:r>
                  <w:r>
                    <w:rPr>
                      <w:sz w:val="21"/>
                      <w:szCs w:val="21"/>
                    </w:rPr>
                    <w:t>（GB/T38597-2020）表1水性涂料中工业防护涂料中包装涂料的面漆VOC含量的要求≤270g/L</w:t>
                  </w:r>
                </w:p>
              </w:tc>
              <w:tc>
                <w:tcPr>
                  <w:tcW w:w="0" w:type="auto"/>
                  <w:vAlign w:val="center"/>
                </w:tcPr>
                <w:p>
                  <w:pPr>
                    <w:pStyle w:val="109"/>
                    <w:rPr>
                      <w:sz w:val="21"/>
                      <w:szCs w:val="21"/>
                    </w:rPr>
                  </w:pPr>
                </w:p>
              </w:tc>
            </w:tr>
          </w:tbl>
          <w:p>
            <w:pPr>
              <w:pStyle w:val="5"/>
              <w:spacing w:line="440" w:lineRule="exact"/>
              <w:ind w:left="0" w:firstLine="482" w:firstLineChars="200"/>
              <w:jc w:val="both"/>
              <w:rPr>
                <w:rFonts w:eastAsia="宋体"/>
                <w:b/>
                <w:bCs/>
                <w:sz w:val="24"/>
                <w:szCs w:val="24"/>
              </w:rPr>
            </w:pPr>
            <w:r>
              <w:rPr>
                <w:rFonts w:eastAsia="宋体"/>
                <w:b/>
                <w:bCs/>
                <w:sz w:val="24"/>
                <w:szCs w:val="24"/>
              </w:rPr>
              <w:t>6、与《淮南市2021年应对气候变化和大气污染防治重点工作任务》的相符性分析</w:t>
            </w:r>
          </w:p>
          <w:p>
            <w:pPr>
              <w:pStyle w:val="110"/>
              <w:spacing w:before="0" w:after="0" w:line="440" w:lineRule="exact"/>
              <w:rPr>
                <w:rFonts w:eastAsia="宋体"/>
                <w:b/>
                <w:bCs/>
                <w:lang w:val="en-US"/>
              </w:rPr>
            </w:pPr>
            <w:r>
              <w:rPr>
                <w:rFonts w:eastAsia="宋体"/>
                <w:b/>
                <w:bCs/>
                <w:lang w:val="en-US"/>
              </w:rPr>
              <w:t>表1-10与《淮南市2021年应对气候变化和大气污染防治重点工作任务》相符性分析</w:t>
            </w:r>
          </w:p>
          <w:tbl>
            <w:tblPr>
              <w:tblStyle w:val="2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3381"/>
              <w:gridCol w:w="3981"/>
              <w:gridCol w:w="4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09"/>
                    <w:rPr>
                      <w:b/>
                      <w:bCs/>
                      <w:sz w:val="21"/>
                      <w:szCs w:val="21"/>
                    </w:rPr>
                  </w:pPr>
                  <w:r>
                    <w:rPr>
                      <w:b/>
                      <w:bCs/>
                      <w:sz w:val="21"/>
                      <w:szCs w:val="21"/>
                    </w:rPr>
                    <w:t>序号</w:t>
                  </w:r>
                </w:p>
              </w:tc>
              <w:tc>
                <w:tcPr>
                  <w:tcW w:w="0" w:type="auto"/>
                  <w:vAlign w:val="center"/>
                </w:tcPr>
                <w:p>
                  <w:pPr>
                    <w:pStyle w:val="109"/>
                    <w:rPr>
                      <w:b/>
                      <w:bCs/>
                      <w:sz w:val="21"/>
                      <w:szCs w:val="21"/>
                    </w:rPr>
                  </w:pPr>
                  <w:r>
                    <w:rPr>
                      <w:b/>
                      <w:bCs/>
                      <w:sz w:val="21"/>
                      <w:szCs w:val="21"/>
                    </w:rPr>
                    <w:t>任务要求</w:t>
                  </w:r>
                </w:p>
              </w:tc>
              <w:tc>
                <w:tcPr>
                  <w:tcW w:w="0" w:type="auto"/>
                  <w:vAlign w:val="center"/>
                </w:tcPr>
                <w:p>
                  <w:pPr>
                    <w:pStyle w:val="109"/>
                    <w:rPr>
                      <w:b/>
                      <w:bCs/>
                      <w:sz w:val="21"/>
                      <w:szCs w:val="21"/>
                    </w:rPr>
                  </w:pPr>
                  <w:r>
                    <w:rPr>
                      <w:b/>
                      <w:bCs/>
                      <w:sz w:val="21"/>
                      <w:szCs w:val="21"/>
                    </w:rPr>
                    <w:t>本项目情况</w:t>
                  </w:r>
                </w:p>
              </w:tc>
              <w:tc>
                <w:tcPr>
                  <w:tcW w:w="0" w:type="auto"/>
                  <w:vAlign w:val="center"/>
                </w:tcPr>
                <w:p>
                  <w:pPr>
                    <w:pStyle w:val="109"/>
                    <w:rPr>
                      <w:b/>
                      <w:bCs/>
                      <w:sz w:val="21"/>
                      <w:szCs w:val="21"/>
                    </w:rPr>
                  </w:pPr>
                  <w:r>
                    <w:rPr>
                      <w:b/>
                      <w:bCs/>
                      <w:sz w:val="21"/>
                      <w:szCs w:val="21"/>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09"/>
                    <w:rPr>
                      <w:sz w:val="21"/>
                      <w:szCs w:val="21"/>
                    </w:rPr>
                  </w:pPr>
                  <w:r>
                    <w:rPr>
                      <w:sz w:val="21"/>
                      <w:szCs w:val="21"/>
                    </w:rPr>
                    <w:t>1</w:t>
                  </w:r>
                </w:p>
              </w:tc>
              <w:tc>
                <w:tcPr>
                  <w:tcW w:w="0" w:type="auto"/>
                  <w:vAlign w:val="center"/>
                </w:tcPr>
                <w:p>
                  <w:pPr>
                    <w:pStyle w:val="109"/>
                    <w:rPr>
                      <w:sz w:val="21"/>
                      <w:szCs w:val="21"/>
                    </w:rPr>
                  </w:pPr>
                  <w:r>
                    <w:rPr>
                      <w:sz w:val="21"/>
                      <w:szCs w:val="21"/>
                    </w:rPr>
                    <w:t>优化产业结构及布局。对标节能减排要求和碳达峰碳中和目标，坚决遏制高耗能高排放项目盲目发展。提高新建项目节能环保准入标准，加大落后和过剩产能压减力度。严格执行国家高耗能、高污染和高资源型行业准入条件，钢铁、水泥熟料、平板玻璃、化工等新、扩建项目严格实施产能置换，不再新建未纳入国家规划的煤化工等项目。以清洁生产一级水平为标杆，加快传统产业技术改造，推动我市钢铁、石化、建材、纺织印染等传统产业绿色转型。严格按照《产业结构调整指导目录》，支持发展先进产能，依法淘汰落后产能，建立“散乱污”企业动态管理机制，坚决杜绝“散乱污”企业异地转移，严防死灰复燃。</w:t>
                  </w:r>
                </w:p>
              </w:tc>
              <w:tc>
                <w:tcPr>
                  <w:tcW w:w="0" w:type="auto"/>
                  <w:vAlign w:val="center"/>
                </w:tcPr>
                <w:p>
                  <w:pPr>
                    <w:pStyle w:val="109"/>
                    <w:rPr>
                      <w:sz w:val="21"/>
                      <w:szCs w:val="21"/>
                    </w:rPr>
                  </w:pPr>
                  <w:r>
                    <w:rPr>
                      <w:sz w:val="21"/>
                      <w:szCs w:val="21"/>
                    </w:rPr>
                    <w:t>项目不属于高耗能、高污染和高资源型行业；企业不属于“散乱污”企业</w:t>
                  </w:r>
                </w:p>
              </w:tc>
              <w:tc>
                <w:tcPr>
                  <w:tcW w:w="0" w:type="auto"/>
                  <w:vAlign w:val="center"/>
                </w:tcPr>
                <w:p>
                  <w:pPr>
                    <w:pStyle w:val="109"/>
                    <w:rPr>
                      <w:sz w:val="21"/>
                      <w:szCs w:val="21"/>
                    </w:rPr>
                  </w:pPr>
                  <w:r>
                    <w:rPr>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0" w:type="auto"/>
                  <w:vAlign w:val="center"/>
                </w:tcPr>
                <w:p>
                  <w:pPr>
                    <w:pStyle w:val="109"/>
                    <w:rPr>
                      <w:sz w:val="21"/>
                      <w:szCs w:val="21"/>
                    </w:rPr>
                  </w:pPr>
                  <w:r>
                    <w:rPr>
                      <w:sz w:val="21"/>
                      <w:szCs w:val="21"/>
                    </w:rPr>
                    <w:t>2</w:t>
                  </w:r>
                </w:p>
              </w:tc>
              <w:tc>
                <w:tcPr>
                  <w:tcW w:w="0" w:type="auto"/>
                  <w:vAlign w:val="center"/>
                </w:tcPr>
                <w:p>
                  <w:pPr>
                    <w:pStyle w:val="109"/>
                    <w:rPr>
                      <w:sz w:val="21"/>
                      <w:szCs w:val="21"/>
                    </w:rPr>
                  </w:pPr>
                  <w:r>
                    <w:rPr>
                      <w:sz w:val="21"/>
                      <w:szCs w:val="21"/>
                    </w:rPr>
                    <w:t>加快推动VOCs精细化治理。实施VOCs产品源头替代工程，严格落实《油墨中可挥发性有机化合物含量的限值》等国家产品VOCs含量限值标准，推进家具制造、汽车制造、印刷和记录媒介、橡胶和塑料制品等行业低VOCs含量原辅材料替代。实施重点企业VOCs综合治理工程，编制执行“一企一策”，推进企业治污设施改造升级。</w:t>
                  </w:r>
                </w:p>
              </w:tc>
              <w:tc>
                <w:tcPr>
                  <w:tcW w:w="0" w:type="auto"/>
                  <w:vAlign w:val="center"/>
                </w:tcPr>
                <w:p>
                  <w:pPr>
                    <w:pStyle w:val="109"/>
                    <w:rPr>
                      <w:sz w:val="21"/>
                      <w:szCs w:val="21"/>
                    </w:rPr>
                  </w:pPr>
                  <w:r>
                    <w:rPr>
                      <w:rFonts w:hint="eastAsia"/>
                      <w:sz w:val="21"/>
                      <w:szCs w:val="21"/>
                    </w:rPr>
                    <w:t>本项目网印油墨符合《油墨中可挥发性有机化合物</w:t>
                  </w:r>
                  <w:r>
                    <w:rPr>
                      <w:sz w:val="21"/>
                      <w:szCs w:val="21"/>
                    </w:rPr>
                    <w:t>（VOCs）含量的限值》（GB38507-2020）中表1油墨中可挥发性有机化合物含量的溶剂油墨中网印油墨限值≤75%；UV油墨符合《油墨中可挥发性有机化合物（VOCs）含量的限值》（GB38507-2020） 中表1油墨中可挥发性有机化合物含量的限值的能量固化喷墨印刷油墨≤5%；洗网水符合《清洗剂挥发性有机化合物含量限值》（GB38508-2020）表1清洗剂VOC含量及特定挥发性有机物限制要求，满足有机溶剂清洗剂VOC含量≤900g/L。玻璃保护液符合《低挥</w:t>
                  </w:r>
                  <w:r>
                    <w:rPr>
                      <w:rFonts w:hint="eastAsia"/>
                      <w:sz w:val="21"/>
                      <w:szCs w:val="21"/>
                    </w:rPr>
                    <w:t>发有机化合物含量涂料产品技术要求》</w:t>
                  </w:r>
                  <w:r>
                    <w:rPr>
                      <w:sz w:val="21"/>
                      <w:szCs w:val="21"/>
                    </w:rPr>
                    <w:t>（GB/T38597-2020）表1水性涂料中工业防护涂料中包装涂料的面漆VOC含量的要求≤270g/L</w:t>
                  </w:r>
                </w:p>
              </w:tc>
              <w:tc>
                <w:tcPr>
                  <w:tcW w:w="0" w:type="auto"/>
                  <w:vAlign w:val="center"/>
                </w:tcPr>
                <w:p>
                  <w:pPr>
                    <w:pStyle w:val="109"/>
                    <w:rPr>
                      <w:sz w:val="21"/>
                      <w:szCs w:val="21"/>
                    </w:rPr>
                  </w:pPr>
                  <w:r>
                    <w:rPr>
                      <w:sz w:val="21"/>
                      <w:szCs w:val="21"/>
                    </w:rPr>
                    <w:t>相符</w:t>
                  </w:r>
                </w:p>
              </w:tc>
            </w:tr>
          </w:tbl>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综上所述，本项目与《淮南市2021年应对气候变化和大气污染防治重点工作任务》相符。</w:t>
            </w:r>
          </w:p>
          <w:p>
            <w:pPr>
              <w:pStyle w:val="5"/>
              <w:spacing w:line="440" w:lineRule="exact"/>
              <w:ind w:left="0" w:firstLine="482" w:firstLineChars="200"/>
              <w:jc w:val="both"/>
              <w:rPr>
                <w:rFonts w:eastAsia="宋体"/>
                <w:b/>
                <w:bCs/>
                <w:sz w:val="24"/>
                <w:szCs w:val="24"/>
              </w:rPr>
            </w:pPr>
            <w:r>
              <w:rPr>
                <w:rFonts w:eastAsia="宋体"/>
                <w:b/>
                <w:bCs/>
                <w:sz w:val="24"/>
                <w:szCs w:val="24"/>
              </w:rPr>
              <w:t>7、与《2020年挥发性有机物治理攻坚方案》的相符性分析</w:t>
            </w:r>
          </w:p>
          <w:p>
            <w:pPr>
              <w:pStyle w:val="110"/>
              <w:spacing w:before="0" w:after="0" w:line="440" w:lineRule="exact"/>
              <w:rPr>
                <w:rFonts w:eastAsia="宋体"/>
                <w:b/>
                <w:bCs/>
                <w:lang w:val="en-US"/>
              </w:rPr>
            </w:pPr>
            <w:r>
              <w:rPr>
                <w:rFonts w:eastAsia="宋体"/>
                <w:b/>
                <w:bCs/>
                <w:lang w:val="en-US"/>
              </w:rPr>
              <w:t>表1-11与《2020年挥发性有机物治理攻坚方案》相符性分析</w:t>
            </w:r>
          </w:p>
          <w:tbl>
            <w:tblPr>
              <w:tblStyle w:val="2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3381"/>
              <w:gridCol w:w="3981"/>
              <w:gridCol w:w="4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09"/>
                    <w:rPr>
                      <w:b/>
                      <w:bCs/>
                      <w:sz w:val="21"/>
                      <w:szCs w:val="21"/>
                    </w:rPr>
                  </w:pPr>
                  <w:r>
                    <w:rPr>
                      <w:b/>
                      <w:bCs/>
                      <w:sz w:val="21"/>
                      <w:szCs w:val="21"/>
                    </w:rPr>
                    <w:t>序号</w:t>
                  </w:r>
                </w:p>
              </w:tc>
              <w:tc>
                <w:tcPr>
                  <w:tcW w:w="0" w:type="auto"/>
                  <w:vAlign w:val="center"/>
                </w:tcPr>
                <w:p>
                  <w:pPr>
                    <w:pStyle w:val="109"/>
                    <w:rPr>
                      <w:b/>
                      <w:bCs/>
                      <w:sz w:val="21"/>
                      <w:szCs w:val="21"/>
                    </w:rPr>
                  </w:pPr>
                  <w:r>
                    <w:rPr>
                      <w:b/>
                      <w:bCs/>
                      <w:sz w:val="21"/>
                      <w:szCs w:val="21"/>
                    </w:rPr>
                    <w:t>任务要求</w:t>
                  </w:r>
                </w:p>
              </w:tc>
              <w:tc>
                <w:tcPr>
                  <w:tcW w:w="0" w:type="auto"/>
                  <w:vAlign w:val="center"/>
                </w:tcPr>
                <w:p>
                  <w:pPr>
                    <w:pStyle w:val="109"/>
                    <w:rPr>
                      <w:b/>
                      <w:bCs/>
                      <w:sz w:val="21"/>
                      <w:szCs w:val="21"/>
                    </w:rPr>
                  </w:pPr>
                  <w:r>
                    <w:rPr>
                      <w:b/>
                      <w:bCs/>
                      <w:sz w:val="21"/>
                      <w:szCs w:val="21"/>
                    </w:rPr>
                    <w:t>本项目情况</w:t>
                  </w:r>
                </w:p>
              </w:tc>
              <w:tc>
                <w:tcPr>
                  <w:tcW w:w="0" w:type="auto"/>
                  <w:vAlign w:val="center"/>
                </w:tcPr>
                <w:p>
                  <w:pPr>
                    <w:pStyle w:val="109"/>
                    <w:rPr>
                      <w:b/>
                      <w:bCs/>
                      <w:sz w:val="21"/>
                      <w:szCs w:val="21"/>
                    </w:rPr>
                  </w:pPr>
                  <w:r>
                    <w:rPr>
                      <w:b/>
                      <w:bCs/>
                      <w:sz w:val="21"/>
                      <w:szCs w:val="21"/>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09"/>
                    <w:rPr>
                      <w:sz w:val="21"/>
                      <w:szCs w:val="21"/>
                    </w:rPr>
                  </w:pPr>
                  <w:r>
                    <w:rPr>
                      <w:sz w:val="21"/>
                      <w:szCs w:val="21"/>
                    </w:rPr>
                    <w:t>1</w:t>
                  </w:r>
                </w:p>
              </w:tc>
              <w:tc>
                <w:tcPr>
                  <w:tcW w:w="0" w:type="auto"/>
                  <w:vAlign w:val="center"/>
                </w:tcPr>
                <w:p>
                  <w:pPr>
                    <w:pStyle w:val="109"/>
                    <w:rPr>
                      <w:sz w:val="21"/>
                      <w:szCs w:val="21"/>
                    </w:rPr>
                  </w:pPr>
                  <w:r>
                    <w:rPr>
                      <w:sz w:val="21"/>
                      <w:szCs w:val="21"/>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p>
              </w:tc>
              <w:tc>
                <w:tcPr>
                  <w:tcW w:w="0" w:type="auto"/>
                  <w:vAlign w:val="center"/>
                </w:tcPr>
                <w:p>
                  <w:pPr>
                    <w:pStyle w:val="109"/>
                    <w:rPr>
                      <w:sz w:val="21"/>
                      <w:szCs w:val="21"/>
                    </w:rPr>
                  </w:pPr>
                  <w:r>
                    <w:rPr>
                      <w:rFonts w:hint="eastAsia"/>
                      <w:sz w:val="21"/>
                      <w:szCs w:val="21"/>
                    </w:rPr>
                    <w:t>本项目网印油墨符合《油墨中可挥发性有机化合物</w:t>
                  </w:r>
                  <w:r>
                    <w:rPr>
                      <w:sz w:val="21"/>
                      <w:szCs w:val="21"/>
                    </w:rPr>
                    <w:t>（VOCs）含量的限值》（GB38507-2020）中表1油墨中可挥发性有机化合物含量的溶剂油墨中网印油墨限值≤75%；UV油墨符合《油墨中可挥发性有机化合物（VOCs）含量的限值》（GB38507-2020） 中表1油墨中可挥发性有机化合物含量的限值的能量固化喷墨印刷油墨≤5%；洗网水符合《清洗剂挥发性有机化合物含量限值》（GB38508-2020）表1清洗剂VOC含量及特定挥发性有机物限制要求，满足有机溶剂清洗剂VOC含量≤900g/L。玻璃保护液符合《低挥</w:t>
                  </w:r>
                  <w:r>
                    <w:rPr>
                      <w:rFonts w:hint="eastAsia"/>
                      <w:sz w:val="21"/>
                      <w:szCs w:val="21"/>
                    </w:rPr>
                    <w:t>发有机化合物含量涂料产品技术要求》</w:t>
                  </w:r>
                  <w:r>
                    <w:rPr>
                      <w:sz w:val="21"/>
                      <w:szCs w:val="21"/>
                    </w:rPr>
                    <w:t>（GB/T38597-2020）表1水性涂料中工业防护涂料中包装涂料的面漆VOC含量的要求≤270g/L</w:t>
                  </w:r>
                </w:p>
              </w:tc>
              <w:tc>
                <w:tcPr>
                  <w:tcW w:w="0" w:type="auto"/>
                  <w:vAlign w:val="center"/>
                </w:tcPr>
                <w:p>
                  <w:pPr>
                    <w:pStyle w:val="109"/>
                    <w:rPr>
                      <w:sz w:val="21"/>
                      <w:szCs w:val="21"/>
                    </w:rPr>
                  </w:pPr>
                  <w:r>
                    <w:rPr>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09"/>
                    <w:rPr>
                      <w:sz w:val="21"/>
                      <w:szCs w:val="21"/>
                    </w:rPr>
                  </w:pPr>
                  <w:r>
                    <w:rPr>
                      <w:sz w:val="21"/>
                      <w:szCs w:val="21"/>
                    </w:rPr>
                    <w:t>2</w:t>
                  </w:r>
                </w:p>
              </w:tc>
              <w:tc>
                <w:tcPr>
                  <w:tcW w:w="0" w:type="auto"/>
                  <w:vAlign w:val="center"/>
                </w:tcPr>
                <w:p>
                  <w:pPr>
                    <w:pStyle w:val="109"/>
                    <w:rPr>
                      <w:sz w:val="21"/>
                      <w:szCs w:val="21"/>
                    </w:rPr>
                  </w:pPr>
                  <w:r>
                    <w:rPr>
                      <w:sz w:val="21"/>
                      <w:szCs w:val="21"/>
                    </w:rPr>
                    <w:t>2020年7月1日起，全面执行《挥发性有机物无组织排放控制标准》，重点区域应落实无组织排放特别控制要求。</w:t>
                  </w:r>
                </w:p>
              </w:tc>
              <w:tc>
                <w:tcPr>
                  <w:tcW w:w="0" w:type="auto"/>
                  <w:vAlign w:val="center"/>
                </w:tcPr>
                <w:p>
                  <w:pPr>
                    <w:pStyle w:val="109"/>
                    <w:rPr>
                      <w:sz w:val="21"/>
                      <w:szCs w:val="21"/>
                    </w:rPr>
                  </w:pPr>
                  <w:r>
                    <w:rPr>
                      <w:sz w:val="21"/>
                      <w:szCs w:val="21"/>
                    </w:rPr>
                    <w:t>本项目有机废气满足《挥发性有机物无组织排放控制标准》要求。</w:t>
                  </w:r>
                </w:p>
              </w:tc>
              <w:tc>
                <w:tcPr>
                  <w:tcW w:w="0" w:type="auto"/>
                  <w:vAlign w:val="center"/>
                </w:tcPr>
                <w:p>
                  <w:pPr>
                    <w:pStyle w:val="109"/>
                    <w:rPr>
                      <w:sz w:val="21"/>
                      <w:szCs w:val="21"/>
                    </w:rPr>
                  </w:pPr>
                  <w:r>
                    <w:rPr>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pPr>
                    <w:pStyle w:val="109"/>
                    <w:rPr>
                      <w:sz w:val="21"/>
                      <w:szCs w:val="21"/>
                    </w:rPr>
                  </w:pPr>
                  <w:r>
                    <w:rPr>
                      <w:sz w:val="21"/>
                      <w:szCs w:val="21"/>
                    </w:rPr>
                    <w:t>3</w:t>
                  </w:r>
                </w:p>
              </w:tc>
              <w:tc>
                <w:tcPr>
                  <w:tcW w:w="0" w:type="auto"/>
                  <w:vAlign w:val="center"/>
                </w:tcPr>
                <w:p>
                  <w:pPr>
                    <w:pStyle w:val="109"/>
                    <w:rPr>
                      <w:sz w:val="21"/>
                      <w:szCs w:val="21"/>
                    </w:rPr>
                  </w:pPr>
                  <w:r>
                    <w:rPr>
                      <w:sz w:val="21"/>
                      <w:szCs w:val="21"/>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w:t>
                  </w:r>
                </w:p>
              </w:tc>
              <w:tc>
                <w:tcPr>
                  <w:tcW w:w="0" w:type="auto"/>
                  <w:vAlign w:val="center"/>
                </w:tcPr>
                <w:p>
                  <w:pPr>
                    <w:pStyle w:val="109"/>
                    <w:rPr>
                      <w:sz w:val="21"/>
                      <w:szCs w:val="21"/>
                    </w:rPr>
                  </w:pPr>
                  <w:r>
                    <w:rPr>
                      <w:sz w:val="21"/>
                      <w:szCs w:val="21"/>
                    </w:rPr>
                    <w:t>本项目使用的</w:t>
                  </w:r>
                  <w:r>
                    <w:rPr>
                      <w:rFonts w:hint="eastAsia"/>
                      <w:sz w:val="21"/>
                      <w:szCs w:val="21"/>
                    </w:rPr>
                    <w:t>V</w:t>
                  </w:r>
                  <w:r>
                    <w:rPr>
                      <w:sz w:val="21"/>
                      <w:szCs w:val="21"/>
                    </w:rPr>
                    <w:t>OCs</w:t>
                  </w:r>
                  <w:r>
                    <w:rPr>
                      <w:rFonts w:hint="eastAsia"/>
                      <w:sz w:val="21"/>
                      <w:szCs w:val="21"/>
                    </w:rPr>
                    <w:t>物料</w:t>
                  </w:r>
                  <w:r>
                    <w:rPr>
                      <w:sz w:val="21"/>
                      <w:szCs w:val="21"/>
                    </w:rPr>
                    <w:t>，妥善存储，加强管理</w:t>
                  </w:r>
                </w:p>
              </w:tc>
              <w:tc>
                <w:tcPr>
                  <w:tcW w:w="0" w:type="auto"/>
                  <w:vAlign w:val="center"/>
                </w:tcPr>
                <w:p>
                  <w:pPr>
                    <w:pStyle w:val="109"/>
                    <w:rPr>
                      <w:sz w:val="21"/>
                      <w:szCs w:val="21"/>
                    </w:rPr>
                  </w:pPr>
                  <w:r>
                    <w:rPr>
                      <w:sz w:val="21"/>
                      <w:szCs w:val="21"/>
                    </w:rPr>
                    <w:t>相符</w:t>
                  </w:r>
                </w:p>
              </w:tc>
            </w:tr>
          </w:tbl>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综上所述，本项目与《2020年挥发性有机物治理攻坚方案》相符。</w:t>
            </w:r>
          </w:p>
          <w:p>
            <w:pPr>
              <w:pStyle w:val="72"/>
              <w:spacing w:line="440" w:lineRule="exact"/>
              <w:ind w:firstLine="482" w:firstLineChars="200"/>
              <w:jc w:val="both"/>
              <w:rPr>
                <w:b/>
                <w:bCs/>
                <w:sz w:val="24"/>
              </w:rPr>
            </w:pPr>
            <w:r>
              <w:rPr>
                <w:b/>
                <w:bCs/>
                <w:sz w:val="24"/>
              </w:rPr>
              <w:t>8、与《挥发性有机物无组织排放控制标准》要求相符性分析</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根据《挥发性有机物无组织排放控制标准》（GB37822-2019）内容，本项目与标准的相符性如下表。</w:t>
            </w:r>
          </w:p>
          <w:p>
            <w:pPr>
              <w:pStyle w:val="110"/>
              <w:spacing w:before="0" w:after="0" w:line="440" w:lineRule="exact"/>
              <w:rPr>
                <w:rFonts w:eastAsia="宋体"/>
                <w:b/>
                <w:bCs/>
                <w:lang w:val="en-US"/>
              </w:rPr>
            </w:pPr>
            <w:r>
              <w:rPr>
                <w:rFonts w:eastAsia="宋体"/>
                <w:b/>
                <w:bCs/>
                <w:lang w:val="en-US"/>
              </w:rPr>
              <w:t>表1-12与《挥发性有机物无组织排放控制标准》要求相符性分析</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3794"/>
              <w:gridCol w:w="2989"/>
              <w:gridCol w:w="8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92" w:type="pct"/>
                  <w:vAlign w:val="center"/>
                </w:tcPr>
                <w:p>
                  <w:pPr>
                    <w:pStyle w:val="109"/>
                    <w:rPr>
                      <w:b/>
                      <w:bCs/>
                      <w:sz w:val="21"/>
                      <w:szCs w:val="21"/>
                    </w:rPr>
                  </w:pPr>
                  <w:r>
                    <w:rPr>
                      <w:b/>
                      <w:bCs/>
                      <w:sz w:val="21"/>
                      <w:szCs w:val="21"/>
                    </w:rPr>
                    <w:t>序号</w:t>
                  </w:r>
                </w:p>
              </w:tc>
              <w:tc>
                <w:tcPr>
                  <w:tcW w:w="2289" w:type="pct"/>
                  <w:vAlign w:val="center"/>
                </w:tcPr>
                <w:p>
                  <w:pPr>
                    <w:pStyle w:val="109"/>
                    <w:rPr>
                      <w:b/>
                      <w:bCs/>
                      <w:sz w:val="21"/>
                      <w:szCs w:val="21"/>
                    </w:rPr>
                  </w:pPr>
                  <w:r>
                    <w:rPr>
                      <w:b/>
                      <w:bCs/>
                      <w:sz w:val="21"/>
                      <w:szCs w:val="21"/>
                    </w:rPr>
                    <w:t>方案要求</w:t>
                  </w:r>
                </w:p>
              </w:tc>
              <w:tc>
                <w:tcPr>
                  <w:tcW w:w="1803" w:type="pct"/>
                  <w:vAlign w:val="center"/>
                </w:tcPr>
                <w:p>
                  <w:pPr>
                    <w:pStyle w:val="109"/>
                    <w:rPr>
                      <w:b/>
                      <w:bCs/>
                      <w:sz w:val="21"/>
                      <w:szCs w:val="21"/>
                    </w:rPr>
                  </w:pPr>
                  <w:r>
                    <w:rPr>
                      <w:b/>
                      <w:bCs/>
                      <w:sz w:val="21"/>
                      <w:szCs w:val="21"/>
                    </w:rPr>
                    <w:t>本项目拟采取措施</w:t>
                  </w:r>
                </w:p>
              </w:tc>
              <w:tc>
                <w:tcPr>
                  <w:tcW w:w="514" w:type="pct"/>
                  <w:vAlign w:val="center"/>
                </w:tcPr>
                <w:p>
                  <w:pPr>
                    <w:pStyle w:val="109"/>
                    <w:rPr>
                      <w:b/>
                      <w:bCs/>
                      <w:sz w:val="21"/>
                      <w:szCs w:val="21"/>
                    </w:rPr>
                  </w:pPr>
                  <w:r>
                    <w:rPr>
                      <w:b/>
                      <w:bCs/>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92" w:type="pct"/>
                  <w:vAlign w:val="center"/>
                </w:tcPr>
                <w:p>
                  <w:pPr>
                    <w:pStyle w:val="109"/>
                    <w:rPr>
                      <w:sz w:val="21"/>
                      <w:szCs w:val="21"/>
                    </w:rPr>
                  </w:pPr>
                  <w:r>
                    <w:rPr>
                      <w:sz w:val="21"/>
                      <w:szCs w:val="21"/>
                    </w:rPr>
                    <w:t>1</w:t>
                  </w:r>
                </w:p>
              </w:tc>
              <w:tc>
                <w:tcPr>
                  <w:tcW w:w="2289" w:type="pct"/>
                  <w:vAlign w:val="center"/>
                </w:tcPr>
                <w:p>
                  <w:pPr>
                    <w:pStyle w:val="109"/>
                    <w:rPr>
                      <w:sz w:val="21"/>
                      <w:szCs w:val="21"/>
                    </w:rPr>
                  </w:pPr>
                  <w:r>
                    <w:rPr>
                      <w:sz w:val="21"/>
                      <w:szCs w:val="21"/>
                    </w:rPr>
                    <w:t>VOCs物料应储存于密闭的容器、包装袋、储罐、储库、料仓中，盛装VOCs物料的容器应存放于室内，或存放于设置有雨棚、遮阳和防渗设施的专用场地，盛装VOCs物料的容器在非取用状态时应加盖、封口、保持密闭</w:t>
                  </w:r>
                </w:p>
              </w:tc>
              <w:tc>
                <w:tcPr>
                  <w:tcW w:w="1803" w:type="pct"/>
                  <w:vAlign w:val="center"/>
                </w:tcPr>
                <w:p>
                  <w:pPr>
                    <w:pStyle w:val="109"/>
                    <w:rPr>
                      <w:sz w:val="21"/>
                      <w:szCs w:val="21"/>
                    </w:rPr>
                  </w:pPr>
                  <w:r>
                    <w:rPr>
                      <w:sz w:val="21"/>
                      <w:szCs w:val="21"/>
                    </w:rPr>
                    <w:t>项目所用VOCs物料均密闭储存；VOCs物料存放在厂房内指定位置；非取用状态时均处于封口、密闭状态。</w:t>
                  </w:r>
                </w:p>
              </w:tc>
              <w:tc>
                <w:tcPr>
                  <w:tcW w:w="514" w:type="pct"/>
                  <w:vAlign w:val="center"/>
                </w:tcPr>
                <w:p>
                  <w:pPr>
                    <w:pStyle w:val="109"/>
                    <w:rPr>
                      <w:sz w:val="21"/>
                      <w:szCs w:val="21"/>
                    </w:rPr>
                  </w:pPr>
                  <w:r>
                    <w:rPr>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2" w:type="pct"/>
                  <w:vAlign w:val="center"/>
                </w:tcPr>
                <w:p>
                  <w:pPr>
                    <w:pStyle w:val="109"/>
                    <w:rPr>
                      <w:sz w:val="21"/>
                      <w:szCs w:val="21"/>
                    </w:rPr>
                  </w:pPr>
                  <w:r>
                    <w:rPr>
                      <w:sz w:val="21"/>
                      <w:szCs w:val="21"/>
                    </w:rPr>
                    <w:t>2</w:t>
                  </w:r>
                </w:p>
              </w:tc>
              <w:tc>
                <w:tcPr>
                  <w:tcW w:w="2289" w:type="pct"/>
                  <w:vAlign w:val="center"/>
                </w:tcPr>
                <w:p>
                  <w:pPr>
                    <w:pStyle w:val="109"/>
                    <w:rPr>
                      <w:sz w:val="21"/>
                      <w:szCs w:val="21"/>
                    </w:rPr>
                  </w:pPr>
                  <w:r>
                    <w:rPr>
                      <w:sz w:val="21"/>
                      <w:szCs w:val="21"/>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803" w:type="pct"/>
                  <w:vAlign w:val="center"/>
                </w:tcPr>
                <w:p>
                  <w:pPr>
                    <w:pStyle w:val="109"/>
                    <w:rPr>
                      <w:sz w:val="21"/>
                      <w:szCs w:val="21"/>
                    </w:rPr>
                  </w:pPr>
                  <w:r>
                    <w:rPr>
                      <w:sz w:val="21"/>
                      <w:szCs w:val="21"/>
                    </w:rPr>
                    <w:t>VOCs废气收集处理系统与工艺设备同步运行，VOCs废气收集处理系统发生故障或检修时，对应的工艺设备应停止运行，待检修完毕后同步投入使用。</w:t>
                  </w:r>
                </w:p>
              </w:tc>
              <w:tc>
                <w:tcPr>
                  <w:tcW w:w="514" w:type="pct"/>
                  <w:vAlign w:val="center"/>
                </w:tcPr>
                <w:p>
                  <w:pPr>
                    <w:pStyle w:val="109"/>
                    <w:rPr>
                      <w:sz w:val="21"/>
                      <w:szCs w:val="21"/>
                    </w:rPr>
                  </w:pPr>
                  <w:r>
                    <w:rPr>
                      <w:sz w:val="21"/>
                      <w:szCs w:val="21"/>
                    </w:rPr>
                    <w:t>相符</w:t>
                  </w:r>
                </w:p>
              </w:tc>
            </w:tr>
          </w:tbl>
          <w:p>
            <w:pPr>
              <w:pStyle w:val="72"/>
              <w:spacing w:line="440" w:lineRule="exact"/>
              <w:ind w:firstLine="482" w:firstLineChars="200"/>
              <w:jc w:val="both"/>
              <w:rPr>
                <w:b/>
                <w:bCs/>
                <w:sz w:val="24"/>
              </w:rPr>
            </w:pPr>
            <w:r>
              <w:rPr>
                <w:b/>
                <w:bCs/>
                <w:sz w:val="24"/>
              </w:rPr>
              <w:t>9、产业政策符合性分析</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本项目不属于《产业结构调整指导目录》（2019年本）中的限制类和淘汰类，属于允许类。经查《安徽省产业结构调整指导目录（2007年本）》，本项目不属于其中鼓励类、限制类和淘汰项目，属于允许类。</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项目主要生产设备、工艺、产品等也均未列入中华人民共和国工业和信息化部制定的《部分工业行业淘汰落后生产工艺装备和产品指导目录（2010年本）》，本项目不属于《禁止用地项目目录（2012年本）》、《限制用地项目目录（2012年本）》禁止项目。</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凤台县发展和改革委员会已于2022年8月对本项目备案（项目代码2107-340421-04-03-510623）。</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因此，本项目的建设符合国家和地方产业政策要求。</w:t>
            </w:r>
          </w:p>
          <w:p>
            <w:pPr>
              <w:pStyle w:val="5"/>
              <w:spacing w:line="440" w:lineRule="exact"/>
              <w:ind w:left="0" w:firstLine="480"/>
              <w:jc w:val="both"/>
              <w:rPr>
                <w:rFonts w:eastAsia="宋体"/>
                <w:b/>
                <w:bCs/>
                <w:sz w:val="24"/>
                <w:szCs w:val="24"/>
              </w:rPr>
            </w:pPr>
            <w:r>
              <w:rPr>
                <w:rFonts w:eastAsia="宋体"/>
                <w:b/>
                <w:bCs/>
                <w:sz w:val="24"/>
                <w:szCs w:val="24"/>
              </w:rPr>
              <w:t>10、规划、选址等合理性</w:t>
            </w:r>
          </w:p>
          <w:p>
            <w:pPr>
              <w:adjustRightInd w:val="0"/>
              <w:snapToGrid w:val="0"/>
              <w:spacing w:line="440" w:lineRule="exact"/>
              <w:ind w:firstLine="482" w:firstLineChars="200"/>
              <w:jc w:val="both"/>
              <w:rPr>
                <w:rFonts w:ascii="Times New Roman" w:hAnsi="Times New Roman"/>
                <w:b/>
                <w:bCs/>
                <w:sz w:val="24"/>
                <w:szCs w:val="24"/>
              </w:rPr>
            </w:pPr>
            <w:r>
              <w:rPr>
                <w:rFonts w:hint="eastAsia" w:cs="宋体"/>
                <w:b/>
                <w:bCs/>
                <w:sz w:val="24"/>
                <w:szCs w:val="24"/>
              </w:rPr>
              <w:t>①</w:t>
            </w:r>
            <w:r>
              <w:rPr>
                <w:rFonts w:ascii="Times New Roman" w:hAnsi="Times New Roman"/>
                <w:b/>
                <w:bCs/>
                <w:sz w:val="24"/>
                <w:szCs w:val="24"/>
              </w:rPr>
              <w:t>规划合理性分析</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建设地点位于安徽凤台经济开发区桂集产业园，项目租赁已建厂房进行生产，本项目选址用地性质属于工业用地。项目的建设未改变其用地性质，不涉及新增用地。对照安徽凤台经济开发区产业布局图，项目符合安徽凤台经济开发区用地规划要求。</w:t>
            </w:r>
          </w:p>
          <w:p>
            <w:pPr>
              <w:adjustRightInd w:val="0"/>
              <w:snapToGrid w:val="0"/>
              <w:spacing w:line="440" w:lineRule="exact"/>
              <w:ind w:firstLine="482" w:firstLineChars="200"/>
              <w:jc w:val="both"/>
              <w:rPr>
                <w:rFonts w:ascii="Times New Roman" w:hAnsi="Times New Roman"/>
                <w:b/>
                <w:bCs/>
                <w:sz w:val="24"/>
                <w:szCs w:val="24"/>
              </w:rPr>
            </w:pPr>
            <w:r>
              <w:rPr>
                <w:rFonts w:hint="eastAsia" w:cs="宋体"/>
                <w:b/>
                <w:bCs/>
                <w:sz w:val="24"/>
                <w:szCs w:val="24"/>
              </w:rPr>
              <w:t>②</w:t>
            </w:r>
            <w:r>
              <w:rPr>
                <w:rFonts w:ascii="Times New Roman" w:hAnsi="Times New Roman"/>
                <w:b/>
                <w:bCs/>
                <w:sz w:val="24"/>
                <w:szCs w:val="24"/>
              </w:rPr>
              <w:t>选址合理性</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位于安徽凤台经济开发区桂集产业园；根据《安徽凤台经济开发区总体发展规划（2016～2030）》及安徽凤台经济开发区产业布局图，开发区主导产业为机械装备、精细化工、新型建材，兼顾培育电子电器，纺织服装及农副产品加工、光伏发电等新兴产业。</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选址于安徽凤台经济开发区桂集产业园，土地类型为工业用地。项目产品为车载机械触控显示屏，为机械装备相配套的上游产业，属于兼顾培育产业范围，同时不属于开发区严格禁止项目且不在开发区的负面清单范围内，因此，项目选址符合项目凤台县经济开发区总体发展规划，选址与当地规划相符。详见附图4。因此，本项目选址符合安徽凤台经济开发区总体发展规划。</w:t>
            </w:r>
          </w:p>
          <w:p>
            <w:pPr>
              <w:adjustRightInd w:val="0"/>
              <w:snapToGrid w:val="0"/>
              <w:spacing w:line="440" w:lineRule="exact"/>
              <w:ind w:firstLine="482" w:firstLineChars="200"/>
              <w:jc w:val="both"/>
              <w:rPr>
                <w:rFonts w:ascii="Times New Roman" w:hAnsi="Times New Roman"/>
                <w:b/>
                <w:bCs/>
                <w:sz w:val="24"/>
                <w:szCs w:val="24"/>
              </w:rPr>
            </w:pPr>
            <w:r>
              <w:rPr>
                <w:rFonts w:hint="eastAsia" w:cs="宋体"/>
                <w:b/>
                <w:bCs/>
                <w:sz w:val="24"/>
                <w:szCs w:val="24"/>
              </w:rPr>
              <w:t>③</w:t>
            </w:r>
            <w:r>
              <w:rPr>
                <w:rFonts w:ascii="Times New Roman" w:hAnsi="Times New Roman"/>
                <w:b/>
                <w:bCs/>
                <w:sz w:val="24"/>
                <w:szCs w:val="24"/>
              </w:rPr>
              <w:t>环境相容性分析</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本项目位于淮南市凤台县凤台经济开发区</w:t>
            </w:r>
            <w:r>
              <w:rPr>
                <w:rFonts w:ascii="Times New Roman" w:hAnsi="Times New Roman"/>
                <w:sz w:val="24"/>
                <w:szCs w:val="28"/>
              </w:rPr>
              <w:t>桂集孵化器产业园，根据现场踏勘，</w:t>
            </w:r>
            <w:r>
              <w:rPr>
                <w:rFonts w:ascii="Times New Roman" w:hAnsi="Times New Roman"/>
                <w:sz w:val="24"/>
                <w:szCs w:val="24"/>
              </w:rPr>
              <w:t>项目整体为西南朝向，周边环境情况为：东南侧为空地，西南侧为上海洁诺德塑胶包装安徽智造基地，西北侧为安徽瑞高科技有限公司，东北侧为凤台县阳春白雪面粉有限公司（待拆）。面粉厂拆迁后周边无相关制约产业，项目周边无饮用水源保护区、自然保护区、风景名胜区、生态环境敏感区等需要特殊保护的环境敏感点，项目运营期产生污染物均经有效措施处理后达标排放，对周边产生影响较小。因此本项目选址与周边环境相容。</w:t>
            </w:r>
          </w:p>
          <w:p>
            <w:pPr>
              <w:adjustRightInd w:val="0"/>
              <w:snapToGrid w:val="0"/>
              <w:spacing w:line="440" w:lineRule="exact"/>
              <w:ind w:firstLine="482" w:firstLineChars="200"/>
              <w:jc w:val="both"/>
              <w:rPr>
                <w:rFonts w:ascii="Times New Roman" w:hAnsi="Times New Roman"/>
                <w:b/>
                <w:bCs/>
                <w:sz w:val="24"/>
                <w:szCs w:val="24"/>
              </w:rPr>
            </w:pPr>
            <w:r>
              <w:rPr>
                <w:rFonts w:hint="eastAsia" w:cs="宋体"/>
                <w:b/>
                <w:bCs/>
                <w:sz w:val="24"/>
                <w:szCs w:val="24"/>
              </w:rPr>
              <w:t>④</w:t>
            </w:r>
            <w:r>
              <w:rPr>
                <w:rFonts w:ascii="Times New Roman" w:hAnsi="Times New Roman"/>
                <w:b/>
                <w:bCs/>
                <w:sz w:val="24"/>
                <w:szCs w:val="24"/>
              </w:rPr>
              <w:t>基础设施配套可行性分析</w:t>
            </w:r>
          </w:p>
          <w:p>
            <w:pPr>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项目所在地基础设施基本完善，其中供水及供电系统依托园区供水、供电管网；生活污水接入市政管网排入桂集镇污水处理厂。建设项目基础设施基本齐全，可满足企业生产需要，因此可项目基础设施配套可行。</w:t>
            </w:r>
          </w:p>
          <w:p>
            <w:pPr>
              <w:pStyle w:val="2"/>
            </w:pPr>
          </w:p>
          <w:p>
            <w:pPr>
              <w:pStyle w:val="2"/>
            </w:pPr>
          </w:p>
          <w:p/>
          <w:p>
            <w:pPr>
              <w:pStyle w:val="2"/>
            </w:pPr>
          </w:p>
          <w:p>
            <w:pPr>
              <w:pStyle w:val="2"/>
            </w:pPr>
          </w:p>
          <w:p/>
          <w:p>
            <w:pPr>
              <w:pStyle w:val="2"/>
            </w:pPr>
          </w:p>
          <w:p>
            <w:pPr>
              <w:pStyle w:val="2"/>
            </w:pPr>
          </w:p>
          <w:p/>
          <w:p/>
          <w:p>
            <w:pPr>
              <w:pStyle w:val="2"/>
            </w:pPr>
          </w:p>
          <w:p/>
        </w:tc>
      </w:tr>
    </w:tbl>
    <w:p>
      <w:pPr>
        <w:pStyle w:val="73"/>
        <w:spacing w:line="440" w:lineRule="exact"/>
        <w:rPr>
          <w:rFonts w:ascii="Times New Roman" w:hAnsi="Times New Roman" w:cs="Times New Roman"/>
        </w:rPr>
        <w:sectPr>
          <w:footerReference r:id="rId4" w:type="default"/>
          <w:pgSz w:w="11910" w:h="16840"/>
          <w:pgMar w:top="1701" w:right="1531" w:bottom="1701" w:left="1531" w:header="0" w:footer="964" w:gutter="0"/>
          <w:pgNumType w:start="1"/>
          <w:cols w:space="720" w:num="1"/>
        </w:sectPr>
      </w:pPr>
    </w:p>
    <w:p>
      <w:pPr>
        <w:pStyle w:val="40"/>
        <w:widowControl/>
        <w:autoSpaceDE/>
        <w:autoSpaceDN/>
        <w:snapToGrid w:val="0"/>
        <w:spacing w:beforeAutospacing="0" w:afterAutospacing="0" w:line="440" w:lineRule="exact"/>
        <w:jc w:val="center"/>
        <w:outlineLvl w:val="0"/>
        <w:rPr>
          <w:rFonts w:ascii="Times New Roman" w:hAnsi="Times New Roman" w:eastAsia="黑体"/>
          <w:bCs/>
          <w:snapToGrid w:val="0"/>
          <w:sz w:val="30"/>
          <w:szCs w:val="30"/>
        </w:rPr>
      </w:pPr>
      <w:bookmarkStart w:id="30" w:name="_Toc112488137"/>
      <w:r>
        <w:rPr>
          <w:rFonts w:ascii="Times New Roman" w:hAnsi="Times New Roman" w:eastAsia="黑体"/>
          <w:bCs/>
          <w:snapToGrid w:val="0"/>
          <w:sz w:val="30"/>
          <w:szCs w:val="30"/>
        </w:rPr>
        <w:t>二、建设项目工程分析</w:t>
      </w:r>
      <w:bookmarkEnd w:id="30"/>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77"/>
        <w:gridCol w:w="86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507" w:type="pct"/>
            <w:vAlign w:val="center"/>
          </w:tcPr>
          <w:p>
            <w:pPr>
              <w:spacing w:line="440" w:lineRule="exact"/>
              <w:jc w:val="center"/>
              <w:rPr>
                <w:rFonts w:ascii="Times New Roman" w:hAnsi="Times New Roman"/>
              </w:rPr>
            </w:pPr>
            <w:bookmarkStart w:id="31" w:name="_Hlk114576168"/>
            <w:r>
              <w:rPr>
                <w:rFonts w:ascii="Times New Roman" w:hAnsi="Times New Roman"/>
                <w:sz w:val="24"/>
                <w:szCs w:val="28"/>
              </w:rPr>
              <w:t>建设内容</w:t>
            </w:r>
          </w:p>
        </w:tc>
        <w:tc>
          <w:tcPr>
            <w:tcW w:w="4493" w:type="pct"/>
            <w:vAlign w:val="center"/>
          </w:tcPr>
          <w:p>
            <w:pPr>
              <w:pStyle w:val="15"/>
              <w:spacing w:line="440" w:lineRule="exact"/>
              <w:ind w:firstLine="482" w:firstLineChars="200"/>
              <w:rPr>
                <w:rFonts w:ascii="Times New Roman" w:hAnsi="Times New Roman" w:cs="Times New Roman"/>
                <w:b/>
                <w:bCs/>
                <w:lang w:val="en-US"/>
              </w:rPr>
            </w:pPr>
            <w:r>
              <w:rPr>
                <w:rFonts w:ascii="Times New Roman" w:hAnsi="Times New Roman" w:cs="Times New Roman"/>
                <w:b/>
                <w:bCs/>
                <w:lang w:val="en-US"/>
              </w:rPr>
              <w:t>1、项目由来</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安徽恺卓昂智能科技有限公司是一家从事智能车载设备制造，智能仪器仪表制造，智能车载设备销售等业务的公司，公司根据自身发展和市场需求，总投资26000</w:t>
            </w:r>
            <w:r>
              <w:rPr>
                <w:rFonts w:ascii="Times New Roman" w:hAnsi="Times New Roman" w:cs="Times New Roman"/>
                <w:lang w:val="en-US"/>
              </w:rPr>
              <w:t>万</w:t>
            </w:r>
            <w:r>
              <w:rPr>
                <w:rFonts w:ascii="Times New Roman" w:hAnsi="Times New Roman" w:cs="Times New Roman"/>
              </w:rPr>
              <w:t>元</w:t>
            </w:r>
            <w:r>
              <w:rPr>
                <w:rFonts w:ascii="Times New Roman" w:hAnsi="Times New Roman" w:cs="Times New Roman"/>
                <w:lang w:val="en-US"/>
              </w:rPr>
              <w:t>在</w:t>
            </w:r>
            <w:r>
              <w:rPr>
                <w:rFonts w:ascii="Times New Roman" w:hAnsi="Times New Roman" w:cs="Times New Roman"/>
              </w:rPr>
              <w:t>安徽省淮南市凤台县凤台经济开发区桂集孵化器产业园内</w:t>
            </w:r>
            <w:r>
              <w:rPr>
                <w:rFonts w:ascii="Times New Roman" w:hAnsi="Times New Roman" w:cs="Times New Roman"/>
                <w:lang w:val="en-US"/>
              </w:rPr>
              <w:t>建设安徽恺卓昂智能制造科技有限公司年产400万片3D车载、触控显示屏生产线项目，项目通过租赁园区标准化厂房的方式建设该项目，总建筑面积60000平方米，主要改造标准化厂房、办公用房、停车场以及相应道路等配套设施，购置全自动扫光机、全自动CNC、全自动激光切割机、全自动丝印机、全自动钢化线、光学镀膜机、精密切割机、数控机床等相关辅助设备，项目年产100万2D、100万片2.5D、200万片3D车载、触控显示屏玻璃。</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凤台县发展改革委以“项目代码：</w:t>
            </w:r>
            <w:r>
              <w:rPr>
                <w:rFonts w:ascii="Times New Roman" w:hAnsi="Times New Roman" w:cs="Times New Roman"/>
                <w:lang w:val="en-US"/>
              </w:rPr>
              <w:t>2107-340421-04-03-510623</w:t>
            </w:r>
            <w:r>
              <w:rPr>
                <w:rFonts w:ascii="Times New Roman" w:hAnsi="Times New Roman" w:cs="Times New Roman"/>
              </w:rPr>
              <w:t>”（具体文件参</w:t>
            </w:r>
            <w:r>
              <w:rPr>
                <w:rFonts w:ascii="Times New Roman" w:hAnsi="Times New Roman" w:cs="Times New Roman"/>
                <w:lang w:val="en-US"/>
              </w:rPr>
              <w:t>见附件2</w:t>
            </w:r>
            <w:r>
              <w:rPr>
                <w:rFonts w:ascii="Times New Roman" w:hAnsi="Times New Roman" w:cs="Times New Roman"/>
              </w:rPr>
              <w:t>）对本项目立项备案。</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rPr>
              <w:t>经查阅《</w:t>
            </w:r>
            <w:r>
              <w:fldChar w:fldCharType="begin"/>
            </w:r>
            <w:r>
              <w:instrText xml:space="preserve"> HYPERLINK "http://www.so.com/link?m=aAdGe9Qo50CFs1E7BDBiLmLRED3JdH2TV2njtOgPrnxzPhRPSDAep0zTMdlQx1uIa6gW0bR5+N8LmxyIomQr2olhUVMq8lDavwgQeNhX8ffeCWXO9NwOrCbrvyWk0zaBkm9iKXf1f237LEVGsEUgSWejWRF8aqRvYSOPK3ElHt0xVsQyDUTnRRgGP5UP5G5l+lPqCKP9Nm5eoqndYI3KKVQnSsZ5W90p/FNfp0gNxKChmf5rQKSwsqZRwBIuxzdiBgTcz3RrVtw0TdtyZzXXYhw==" \t "https://www.so.com/_blank" </w:instrText>
            </w:r>
            <w:r>
              <w:fldChar w:fldCharType="separate"/>
            </w:r>
            <w:r>
              <w:rPr>
                <w:rFonts w:ascii="Times New Roman" w:hAnsi="Times New Roman" w:cs="Times New Roman"/>
              </w:rPr>
              <w:t>建设项目环境影响评价分类管理名录</w: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lang w:val="en-US"/>
              </w:rPr>
              <w:t>2021年版</w:t>
            </w:r>
            <w:r>
              <w:rPr>
                <w:rFonts w:ascii="Times New Roman" w:hAnsi="Times New Roman" w:cs="Times New Roman"/>
              </w:rPr>
              <w:t>），本项目行业类别属于</w:t>
            </w:r>
            <w:r>
              <w:rPr>
                <w:rFonts w:ascii="Times New Roman" w:hAnsi="Times New Roman" w:cs="Times New Roman"/>
                <w:lang w:val="en-US"/>
              </w:rPr>
              <w:t>“二十七、非金属矿物制品业30-57玻璃制品制造305、特种玻璃制造；其他玻璃制造；玻璃制品制造（电加热的除外；仅切割、打磨、成型的除外）”，</w:t>
            </w:r>
            <w:r>
              <w:rPr>
                <w:rFonts w:ascii="Times New Roman" w:hAnsi="Times New Roman" w:cs="Times New Roman"/>
              </w:rPr>
              <w:t>应编制环境影响报告表。安徽恺卓昂智能科技有限公司委托</w:t>
            </w:r>
            <w:r>
              <w:rPr>
                <w:rFonts w:ascii="Times New Roman" w:hAnsi="Times New Roman" w:cs="Times New Roman"/>
                <w:lang w:val="en-US"/>
              </w:rPr>
              <w:t>我单位</w:t>
            </w:r>
            <w:r>
              <w:rPr>
                <w:rFonts w:ascii="Times New Roman" w:hAnsi="Times New Roman" w:cs="Times New Roman"/>
              </w:rPr>
              <w:t>对该项目进行环境影响评价工作，接受委托后，本单位即组织有关技术人员进行现场踏勘、收集资料。依据国家环境保护有关法律、法规文件和环境影响评价技术导则，并征求了当地</w:t>
            </w:r>
            <w:r>
              <w:rPr>
                <w:rFonts w:ascii="Times New Roman" w:hAnsi="Times New Roman" w:cs="Times New Roman"/>
                <w:lang w:val="en-US"/>
              </w:rPr>
              <w:t>生态环境</w:t>
            </w:r>
            <w:r>
              <w:rPr>
                <w:rFonts w:ascii="Times New Roman" w:hAnsi="Times New Roman" w:cs="Times New Roman"/>
              </w:rPr>
              <w:t>行政主管部门的意见，编制了该项目环境影响报告表，报请</w:t>
            </w:r>
            <w:r>
              <w:rPr>
                <w:rFonts w:ascii="Times New Roman" w:hAnsi="Times New Roman" w:cs="Times New Roman"/>
                <w:lang w:val="en-US"/>
              </w:rPr>
              <w:t>生态环境</w:t>
            </w:r>
            <w:r>
              <w:rPr>
                <w:rFonts w:ascii="Times New Roman" w:hAnsi="Times New Roman" w:cs="Times New Roman"/>
              </w:rPr>
              <w:t>行政主管部门审批，以期为该项目管理提供科学依据。</w:t>
            </w:r>
          </w:p>
          <w:p>
            <w:pPr>
              <w:tabs>
                <w:tab w:val="left" w:pos="751"/>
              </w:tabs>
              <w:spacing w:line="440" w:lineRule="exact"/>
              <w:jc w:val="center"/>
              <w:rPr>
                <w:rFonts w:ascii="Times New Roman" w:hAnsi="Times New Roman"/>
                <w:b/>
              </w:rPr>
            </w:pPr>
            <w:r>
              <w:rPr>
                <w:rFonts w:ascii="Times New Roman" w:hAnsi="Times New Roman"/>
                <w:b/>
              </w:rPr>
              <w:t>表</w:t>
            </w:r>
            <w:r>
              <w:rPr>
                <w:rFonts w:ascii="Times New Roman" w:hAnsi="Times New Roman"/>
                <w:b/>
                <w:lang w:val="en-US"/>
              </w:rPr>
              <w:t>2</w:t>
            </w:r>
            <w:r>
              <w:rPr>
                <w:rFonts w:ascii="Times New Roman" w:hAnsi="Times New Roman"/>
                <w:b/>
              </w:rPr>
              <w:t>-</w:t>
            </w:r>
            <w:r>
              <w:rPr>
                <w:rFonts w:ascii="Times New Roman" w:hAnsi="Times New Roman"/>
                <w:b/>
                <w:lang w:val="en-US"/>
              </w:rPr>
              <w:t xml:space="preserve">1 </w:t>
            </w:r>
            <w:r>
              <w:rPr>
                <w:rFonts w:ascii="Times New Roman" w:hAnsi="Times New Roman"/>
                <w:b/>
              </w:rPr>
              <w:t>建设项目环境影响评价分类管理名录（摘录）</w:t>
            </w:r>
          </w:p>
          <w:tbl>
            <w:tblPr>
              <w:tblStyle w:val="2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858"/>
              <w:gridCol w:w="2435"/>
              <w:gridCol w:w="2525"/>
              <w:gridCol w:w="1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454" w:type="pct"/>
                  <w:gridSpan w:val="2"/>
                  <w:tcBorders>
                    <w:top w:val="single" w:color="auto" w:sz="12" w:space="0"/>
                    <w:bottom w:val="single" w:color="auto" w:sz="4" w:space="0"/>
                    <w:right w:val="single" w:color="auto" w:sz="4" w:space="0"/>
                    <w:tl2br w:val="single" w:color="auto" w:sz="4" w:space="0"/>
                  </w:tcBorders>
                  <w:vAlign w:val="center"/>
                </w:tcPr>
                <w:p>
                  <w:pPr>
                    <w:pStyle w:val="62"/>
                    <w:ind w:firstLine="1265" w:firstLineChars="600"/>
                    <w:jc w:val="center"/>
                    <w:rPr>
                      <w:rFonts w:ascii="Times New Roman" w:hAnsi="Times New Roman" w:cs="Times New Roman"/>
                      <w:b/>
                    </w:rPr>
                  </w:pPr>
                  <w:r>
                    <w:rPr>
                      <w:rFonts w:ascii="Times New Roman" w:hAnsi="Times New Roman" w:cs="Times New Roman"/>
                      <w:b/>
                    </w:rPr>
                    <w:t>环评类别</w:t>
                  </w:r>
                </w:p>
                <w:p>
                  <w:pPr>
                    <w:pStyle w:val="62"/>
                    <w:jc w:val="center"/>
                    <w:rPr>
                      <w:rFonts w:ascii="Times New Roman" w:hAnsi="Times New Roman" w:cs="Times New Roman"/>
                      <w:b/>
                    </w:rPr>
                  </w:pPr>
                  <w:r>
                    <w:rPr>
                      <w:rFonts w:ascii="Times New Roman" w:hAnsi="Times New Roman" w:cs="Times New Roman"/>
                      <w:b/>
                    </w:rPr>
                    <w:t>项目类别</w:t>
                  </w:r>
                </w:p>
              </w:tc>
              <w:tc>
                <w:tcPr>
                  <w:tcW w:w="1443" w:type="pct"/>
                  <w:tcBorders>
                    <w:left w:val="single" w:color="auto" w:sz="4" w:space="0"/>
                  </w:tcBorders>
                  <w:vAlign w:val="center"/>
                </w:tcPr>
                <w:p>
                  <w:pPr>
                    <w:pStyle w:val="62"/>
                    <w:jc w:val="center"/>
                    <w:rPr>
                      <w:rFonts w:ascii="Times New Roman" w:hAnsi="Times New Roman" w:cs="Times New Roman"/>
                      <w:b/>
                    </w:rPr>
                  </w:pPr>
                  <w:r>
                    <w:rPr>
                      <w:rFonts w:ascii="Times New Roman" w:hAnsi="Times New Roman" w:cs="Times New Roman"/>
                      <w:b/>
                    </w:rPr>
                    <w:t>报告书</w:t>
                  </w:r>
                </w:p>
              </w:tc>
              <w:tc>
                <w:tcPr>
                  <w:tcW w:w="1496" w:type="pct"/>
                  <w:vAlign w:val="center"/>
                </w:tcPr>
                <w:p>
                  <w:pPr>
                    <w:pStyle w:val="62"/>
                    <w:jc w:val="center"/>
                    <w:rPr>
                      <w:rFonts w:ascii="Times New Roman" w:hAnsi="Times New Roman" w:cs="Times New Roman"/>
                      <w:b/>
                    </w:rPr>
                  </w:pPr>
                  <w:r>
                    <w:rPr>
                      <w:rFonts w:ascii="Times New Roman" w:hAnsi="Times New Roman" w:cs="Times New Roman"/>
                      <w:b/>
                    </w:rPr>
                    <w:t>报告表</w:t>
                  </w:r>
                </w:p>
              </w:tc>
              <w:tc>
                <w:tcPr>
                  <w:tcW w:w="605" w:type="pct"/>
                  <w:vAlign w:val="center"/>
                </w:tcPr>
                <w:p>
                  <w:pPr>
                    <w:pStyle w:val="62"/>
                    <w:jc w:val="center"/>
                    <w:rPr>
                      <w:rFonts w:ascii="Times New Roman" w:hAnsi="Times New Roman" w:cs="Times New Roman"/>
                      <w:b/>
                    </w:rPr>
                  </w:pPr>
                  <w:r>
                    <w:rPr>
                      <w:rFonts w:ascii="Times New Roman" w:hAnsi="Times New Roman" w:cs="Times New Roman"/>
                      <w:b/>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000" w:type="pct"/>
                  <w:gridSpan w:val="5"/>
                  <w:vAlign w:val="center"/>
                </w:tcPr>
                <w:p>
                  <w:pPr>
                    <w:pStyle w:val="62"/>
                    <w:rPr>
                      <w:rFonts w:ascii="Times New Roman" w:hAnsi="Times New Roman" w:cs="Times New Roman"/>
                      <w:b/>
                      <w:lang w:val="en-US"/>
                    </w:rPr>
                  </w:pPr>
                  <w:r>
                    <w:rPr>
                      <w:rFonts w:ascii="Times New Roman" w:hAnsi="Times New Roman" w:cs="Times New Roman"/>
                      <w:b/>
                      <w:lang w:val="en-US"/>
                    </w:rPr>
                    <w:t>二十七、非金属矿物制品业30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3" w:type="pct"/>
                  <w:vAlign w:val="center"/>
                </w:tcPr>
                <w:p>
                  <w:pPr>
                    <w:pStyle w:val="62"/>
                    <w:jc w:val="center"/>
                    <w:rPr>
                      <w:rFonts w:ascii="Times New Roman" w:hAnsi="Times New Roman" w:cs="Times New Roman"/>
                    </w:rPr>
                  </w:pPr>
                  <w:r>
                    <w:rPr>
                      <w:rFonts w:ascii="Times New Roman" w:hAnsi="Times New Roman" w:cs="Times New Roman"/>
                    </w:rPr>
                    <w:t>57</w:t>
                  </w:r>
                </w:p>
              </w:tc>
              <w:tc>
                <w:tcPr>
                  <w:tcW w:w="1101" w:type="pct"/>
                  <w:vAlign w:val="center"/>
                </w:tcPr>
                <w:p>
                  <w:pPr>
                    <w:pStyle w:val="62"/>
                    <w:jc w:val="center"/>
                    <w:rPr>
                      <w:rFonts w:ascii="Times New Roman" w:hAnsi="Times New Roman" w:cs="Times New Roman"/>
                    </w:rPr>
                  </w:pPr>
                  <w:r>
                    <w:rPr>
                      <w:rFonts w:ascii="Times New Roman" w:hAnsi="Times New Roman" w:cs="Times New Roman"/>
                      <w:lang w:val="en-US"/>
                    </w:rPr>
                    <w:t>玻璃制造304；玻璃制品制造305</w:t>
                  </w:r>
                </w:p>
              </w:tc>
              <w:tc>
                <w:tcPr>
                  <w:tcW w:w="1443" w:type="pct"/>
                  <w:vAlign w:val="center"/>
                </w:tcPr>
                <w:p>
                  <w:pPr>
                    <w:pStyle w:val="62"/>
                    <w:jc w:val="center"/>
                    <w:rPr>
                      <w:rFonts w:ascii="Times New Roman" w:hAnsi="Times New Roman" w:cs="Times New Roman"/>
                    </w:rPr>
                  </w:pPr>
                  <w:r>
                    <w:rPr>
                      <w:rFonts w:ascii="Times New Roman" w:hAnsi="Times New Roman" w:cs="Times New Roman"/>
                      <w:lang w:val="en-US"/>
                    </w:rPr>
                    <w:t>平板玻璃制造</w:t>
                  </w:r>
                </w:p>
              </w:tc>
              <w:tc>
                <w:tcPr>
                  <w:tcW w:w="1496" w:type="pct"/>
                  <w:vAlign w:val="center"/>
                </w:tcPr>
                <w:p>
                  <w:pPr>
                    <w:pStyle w:val="62"/>
                    <w:jc w:val="center"/>
                    <w:rPr>
                      <w:rFonts w:ascii="Times New Roman" w:hAnsi="Times New Roman" w:cs="Times New Roman"/>
                    </w:rPr>
                  </w:pPr>
                  <w:r>
                    <w:rPr>
                      <w:rFonts w:ascii="Times New Roman" w:hAnsi="Times New Roman" w:cs="Times New Roman"/>
                      <w:lang w:val="en-US"/>
                    </w:rPr>
                    <w:t>特种玻璃制造；其他玻璃制造；玻璃制品制造（电加热的除外；仅切割、打磨、成型的除外）</w:t>
                  </w:r>
                </w:p>
              </w:tc>
              <w:tc>
                <w:tcPr>
                  <w:tcW w:w="605" w:type="pct"/>
                  <w:vAlign w:val="center"/>
                </w:tcPr>
                <w:p>
                  <w:pPr>
                    <w:pStyle w:val="62"/>
                    <w:jc w:val="center"/>
                    <w:rPr>
                      <w:rFonts w:ascii="Times New Roman" w:hAnsi="Times New Roman" w:cs="Times New Roman"/>
                    </w:rPr>
                  </w:pPr>
                  <w:r>
                    <w:rPr>
                      <w:rFonts w:ascii="Times New Roman" w:hAnsi="Times New Roman" w:cs="Times New Roman"/>
                      <w:w w:val="99"/>
                    </w:rPr>
                    <w:t>/</w:t>
                  </w:r>
                </w:p>
              </w:tc>
            </w:tr>
          </w:tbl>
          <w:p>
            <w:pPr>
              <w:spacing w:line="440" w:lineRule="exact"/>
              <w:ind w:firstLine="480" w:firstLineChars="200"/>
              <w:rPr>
                <w:rFonts w:ascii="Times New Roman" w:hAnsi="Times New Roman"/>
                <w:bCs/>
                <w:sz w:val="24"/>
              </w:rPr>
            </w:pPr>
            <w:r>
              <w:rPr>
                <w:rFonts w:ascii="Times New Roman" w:hAnsi="Times New Roman"/>
                <w:sz w:val="24"/>
              </w:rPr>
              <w:t>根据《固定污染源排污许可分类管理名录（2019年版）》，本项目设备均使用电能，属于“二十五、非金属矿物制品业30-65玻璃制品制造305-其他”，为登记管理</w:t>
            </w:r>
            <w:r>
              <w:rPr>
                <w:rFonts w:ascii="Times New Roman" w:hAnsi="Times New Roman"/>
                <w:bCs/>
                <w:sz w:val="24"/>
              </w:rPr>
              <w:t>。</w:t>
            </w:r>
          </w:p>
          <w:p>
            <w:pPr>
              <w:spacing w:line="440" w:lineRule="exact"/>
              <w:jc w:val="center"/>
              <w:rPr>
                <w:rFonts w:ascii="Times New Roman" w:hAnsi="Times New Roman"/>
                <w:b/>
                <w:bCs/>
              </w:rPr>
            </w:pPr>
            <w:r>
              <w:rPr>
                <w:rFonts w:ascii="Times New Roman" w:hAnsi="Times New Roman"/>
                <w:b/>
                <w:bCs/>
              </w:rPr>
              <w:t>表2-2 排污许可分类管理一览表（2019年版）</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916"/>
              <w:gridCol w:w="2377"/>
              <w:gridCol w:w="2015"/>
              <w:gridCol w:w="1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pPr>
                    <w:widowControl/>
                    <w:jc w:val="center"/>
                    <w:rPr>
                      <w:rFonts w:ascii="Times New Roman" w:hAnsi="Times New Roman"/>
                      <w:b/>
                      <w:bCs/>
                    </w:rPr>
                  </w:pPr>
                  <w:r>
                    <w:rPr>
                      <w:rFonts w:ascii="Times New Roman" w:hAnsi="Times New Roman"/>
                      <w:b/>
                      <w:bCs/>
                    </w:rPr>
                    <w:t>序号</w:t>
                  </w:r>
                </w:p>
              </w:tc>
              <w:tc>
                <w:tcPr>
                  <w:tcW w:w="1134" w:type="pct"/>
                  <w:vAlign w:val="center"/>
                </w:tcPr>
                <w:p>
                  <w:pPr>
                    <w:widowControl/>
                    <w:jc w:val="center"/>
                    <w:rPr>
                      <w:rFonts w:ascii="Times New Roman" w:hAnsi="Times New Roman"/>
                      <w:b/>
                      <w:bCs/>
                    </w:rPr>
                  </w:pPr>
                  <w:r>
                    <w:rPr>
                      <w:rFonts w:ascii="Times New Roman" w:hAnsi="Times New Roman"/>
                      <w:b/>
                      <w:bCs/>
                    </w:rPr>
                    <w:t>行业类别</w:t>
                  </w:r>
                </w:p>
              </w:tc>
              <w:tc>
                <w:tcPr>
                  <w:tcW w:w="1407" w:type="pct"/>
                  <w:vAlign w:val="center"/>
                </w:tcPr>
                <w:p>
                  <w:pPr>
                    <w:widowControl/>
                    <w:jc w:val="center"/>
                    <w:rPr>
                      <w:rFonts w:ascii="Times New Roman" w:hAnsi="Times New Roman"/>
                      <w:b/>
                      <w:bCs/>
                    </w:rPr>
                  </w:pPr>
                  <w:r>
                    <w:rPr>
                      <w:rFonts w:ascii="Times New Roman" w:hAnsi="Times New Roman"/>
                      <w:b/>
                      <w:bCs/>
                    </w:rPr>
                    <w:t>重点管理</w:t>
                  </w:r>
                </w:p>
              </w:tc>
              <w:tc>
                <w:tcPr>
                  <w:tcW w:w="1193" w:type="pct"/>
                  <w:vAlign w:val="center"/>
                </w:tcPr>
                <w:p>
                  <w:pPr>
                    <w:widowControl/>
                    <w:jc w:val="center"/>
                    <w:rPr>
                      <w:rFonts w:ascii="Times New Roman" w:hAnsi="Times New Roman"/>
                      <w:b/>
                      <w:bCs/>
                    </w:rPr>
                  </w:pPr>
                  <w:r>
                    <w:rPr>
                      <w:rFonts w:ascii="Times New Roman" w:hAnsi="Times New Roman"/>
                      <w:b/>
                      <w:bCs/>
                    </w:rPr>
                    <w:t>简化管理</w:t>
                  </w:r>
                </w:p>
              </w:tc>
              <w:tc>
                <w:tcPr>
                  <w:tcW w:w="704" w:type="pct"/>
                  <w:vAlign w:val="center"/>
                </w:tcPr>
                <w:p>
                  <w:pPr>
                    <w:widowControl/>
                    <w:jc w:val="center"/>
                    <w:rPr>
                      <w:rFonts w:ascii="Times New Roman" w:hAnsi="Times New Roman"/>
                      <w:b/>
                      <w:bCs/>
                    </w:rPr>
                  </w:pPr>
                  <w:r>
                    <w:rPr>
                      <w:rFonts w:ascii="Times New Roman" w:hAnsi="Times New Roman"/>
                      <w:b/>
                      <w:bCs/>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widowControl/>
                    <w:rPr>
                      <w:rFonts w:ascii="Times New Roman" w:hAnsi="Times New Roman"/>
                      <w:b/>
                      <w:bCs/>
                    </w:rPr>
                  </w:pPr>
                  <w:r>
                    <w:rPr>
                      <w:rFonts w:ascii="Times New Roman" w:hAnsi="Times New Roman"/>
                      <w:b/>
                      <w:bCs/>
                      <w:snapToGrid w:val="0"/>
                      <w:szCs w:val="18"/>
                    </w:rPr>
                    <w:t>二十五、非金属矿物制品业30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pPr>
                    <w:widowControl/>
                    <w:jc w:val="center"/>
                    <w:rPr>
                      <w:rFonts w:ascii="Times New Roman" w:hAnsi="Times New Roman"/>
                    </w:rPr>
                  </w:pPr>
                  <w:r>
                    <w:rPr>
                      <w:rFonts w:ascii="Times New Roman" w:hAnsi="Times New Roman"/>
                    </w:rPr>
                    <w:t>65</w:t>
                  </w:r>
                </w:p>
              </w:tc>
              <w:tc>
                <w:tcPr>
                  <w:tcW w:w="1134" w:type="pct"/>
                  <w:vAlign w:val="center"/>
                </w:tcPr>
                <w:p>
                  <w:pPr>
                    <w:widowControl/>
                    <w:jc w:val="center"/>
                    <w:rPr>
                      <w:rFonts w:ascii="Times New Roman" w:hAnsi="Times New Roman"/>
                    </w:rPr>
                  </w:pPr>
                  <w:r>
                    <w:rPr>
                      <w:rFonts w:ascii="Times New Roman" w:hAnsi="Times New Roman"/>
                      <w:snapToGrid w:val="0"/>
                      <w:szCs w:val="18"/>
                    </w:rPr>
                    <w:t>玻璃制品制造305</w:t>
                  </w:r>
                </w:p>
              </w:tc>
              <w:tc>
                <w:tcPr>
                  <w:tcW w:w="1407" w:type="pct"/>
                  <w:vAlign w:val="center"/>
                </w:tcPr>
                <w:p>
                  <w:pPr>
                    <w:widowControl/>
                    <w:jc w:val="center"/>
                    <w:rPr>
                      <w:rFonts w:ascii="Times New Roman" w:hAnsi="Times New Roman"/>
                    </w:rPr>
                  </w:pPr>
                  <w:r>
                    <w:rPr>
                      <w:rFonts w:ascii="Times New Roman" w:hAnsi="Times New Roman"/>
                    </w:rPr>
                    <w:t>以煤、石油焦、油和发生炉煤气为燃料的</w:t>
                  </w:r>
                </w:p>
              </w:tc>
              <w:tc>
                <w:tcPr>
                  <w:tcW w:w="1193" w:type="pct"/>
                  <w:vAlign w:val="center"/>
                </w:tcPr>
                <w:p>
                  <w:pPr>
                    <w:widowControl/>
                    <w:jc w:val="center"/>
                    <w:rPr>
                      <w:rFonts w:ascii="Times New Roman" w:hAnsi="Times New Roman"/>
                    </w:rPr>
                  </w:pPr>
                  <w:r>
                    <w:rPr>
                      <w:rFonts w:ascii="Times New Roman" w:hAnsi="Times New Roman"/>
                    </w:rPr>
                    <w:t>以天然气为燃料的</w:t>
                  </w:r>
                </w:p>
              </w:tc>
              <w:tc>
                <w:tcPr>
                  <w:tcW w:w="704" w:type="pct"/>
                  <w:vAlign w:val="center"/>
                </w:tcPr>
                <w:p>
                  <w:pPr>
                    <w:widowControl/>
                    <w:jc w:val="center"/>
                    <w:rPr>
                      <w:rFonts w:ascii="Times New Roman" w:hAnsi="Times New Roman"/>
                    </w:rPr>
                  </w:pPr>
                  <w:r>
                    <w:rPr>
                      <w:rFonts w:ascii="Times New Roman" w:hAnsi="Times New Roman"/>
                    </w:rPr>
                    <w:t>其他</w:t>
                  </w:r>
                </w:p>
              </w:tc>
            </w:tr>
          </w:tbl>
          <w:p>
            <w:pPr>
              <w:pStyle w:val="6"/>
              <w:spacing w:line="440" w:lineRule="exact"/>
              <w:ind w:left="0" w:firstLine="482" w:firstLineChars="200"/>
              <w:jc w:val="both"/>
              <w:rPr>
                <w:rFonts w:ascii="Times New Roman" w:hAnsi="Times New Roman" w:cs="Times New Roman"/>
                <w:lang w:val="en-US"/>
              </w:rPr>
            </w:pPr>
            <w:r>
              <w:rPr>
                <w:rFonts w:ascii="Times New Roman" w:hAnsi="Times New Roman" w:cs="Times New Roman"/>
                <w:lang w:val="en-US"/>
              </w:rPr>
              <w:t>2</w:t>
            </w:r>
            <w:r>
              <w:rPr>
                <w:rFonts w:ascii="Times New Roman" w:hAnsi="Times New Roman" w:cs="Times New Roman"/>
              </w:rPr>
              <w:t>、</w:t>
            </w:r>
            <w:r>
              <w:rPr>
                <w:rFonts w:ascii="Times New Roman" w:hAnsi="Times New Roman" w:cs="Times New Roman"/>
                <w:lang w:val="en-US"/>
              </w:rPr>
              <w:t>项目建设内容及规模</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项目名称：</w:t>
            </w:r>
            <w:r>
              <w:rPr>
                <w:rFonts w:ascii="Times New Roman" w:hAnsi="Times New Roman"/>
                <w:sz w:val="24"/>
                <w:lang w:val="en-US" w:bidi="ar"/>
              </w:rPr>
              <w:t>安徽恺卓昂智能制造科技有限公司年产400万片车载触控显示屏生产线项目</w:t>
            </w:r>
          </w:p>
          <w:p>
            <w:pPr>
              <w:spacing w:line="440" w:lineRule="exact"/>
              <w:ind w:firstLine="480" w:firstLineChars="200"/>
              <w:jc w:val="both"/>
              <w:rPr>
                <w:rFonts w:ascii="Times New Roman" w:hAnsi="Times New Roman"/>
                <w:sz w:val="24"/>
                <w:lang w:val="en-US" w:bidi="ar"/>
              </w:rPr>
            </w:pPr>
            <w:r>
              <w:rPr>
                <w:rFonts w:ascii="Times New Roman" w:hAnsi="Times New Roman"/>
                <w:sz w:val="24"/>
                <w:lang w:bidi="ar"/>
              </w:rPr>
              <w:t>建设规模：租赁园区7栋4F标准化生产厂房，1栋6F办公楼（含裙楼食堂2F），1栋7F宿舍楼。</w:t>
            </w:r>
            <w:r>
              <w:rPr>
                <w:rFonts w:ascii="Times New Roman" w:hAnsi="Times New Roman"/>
                <w:sz w:val="24"/>
                <w:lang w:val="en-US" w:bidi="ar"/>
              </w:rPr>
              <w:t>生产</w:t>
            </w:r>
            <w:r>
              <w:rPr>
                <w:rFonts w:ascii="Times New Roman" w:hAnsi="Times New Roman"/>
                <w:sz w:val="24"/>
                <w:lang w:bidi="ar"/>
              </w:rPr>
              <w:t>厂房内</w:t>
            </w:r>
            <w:r>
              <w:rPr>
                <w:rFonts w:ascii="Times New Roman" w:hAnsi="Times New Roman"/>
                <w:sz w:val="24"/>
                <w:lang w:val="en-US" w:bidi="ar"/>
              </w:rPr>
              <w:t>布设全自动扫光机、全自动CNC、全自动激光切割机、全自动丝印机、全自动钢化线、光学镀膜机、精密切割机、数控机床等设备</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建设单位：</w:t>
            </w:r>
            <w:r>
              <w:rPr>
                <w:rFonts w:ascii="Times New Roman" w:hAnsi="Times New Roman"/>
                <w:sz w:val="24"/>
                <w:szCs w:val="28"/>
              </w:rPr>
              <w:t>安徽恺卓昂智能制造科技有限公司</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项目性质：新建</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投资总额：</w:t>
            </w:r>
            <w:r>
              <w:rPr>
                <w:rFonts w:ascii="Times New Roman" w:hAnsi="Times New Roman"/>
                <w:sz w:val="24"/>
                <w:szCs w:val="24"/>
                <w:lang w:val="en-US"/>
              </w:rPr>
              <w:t>26000</w:t>
            </w:r>
            <w:r>
              <w:rPr>
                <w:rFonts w:ascii="Times New Roman" w:hAnsi="Times New Roman"/>
                <w:sz w:val="24"/>
                <w:lang w:bidi="ar"/>
              </w:rPr>
              <w:t>万元</w:t>
            </w:r>
          </w:p>
          <w:p>
            <w:pPr>
              <w:adjustRightInd w:val="0"/>
              <w:snapToGrid w:val="0"/>
              <w:spacing w:line="440" w:lineRule="exact"/>
              <w:ind w:firstLine="480" w:firstLineChars="200"/>
              <w:rPr>
                <w:rFonts w:ascii="Times New Roman" w:hAnsi="Times New Roman"/>
                <w:sz w:val="24"/>
              </w:rPr>
            </w:pPr>
            <w:r>
              <w:rPr>
                <w:rFonts w:ascii="Times New Roman" w:hAnsi="Times New Roman"/>
                <w:sz w:val="24"/>
                <w:lang w:bidi="ar"/>
              </w:rPr>
              <w:t>建设地点：</w:t>
            </w:r>
            <w:r>
              <w:rPr>
                <w:rFonts w:ascii="Times New Roman" w:hAnsi="Times New Roman"/>
                <w:sz w:val="24"/>
                <w:szCs w:val="28"/>
              </w:rPr>
              <w:t>淮南市凤台县凤台经济开发区桂集孵化器产业园</w:t>
            </w:r>
          </w:p>
          <w:p>
            <w:pPr>
              <w:spacing w:line="440" w:lineRule="exact"/>
              <w:ind w:firstLine="480" w:firstLineChars="200"/>
              <w:jc w:val="both"/>
              <w:rPr>
                <w:rFonts w:ascii="Times New Roman" w:hAnsi="Times New Roman"/>
                <w:sz w:val="24"/>
                <w:lang w:bidi="ar"/>
              </w:rPr>
            </w:pPr>
            <w:r>
              <w:rPr>
                <w:rFonts w:ascii="Times New Roman" w:hAnsi="Times New Roman"/>
                <w:sz w:val="24"/>
                <w:lang w:bidi="ar"/>
              </w:rPr>
              <w:t>建筑面积：</w:t>
            </w:r>
            <w:r>
              <w:rPr>
                <w:rFonts w:ascii="Times New Roman" w:hAnsi="Times New Roman"/>
                <w:sz w:val="24"/>
                <w:lang w:val="en-US" w:bidi="ar"/>
              </w:rPr>
              <w:t>60000</w:t>
            </w:r>
            <w:r>
              <w:rPr>
                <w:rFonts w:ascii="Times New Roman" w:hAnsi="Times New Roman"/>
                <w:sz w:val="24"/>
                <w:lang w:bidi="ar"/>
              </w:rPr>
              <w:t>m</w:t>
            </w:r>
            <w:r>
              <w:rPr>
                <w:rFonts w:ascii="Times New Roman" w:hAnsi="Times New Roman"/>
                <w:sz w:val="24"/>
                <w:vertAlign w:val="superscript"/>
                <w:lang w:bidi="ar"/>
              </w:rPr>
              <w:t>2</w:t>
            </w:r>
          </w:p>
          <w:p>
            <w:pPr>
              <w:spacing w:line="440" w:lineRule="exact"/>
              <w:ind w:firstLine="480" w:firstLineChars="200"/>
              <w:jc w:val="both"/>
              <w:rPr>
                <w:rFonts w:ascii="Times New Roman" w:hAnsi="Times New Roman"/>
                <w:b/>
                <w:sz w:val="24"/>
              </w:rPr>
            </w:pPr>
            <w:r>
              <w:rPr>
                <w:rFonts w:ascii="Times New Roman" w:hAnsi="Times New Roman"/>
                <w:sz w:val="24"/>
                <w:lang w:val="en-US" w:bidi="ar"/>
              </w:rPr>
              <w:t>本</w:t>
            </w:r>
            <w:r>
              <w:rPr>
                <w:rFonts w:ascii="Times New Roman" w:hAnsi="Times New Roman"/>
                <w:sz w:val="24"/>
                <w:lang w:bidi="ar"/>
              </w:rPr>
              <w:t>项目主要工程内容见表</w:t>
            </w:r>
            <w:r>
              <w:rPr>
                <w:rFonts w:ascii="Times New Roman" w:hAnsi="Times New Roman"/>
                <w:sz w:val="24"/>
                <w:lang w:val="en-US" w:bidi="ar"/>
              </w:rPr>
              <w:t>2-3</w:t>
            </w:r>
            <w:r>
              <w:rPr>
                <w:rFonts w:ascii="Times New Roman" w:hAnsi="Times New Roman"/>
                <w:sz w:val="24"/>
                <w:lang w:bidi="ar"/>
              </w:rPr>
              <w:t>。</w:t>
            </w:r>
          </w:p>
          <w:p>
            <w:pPr>
              <w:pStyle w:val="55"/>
              <w:numPr>
                <w:ilvl w:val="1"/>
                <w:numId w:val="0"/>
              </w:numPr>
              <w:ind w:right="0"/>
              <w:rPr>
                <w:rFonts w:ascii="Times New Roman" w:hAnsi="Times New Roman" w:cs="Times New Roman"/>
                <w:b/>
                <w:bCs/>
                <w:color w:val="auto"/>
                <w:sz w:val="21"/>
                <w:szCs w:val="21"/>
              </w:rPr>
            </w:pPr>
            <w:r>
              <w:rPr>
                <w:rFonts w:ascii="Times New Roman" w:hAnsi="Times New Roman" w:cs="Times New Roman"/>
                <w:b/>
                <w:bCs/>
                <w:color w:val="auto"/>
                <w:sz w:val="21"/>
                <w:szCs w:val="21"/>
              </w:rPr>
              <w:t>表2-3 本项目工程内容一览表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048"/>
              <w:gridCol w:w="1934"/>
              <w:gridCol w:w="4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Align w:val="center"/>
                </w:tcPr>
                <w:p>
                  <w:pPr>
                    <w:jc w:val="center"/>
                    <w:rPr>
                      <w:rFonts w:ascii="Times New Roman" w:hAnsi="Times New Roman"/>
                      <w:b/>
                      <w:bCs/>
                    </w:rPr>
                  </w:pPr>
                  <w:bookmarkStart w:id="32" w:name="_Hlk112660702"/>
                  <w:r>
                    <w:rPr>
                      <w:rFonts w:ascii="Times New Roman" w:hAnsi="Times New Roman"/>
                      <w:b/>
                      <w:bCs/>
                    </w:rPr>
                    <w:t>工程名称</w:t>
                  </w:r>
                </w:p>
              </w:tc>
              <w:tc>
                <w:tcPr>
                  <w:tcW w:w="1048" w:type="dxa"/>
                  <w:vAlign w:val="center"/>
                </w:tcPr>
                <w:p>
                  <w:pPr>
                    <w:jc w:val="center"/>
                    <w:rPr>
                      <w:rFonts w:ascii="Times New Roman" w:hAnsi="Times New Roman"/>
                      <w:b/>
                      <w:bCs/>
                    </w:rPr>
                  </w:pPr>
                  <w:r>
                    <w:rPr>
                      <w:rFonts w:ascii="Times New Roman" w:hAnsi="Times New Roman"/>
                      <w:b/>
                      <w:bCs/>
                    </w:rPr>
                    <w:t>建筑物名称</w:t>
                  </w:r>
                </w:p>
              </w:tc>
              <w:tc>
                <w:tcPr>
                  <w:tcW w:w="1934" w:type="dxa"/>
                  <w:vAlign w:val="center"/>
                </w:tcPr>
                <w:p>
                  <w:pPr>
                    <w:jc w:val="center"/>
                    <w:rPr>
                      <w:rFonts w:ascii="Times New Roman" w:hAnsi="Times New Roman"/>
                      <w:b/>
                      <w:bCs/>
                    </w:rPr>
                  </w:pPr>
                  <w:r>
                    <w:rPr>
                      <w:rFonts w:ascii="Times New Roman" w:hAnsi="Times New Roman"/>
                      <w:b/>
                      <w:bCs/>
                    </w:rPr>
                    <w:t>建筑面积</w:t>
                  </w:r>
                </w:p>
              </w:tc>
              <w:tc>
                <w:tcPr>
                  <w:tcW w:w="4782" w:type="dxa"/>
                  <w:vAlign w:val="center"/>
                </w:tcPr>
                <w:p>
                  <w:pPr>
                    <w:jc w:val="center"/>
                    <w:rPr>
                      <w:rFonts w:ascii="Times New Roman" w:hAnsi="Times New Roman"/>
                      <w:b/>
                      <w:bCs/>
                    </w:rPr>
                  </w:pPr>
                  <w:r>
                    <w:rPr>
                      <w:rFonts w:ascii="Times New Roman" w:hAnsi="Times New Roman"/>
                      <w:b/>
                      <w:bCs/>
                    </w:rPr>
                    <w:t>基本情况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restart"/>
                  <w:vAlign w:val="center"/>
                </w:tcPr>
                <w:p>
                  <w:pPr>
                    <w:jc w:val="center"/>
                    <w:rPr>
                      <w:rFonts w:ascii="Times New Roman" w:hAnsi="Times New Roman"/>
                    </w:rPr>
                  </w:pPr>
                  <w:bookmarkStart w:id="33" w:name="_Hlk114567146"/>
                  <w:r>
                    <w:rPr>
                      <w:rFonts w:ascii="Times New Roman" w:hAnsi="Times New Roman"/>
                    </w:rPr>
                    <w:t>主体工程</w:t>
                  </w:r>
                </w:p>
              </w:tc>
              <w:tc>
                <w:tcPr>
                  <w:tcW w:w="1048" w:type="dxa"/>
                  <w:vMerge w:val="restart"/>
                  <w:vAlign w:val="center"/>
                </w:tcPr>
                <w:p>
                  <w:pPr>
                    <w:jc w:val="center"/>
                    <w:rPr>
                      <w:rFonts w:ascii="Times New Roman" w:hAnsi="Times New Roman"/>
                    </w:rPr>
                  </w:pPr>
                  <w:r>
                    <w:rPr>
                      <w:rFonts w:ascii="Times New Roman" w:hAnsi="Times New Roman"/>
                    </w:rPr>
                    <w:t>生产车间</w:t>
                  </w:r>
                </w:p>
              </w:tc>
              <w:tc>
                <w:tcPr>
                  <w:tcW w:w="1934" w:type="dxa"/>
                  <w:vMerge w:val="restart"/>
                  <w:vAlign w:val="center"/>
                </w:tcPr>
                <w:p>
                  <w:pPr>
                    <w:jc w:val="center"/>
                    <w:rPr>
                      <w:rFonts w:ascii="Times New Roman" w:hAnsi="Times New Roman"/>
                    </w:rPr>
                  </w:pPr>
                  <w:r>
                    <w:rPr>
                      <w:rFonts w:ascii="Times New Roman" w:hAnsi="Times New Roman"/>
                    </w:rPr>
                    <w:t>总建筑面积为60000m</w:t>
                  </w:r>
                  <w:r>
                    <w:rPr>
                      <w:rFonts w:ascii="Times New Roman" w:hAnsi="Times New Roman"/>
                      <w:vertAlign w:val="superscript"/>
                    </w:rPr>
                    <w:t>2</w:t>
                  </w:r>
                  <w:r>
                    <w:rPr>
                      <w:rFonts w:ascii="Times New Roman" w:hAnsi="Times New Roman"/>
                    </w:rPr>
                    <w:t>，</w:t>
                  </w:r>
                </w:p>
                <w:p>
                  <w:pPr>
                    <w:jc w:val="center"/>
                    <w:rPr>
                      <w:rFonts w:ascii="Times New Roman" w:hAnsi="Times New Roman"/>
                    </w:rPr>
                  </w:pPr>
                  <w:r>
                    <w:rPr>
                      <w:rFonts w:ascii="Times New Roman" w:hAnsi="Times New Roman"/>
                    </w:rPr>
                    <w:t>位于1#一~四层；</w:t>
                  </w:r>
                </w:p>
                <w:p>
                  <w:pPr>
                    <w:jc w:val="center"/>
                    <w:rPr>
                      <w:rFonts w:ascii="Times New Roman" w:hAnsi="Times New Roman"/>
                    </w:rPr>
                  </w:pPr>
                  <w:r>
                    <w:rPr>
                      <w:rFonts w:ascii="Times New Roman" w:hAnsi="Times New Roman"/>
                    </w:rPr>
                    <w:t>2#一、二、三层；3#一、二、三层；4#一、三层；</w:t>
                  </w:r>
                </w:p>
                <w:p>
                  <w:pPr>
                    <w:jc w:val="center"/>
                    <w:rPr>
                      <w:rFonts w:ascii="Times New Roman" w:hAnsi="Times New Roman"/>
                    </w:rPr>
                  </w:pPr>
                  <w:r>
                    <w:rPr>
                      <w:rFonts w:ascii="Times New Roman" w:hAnsi="Times New Roman"/>
                    </w:rPr>
                    <w:t>5#一、二、三层；6#一~四层；</w:t>
                  </w:r>
                </w:p>
                <w:p>
                  <w:pPr>
                    <w:jc w:val="center"/>
                    <w:rPr>
                      <w:rFonts w:ascii="Times New Roman" w:hAnsi="Times New Roman"/>
                    </w:rPr>
                  </w:pPr>
                  <w:r>
                    <w:rPr>
                      <w:rFonts w:ascii="Times New Roman" w:hAnsi="Times New Roman"/>
                    </w:rPr>
                    <w:t>混凝土结构</w:t>
                  </w:r>
                </w:p>
              </w:tc>
              <w:tc>
                <w:tcPr>
                  <w:tcW w:w="4782" w:type="dxa"/>
                  <w:vAlign w:val="center"/>
                </w:tcPr>
                <w:p>
                  <w:pPr>
                    <w:jc w:val="center"/>
                    <w:rPr>
                      <w:rFonts w:ascii="Times New Roman" w:hAnsi="Times New Roman"/>
                    </w:rPr>
                  </w:pPr>
                  <w:r>
                    <w:rPr>
                      <w:rFonts w:ascii="Times New Roman" w:hAnsi="Times New Roman"/>
                    </w:rPr>
                    <w:t>1#一层有来料、开料、CNC车间，主要设备有开料机、CNC、抛光机；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1#二层有热弯、清洗车间，主要设备有热弯机、清洗机；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1#三层有丝印、镀膜、清洗、检验车间，主要设备有清洗机、EVA方式镀膜ERAF；</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1#四层有组装、检验车间，主要设备有组装线等；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2#一层有钢化、浸泡车间，主要设备有钢化生产线、泡水槽；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2#二</w:t>
                  </w:r>
                  <w:r>
                    <w:rPr>
                      <w:rFonts w:hint="eastAsia" w:ascii="Times New Roman" w:hAnsi="Times New Roman"/>
                    </w:rPr>
                    <w:t>、三</w:t>
                  </w:r>
                  <w:r>
                    <w:rPr>
                      <w:rFonts w:ascii="Times New Roman" w:hAnsi="Times New Roman"/>
                    </w:rPr>
                    <w:t>层有清洗车间，主要设备有清洗机；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3#一层有模切车间，主要设备有模切机、测试仪；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3#二层有包装车间，主要设备有组装线；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3#三层有包装车间，主要设备有组装机；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4#一层有喷涂、来料、开料、CNC车间，主要设备有喷涂设备、开料机、CNC、抛光机；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4#三层有热弯、清洗车间，主要设备有热弯机、清洗机；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 xml:space="preserve">5#一层有钢化、浸泡车间，主要设备有钢化生产线、泡水槽；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5#二</w:t>
                  </w:r>
                  <w:r>
                    <w:rPr>
                      <w:rFonts w:hint="eastAsia" w:ascii="Times New Roman" w:hAnsi="Times New Roman"/>
                    </w:rPr>
                    <w:t>、三</w:t>
                  </w:r>
                  <w:r>
                    <w:rPr>
                      <w:rFonts w:ascii="Times New Roman" w:hAnsi="Times New Roman"/>
                    </w:rPr>
                    <w:t>层有清洗车间，主要设备有清洗机；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6#第一层为开料、磨边车间；主要设备有磨边机、开料机；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6#二层为热弯车间；主要设备为热弯机；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6#三层为清洗、贴合高压车间；主要设备为清洗机，贴合机，脱泡机；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both"/>
                    <w:rPr>
                      <w:rFonts w:ascii="Times New Roman" w:hAnsi="Times New Roman"/>
                    </w:rPr>
                  </w:pPr>
                </w:p>
              </w:tc>
              <w:tc>
                <w:tcPr>
                  <w:tcW w:w="1934" w:type="dxa"/>
                  <w:vMerge w:val="continue"/>
                  <w:vAlign w:val="center"/>
                </w:tcPr>
                <w:p>
                  <w:pPr>
                    <w:jc w:val="center"/>
                    <w:rPr>
                      <w:rFonts w:ascii="Times New Roman" w:hAnsi="Times New Roman"/>
                    </w:rPr>
                  </w:pPr>
                </w:p>
              </w:tc>
              <w:tc>
                <w:tcPr>
                  <w:tcW w:w="4782" w:type="dxa"/>
                  <w:vAlign w:val="center"/>
                </w:tcPr>
                <w:p>
                  <w:pPr>
                    <w:jc w:val="center"/>
                    <w:rPr>
                      <w:rFonts w:ascii="Times New Roman" w:hAnsi="Times New Roman"/>
                    </w:rPr>
                  </w:pPr>
                  <w:r>
                    <w:rPr>
                      <w:rFonts w:ascii="Times New Roman" w:hAnsi="Times New Roman"/>
                    </w:rPr>
                    <w:t>6#四层为打包车间；主要设备为打包机；</w:t>
                  </w:r>
                </w:p>
              </w:tc>
            </w:tr>
            <w:bookmarkEnd w:id="33"/>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u w:val="single"/>
                    </w:rPr>
                  </w:pPr>
                  <w:r>
                    <w:rPr>
                      <w:rFonts w:ascii="Times New Roman" w:hAnsi="Times New Roman"/>
                    </w:rPr>
                    <w:t>原材料仓库</w:t>
                  </w:r>
                </w:p>
              </w:tc>
              <w:tc>
                <w:tcPr>
                  <w:tcW w:w="1934" w:type="dxa"/>
                  <w:vAlign w:val="center"/>
                </w:tcPr>
                <w:p>
                  <w:pPr>
                    <w:jc w:val="center"/>
                    <w:rPr>
                      <w:rFonts w:ascii="Times New Roman" w:hAnsi="Times New Roman"/>
                    </w:rPr>
                  </w:pPr>
                  <w:r>
                    <w:rPr>
                      <w:rFonts w:ascii="Times New Roman" w:hAnsi="Times New Roman"/>
                    </w:rPr>
                    <w:t>总建筑面积为8410m</w:t>
                  </w:r>
                  <w:r>
                    <w:rPr>
                      <w:rFonts w:ascii="Times New Roman" w:hAnsi="Times New Roman"/>
                      <w:vertAlign w:val="superscript"/>
                    </w:rPr>
                    <w:t>2</w:t>
                  </w:r>
                </w:p>
              </w:tc>
              <w:tc>
                <w:tcPr>
                  <w:tcW w:w="4782" w:type="dxa"/>
                  <w:vAlign w:val="center"/>
                </w:tcPr>
                <w:p>
                  <w:pPr>
                    <w:jc w:val="center"/>
                    <w:rPr>
                      <w:rFonts w:ascii="Times New Roman" w:hAnsi="Times New Roman"/>
                    </w:rPr>
                  </w:pPr>
                  <w:r>
                    <w:rPr>
                      <w:rFonts w:ascii="Times New Roman" w:hAnsi="Times New Roman"/>
                    </w:rPr>
                    <w:t>位于2#四层、3#四层、7#一</w:t>
                  </w:r>
                  <w:r>
                    <w:rPr>
                      <w:rFonts w:hint="eastAsia" w:ascii="Times New Roman" w:hAnsi="Times New Roman"/>
                    </w:rPr>
                    <w:t>层、四层</w:t>
                  </w:r>
                  <w:r>
                    <w:rPr>
                      <w:rFonts w:ascii="Times New Roman" w:hAnsi="Times New Roman"/>
                    </w:rPr>
                    <w:t>；混凝土结构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rPr>
                  </w:pPr>
                  <w:r>
                    <w:rPr>
                      <w:rFonts w:ascii="Times New Roman" w:hAnsi="Times New Roman"/>
                    </w:rPr>
                    <w:t>化学品暂存区</w:t>
                  </w:r>
                </w:p>
              </w:tc>
              <w:tc>
                <w:tcPr>
                  <w:tcW w:w="1934" w:type="dxa"/>
                  <w:vAlign w:val="center"/>
                </w:tcPr>
                <w:p>
                  <w:pPr>
                    <w:jc w:val="center"/>
                    <w:rPr>
                      <w:rFonts w:ascii="Times New Roman" w:hAnsi="Times New Roman"/>
                    </w:rPr>
                  </w:pPr>
                  <w:r>
                    <w:rPr>
                      <w:rFonts w:ascii="Times New Roman" w:hAnsi="Times New Roman"/>
                    </w:rPr>
                    <w:t>建筑面积为200m</w:t>
                  </w:r>
                  <w:r>
                    <w:rPr>
                      <w:rFonts w:ascii="Times New Roman" w:hAnsi="Times New Roman"/>
                      <w:vertAlign w:val="superscript"/>
                    </w:rPr>
                    <w:t>2</w:t>
                  </w:r>
                </w:p>
              </w:tc>
              <w:tc>
                <w:tcPr>
                  <w:tcW w:w="4782" w:type="dxa"/>
                  <w:vAlign w:val="center"/>
                </w:tcPr>
                <w:p>
                  <w:pPr>
                    <w:jc w:val="center"/>
                    <w:rPr>
                      <w:rFonts w:ascii="Times New Roman" w:hAnsi="Times New Roman"/>
                    </w:rPr>
                  </w:pPr>
                  <w:r>
                    <w:rPr>
                      <w:rFonts w:ascii="Times New Roman" w:hAnsi="Times New Roman"/>
                    </w:rPr>
                    <w:t>位于7#一层；混凝土结构，租赁，用于储存清洗剂、切削液、油墨等化学品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rPr>
                  </w:pPr>
                  <w:r>
                    <w:rPr>
                      <w:rFonts w:ascii="Times New Roman" w:hAnsi="Times New Roman"/>
                    </w:rPr>
                    <w:t>成品仓库</w:t>
                  </w:r>
                </w:p>
              </w:tc>
              <w:tc>
                <w:tcPr>
                  <w:tcW w:w="1934" w:type="dxa"/>
                  <w:vAlign w:val="center"/>
                </w:tcPr>
                <w:p>
                  <w:pPr>
                    <w:jc w:val="center"/>
                    <w:rPr>
                      <w:rFonts w:ascii="Times New Roman" w:hAnsi="Times New Roman"/>
                    </w:rPr>
                  </w:pPr>
                  <w:r>
                    <w:rPr>
                      <w:rFonts w:ascii="Times New Roman" w:hAnsi="Times New Roman"/>
                    </w:rPr>
                    <w:t>总建筑面积为6259m</w:t>
                  </w:r>
                  <w:r>
                    <w:rPr>
                      <w:rFonts w:ascii="Times New Roman" w:hAnsi="Times New Roman"/>
                      <w:vertAlign w:val="superscript"/>
                    </w:rPr>
                    <w:t>2</w:t>
                  </w:r>
                </w:p>
              </w:tc>
              <w:tc>
                <w:tcPr>
                  <w:tcW w:w="4782" w:type="dxa"/>
                  <w:vAlign w:val="center"/>
                </w:tcPr>
                <w:p>
                  <w:pPr>
                    <w:jc w:val="center"/>
                    <w:rPr>
                      <w:rFonts w:ascii="Times New Roman" w:hAnsi="Times New Roman"/>
                    </w:rPr>
                  </w:pPr>
                  <w:r>
                    <w:rPr>
                      <w:rFonts w:ascii="Times New Roman" w:hAnsi="Times New Roman"/>
                    </w:rPr>
                    <w:t>位于4#四层、5#四层、6#四层、7#</w:t>
                  </w:r>
                  <w:r>
                    <w:rPr>
                      <w:rFonts w:hint="eastAsia" w:ascii="Times New Roman" w:hAnsi="Times New Roman"/>
                    </w:rPr>
                    <w:t>二、三</w:t>
                  </w:r>
                  <w:r>
                    <w:rPr>
                      <w:rFonts w:ascii="Times New Roman" w:hAnsi="Times New Roman"/>
                    </w:rPr>
                    <w:t>层，混凝土结构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restart"/>
                  <w:vAlign w:val="center"/>
                </w:tcPr>
                <w:p>
                  <w:pPr>
                    <w:jc w:val="center"/>
                    <w:rPr>
                      <w:rFonts w:ascii="Times New Roman" w:hAnsi="Times New Roman"/>
                    </w:rPr>
                  </w:pPr>
                  <w:r>
                    <w:rPr>
                      <w:rFonts w:ascii="Times New Roman" w:hAnsi="Times New Roman"/>
                    </w:rPr>
                    <w:t>辅助工程</w:t>
                  </w:r>
                </w:p>
              </w:tc>
              <w:tc>
                <w:tcPr>
                  <w:tcW w:w="1048" w:type="dxa"/>
                  <w:vAlign w:val="center"/>
                </w:tcPr>
                <w:p>
                  <w:pPr>
                    <w:jc w:val="center"/>
                    <w:rPr>
                      <w:rFonts w:ascii="Times New Roman" w:hAnsi="Times New Roman"/>
                    </w:rPr>
                  </w:pPr>
                  <w:r>
                    <w:rPr>
                      <w:rFonts w:ascii="Times New Roman" w:hAnsi="Times New Roman"/>
                    </w:rPr>
                    <w:t>研发中心</w:t>
                  </w:r>
                </w:p>
              </w:tc>
              <w:tc>
                <w:tcPr>
                  <w:tcW w:w="1934" w:type="dxa"/>
                  <w:vAlign w:val="center"/>
                </w:tcPr>
                <w:p>
                  <w:pPr>
                    <w:jc w:val="center"/>
                    <w:rPr>
                      <w:rFonts w:ascii="Times New Roman" w:hAnsi="Times New Roman"/>
                    </w:rPr>
                  </w:pPr>
                  <w:r>
                    <w:rPr>
                      <w:rFonts w:ascii="Times New Roman" w:hAnsi="Times New Roman"/>
                    </w:rPr>
                    <w:t>总建筑面积为2252m</w:t>
                  </w:r>
                  <w:r>
                    <w:rPr>
                      <w:rFonts w:ascii="Times New Roman" w:hAnsi="Times New Roman"/>
                      <w:vertAlign w:val="superscript"/>
                    </w:rPr>
                    <w:t>2</w:t>
                  </w:r>
                </w:p>
              </w:tc>
              <w:tc>
                <w:tcPr>
                  <w:tcW w:w="4782" w:type="dxa"/>
                  <w:vAlign w:val="center"/>
                </w:tcPr>
                <w:p>
                  <w:pPr>
                    <w:jc w:val="center"/>
                    <w:rPr>
                      <w:rFonts w:ascii="Times New Roman" w:hAnsi="Times New Roman"/>
                    </w:rPr>
                  </w:pPr>
                  <w:r>
                    <w:rPr>
                      <w:rFonts w:ascii="Times New Roman" w:hAnsi="Times New Roman"/>
                    </w:rPr>
                    <w:t>位于4#二层；混凝土结构（主要用于接待客户、办公、产品外形设计）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rPr>
                  </w:pPr>
                  <w:r>
                    <w:rPr>
                      <w:rFonts w:ascii="Times New Roman" w:hAnsi="Times New Roman"/>
                    </w:rPr>
                    <w:t>办公区</w:t>
                  </w:r>
                </w:p>
              </w:tc>
              <w:tc>
                <w:tcPr>
                  <w:tcW w:w="1934" w:type="dxa"/>
                  <w:vAlign w:val="center"/>
                </w:tcPr>
                <w:p>
                  <w:pPr>
                    <w:jc w:val="center"/>
                    <w:rPr>
                      <w:rFonts w:ascii="Times New Roman" w:hAnsi="Times New Roman"/>
                    </w:rPr>
                  </w:pPr>
                  <w:r>
                    <w:rPr>
                      <w:rFonts w:ascii="Times New Roman" w:hAnsi="Times New Roman"/>
                    </w:rPr>
                    <w:t>总建筑面积2730m</w:t>
                  </w:r>
                  <w:r>
                    <w:rPr>
                      <w:rFonts w:ascii="Times New Roman" w:hAnsi="Times New Roman"/>
                      <w:vertAlign w:val="superscript"/>
                    </w:rPr>
                    <w:t>2</w:t>
                  </w:r>
                </w:p>
              </w:tc>
              <w:tc>
                <w:tcPr>
                  <w:tcW w:w="4782" w:type="dxa"/>
                  <w:vAlign w:val="center"/>
                </w:tcPr>
                <w:p>
                  <w:pPr>
                    <w:jc w:val="center"/>
                    <w:rPr>
                      <w:rFonts w:ascii="Times New Roman" w:hAnsi="Times New Roman"/>
                    </w:rPr>
                  </w:pPr>
                  <w:r>
                    <w:rPr>
                      <w:rFonts w:ascii="Times New Roman" w:hAnsi="Times New Roman"/>
                      <w:lang w:bidi="ar-SA"/>
                    </w:rPr>
                    <w:t>1栋6F办公楼（含裙楼食堂2F）</w:t>
                  </w:r>
                  <w:r>
                    <w:rPr>
                      <w:rFonts w:ascii="Times New Roman" w:hAnsi="Times New Roman"/>
                    </w:rPr>
                    <w:t>；混凝土结构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rPr>
                  </w:pPr>
                  <w:r>
                    <w:rPr>
                      <w:rFonts w:ascii="Times New Roman" w:hAnsi="Times New Roman"/>
                    </w:rPr>
                    <w:t>宿舍楼</w:t>
                  </w:r>
                </w:p>
              </w:tc>
              <w:tc>
                <w:tcPr>
                  <w:tcW w:w="1934" w:type="dxa"/>
                  <w:vAlign w:val="center"/>
                </w:tcPr>
                <w:p>
                  <w:pPr>
                    <w:jc w:val="center"/>
                    <w:rPr>
                      <w:rFonts w:ascii="Times New Roman" w:hAnsi="Times New Roman"/>
                    </w:rPr>
                  </w:pPr>
                  <w:r>
                    <w:rPr>
                      <w:rFonts w:ascii="Times New Roman" w:hAnsi="Times New Roman"/>
                    </w:rPr>
                    <w:t>总建筑面积5040m</w:t>
                  </w:r>
                  <w:r>
                    <w:rPr>
                      <w:rFonts w:ascii="Times New Roman" w:hAnsi="Times New Roman"/>
                      <w:vertAlign w:val="superscript"/>
                    </w:rPr>
                    <w:t>2</w:t>
                  </w:r>
                </w:p>
              </w:tc>
              <w:tc>
                <w:tcPr>
                  <w:tcW w:w="4782" w:type="dxa"/>
                  <w:vAlign w:val="center"/>
                </w:tcPr>
                <w:p>
                  <w:pPr>
                    <w:jc w:val="center"/>
                    <w:rPr>
                      <w:rFonts w:ascii="Times New Roman" w:hAnsi="Times New Roman"/>
                    </w:rPr>
                  </w:pPr>
                  <w:r>
                    <w:rPr>
                      <w:rFonts w:ascii="Times New Roman" w:hAnsi="Times New Roman"/>
                      <w:lang w:bidi="ar-SA"/>
                    </w:rPr>
                    <w:t>1栋7F宿舍楼</w:t>
                  </w:r>
                  <w:r>
                    <w:rPr>
                      <w:rFonts w:ascii="Times New Roman" w:hAnsi="Times New Roman"/>
                    </w:rPr>
                    <w:t>；混凝土结构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restart"/>
                  <w:vAlign w:val="center"/>
                </w:tcPr>
                <w:p>
                  <w:pPr>
                    <w:jc w:val="center"/>
                    <w:rPr>
                      <w:rFonts w:ascii="Times New Roman" w:hAnsi="Times New Roman"/>
                    </w:rPr>
                  </w:pPr>
                  <w:r>
                    <w:rPr>
                      <w:rFonts w:ascii="Times New Roman" w:hAnsi="Times New Roman"/>
                    </w:rPr>
                    <w:t>公用工程</w:t>
                  </w:r>
                </w:p>
              </w:tc>
              <w:tc>
                <w:tcPr>
                  <w:tcW w:w="1048" w:type="dxa"/>
                  <w:vAlign w:val="center"/>
                </w:tcPr>
                <w:p>
                  <w:pPr>
                    <w:jc w:val="center"/>
                    <w:rPr>
                      <w:rFonts w:ascii="Times New Roman" w:hAnsi="Times New Roman"/>
                    </w:rPr>
                  </w:pPr>
                  <w:r>
                    <w:rPr>
                      <w:rFonts w:ascii="Times New Roman" w:hAnsi="Times New Roman"/>
                    </w:rPr>
                    <w:t>供水</w:t>
                  </w:r>
                </w:p>
              </w:tc>
              <w:tc>
                <w:tcPr>
                  <w:tcW w:w="6716" w:type="dxa"/>
                  <w:gridSpan w:val="2"/>
                  <w:vAlign w:val="center"/>
                </w:tcPr>
                <w:p>
                  <w:pPr>
                    <w:pStyle w:val="55"/>
                    <w:spacing w:line="240" w:lineRule="auto"/>
                    <w:ind w:left="0" w:right="0"/>
                    <w:rPr>
                      <w:rFonts w:ascii="Times New Roman" w:hAnsi="Times New Roman" w:cs="Times New Roman"/>
                      <w:color w:val="auto"/>
                      <w:sz w:val="21"/>
                      <w:szCs w:val="21"/>
                    </w:rPr>
                  </w:pPr>
                  <w:r>
                    <w:rPr>
                      <w:rFonts w:ascii="Times New Roman" w:hAnsi="Times New Roman" w:cs="Times New Roman"/>
                      <w:color w:val="auto"/>
                      <w:sz w:val="21"/>
                      <w:szCs w:val="21"/>
                    </w:rPr>
                    <w:t>凤台经济开发区自来水公司供给，厂区接入给水管网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rPr>
                  </w:pPr>
                  <w:r>
                    <w:rPr>
                      <w:rFonts w:ascii="Times New Roman" w:hAnsi="Times New Roman"/>
                    </w:rPr>
                    <w:t>供电</w:t>
                  </w:r>
                </w:p>
              </w:tc>
              <w:tc>
                <w:tcPr>
                  <w:tcW w:w="6716" w:type="dxa"/>
                  <w:gridSpan w:val="2"/>
                  <w:vAlign w:val="center"/>
                </w:tcPr>
                <w:p>
                  <w:pPr>
                    <w:jc w:val="center"/>
                    <w:rPr>
                      <w:rFonts w:ascii="Times New Roman" w:hAnsi="Times New Roman"/>
                    </w:rPr>
                  </w:pPr>
                  <w:r>
                    <w:rPr>
                      <w:rFonts w:ascii="Times New Roman" w:hAnsi="Times New Roman"/>
                    </w:rPr>
                    <w:t>凤台经济开发区电网提供，380/220V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rPr>
                  </w:pPr>
                  <w:r>
                    <w:rPr>
                      <w:rFonts w:ascii="Times New Roman" w:hAnsi="Times New Roman"/>
                    </w:rPr>
                    <w:t>道路</w:t>
                  </w:r>
                </w:p>
              </w:tc>
              <w:tc>
                <w:tcPr>
                  <w:tcW w:w="6716" w:type="dxa"/>
                  <w:gridSpan w:val="2"/>
                  <w:vAlign w:val="center"/>
                </w:tcPr>
                <w:p>
                  <w:pPr>
                    <w:jc w:val="center"/>
                    <w:rPr>
                      <w:rFonts w:ascii="Times New Roman" w:hAnsi="Times New Roman"/>
                    </w:rPr>
                  </w:pPr>
                  <w:r>
                    <w:rPr>
                      <w:rFonts w:ascii="Times New Roman" w:hAnsi="Times New Roman"/>
                    </w:rPr>
                    <w:t>包括厂区道路、人行道及消防通道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2"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rPr>
                  </w:pPr>
                  <w:r>
                    <w:rPr>
                      <w:rFonts w:ascii="Times New Roman" w:hAnsi="Times New Roman"/>
                    </w:rPr>
                    <w:t>消防</w:t>
                  </w:r>
                </w:p>
              </w:tc>
              <w:tc>
                <w:tcPr>
                  <w:tcW w:w="6716" w:type="dxa"/>
                  <w:gridSpan w:val="2"/>
                  <w:vAlign w:val="center"/>
                </w:tcPr>
                <w:p>
                  <w:pPr>
                    <w:jc w:val="center"/>
                    <w:rPr>
                      <w:rFonts w:ascii="Times New Roman" w:hAnsi="Times New Roman"/>
                    </w:rPr>
                  </w:pPr>
                  <w:r>
                    <w:rPr>
                      <w:rFonts w:ascii="Times New Roman" w:hAnsi="Times New Roman"/>
                    </w:rPr>
                    <w:t>建设消防水池，配备灭火器材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restart"/>
                  <w:vAlign w:val="center"/>
                </w:tcPr>
                <w:p>
                  <w:pPr>
                    <w:jc w:val="center"/>
                    <w:rPr>
                      <w:rFonts w:ascii="Times New Roman" w:hAnsi="Times New Roman"/>
                    </w:rPr>
                  </w:pPr>
                  <w:r>
                    <w:rPr>
                      <w:rFonts w:ascii="Times New Roman" w:hAnsi="Times New Roman"/>
                    </w:rPr>
                    <w:t>环保工程</w:t>
                  </w:r>
                </w:p>
              </w:tc>
              <w:tc>
                <w:tcPr>
                  <w:tcW w:w="1048" w:type="dxa"/>
                  <w:vAlign w:val="center"/>
                </w:tcPr>
                <w:p>
                  <w:pPr>
                    <w:jc w:val="center"/>
                    <w:rPr>
                      <w:rFonts w:ascii="Times New Roman" w:hAnsi="Times New Roman"/>
                    </w:rPr>
                  </w:pPr>
                  <w:r>
                    <w:rPr>
                      <w:rFonts w:ascii="Times New Roman" w:hAnsi="Times New Roman"/>
                    </w:rPr>
                    <w:t>废水处理设施</w:t>
                  </w:r>
                </w:p>
              </w:tc>
              <w:tc>
                <w:tcPr>
                  <w:tcW w:w="6716" w:type="dxa"/>
                  <w:gridSpan w:val="2"/>
                  <w:vAlign w:val="center"/>
                </w:tcPr>
                <w:p>
                  <w:pPr>
                    <w:widowControl/>
                    <w:jc w:val="center"/>
                    <w:rPr>
                      <w:rFonts w:ascii="Times New Roman" w:hAnsi="Times New Roman"/>
                    </w:rPr>
                  </w:pPr>
                  <w:r>
                    <w:rPr>
                      <w:rFonts w:ascii="Times New Roman" w:hAnsi="Times New Roman"/>
                    </w:rPr>
                    <w:t>雨污分流系统、隔油池+化粪池（</w:t>
                  </w:r>
                  <w:r>
                    <w:rPr>
                      <w:rFonts w:ascii="Times New Roman" w:hAnsi="Times New Roman"/>
                      <w:kern w:val="2"/>
                    </w:rPr>
                    <w:t>设计处理规模为</w:t>
                  </w:r>
                  <w:r>
                    <w:rPr>
                      <w:rFonts w:ascii="Times New Roman" w:hAnsi="Times New Roman"/>
                      <w:lang w:val="en-US"/>
                    </w:rPr>
                    <w:t>30</w:t>
                  </w:r>
                  <w:r>
                    <w:rPr>
                      <w:rFonts w:ascii="Times New Roman" w:hAnsi="Times New Roman"/>
                    </w:rPr>
                    <w:t>m</w:t>
                  </w:r>
                  <w:r>
                    <w:rPr>
                      <w:rFonts w:ascii="Times New Roman" w:hAnsi="Times New Roman"/>
                      <w:vertAlign w:val="superscript"/>
                      <w:lang w:val="en-US"/>
                    </w:rPr>
                    <w:t>3</w:t>
                  </w:r>
                  <w:r>
                    <w:rPr>
                      <w:rFonts w:ascii="Times New Roman" w:hAnsi="Times New Roman"/>
                    </w:rPr>
                    <w:t>/d）、中和池+混凝池+沉淀池（</w:t>
                  </w:r>
                  <w:r>
                    <w:rPr>
                      <w:rFonts w:ascii="Times New Roman" w:hAnsi="Times New Roman"/>
                      <w:kern w:val="2"/>
                    </w:rPr>
                    <w:t>设计处理规模为</w:t>
                  </w:r>
                  <w:r>
                    <w:rPr>
                      <w:rFonts w:ascii="Times New Roman" w:hAnsi="Times New Roman"/>
                      <w:lang w:val="en-US"/>
                    </w:rPr>
                    <w:t>30</w:t>
                  </w:r>
                  <w:r>
                    <w:rPr>
                      <w:rFonts w:ascii="Times New Roman" w:hAnsi="Times New Roman"/>
                    </w:rPr>
                    <w:t>m</w:t>
                  </w:r>
                  <w:r>
                    <w:rPr>
                      <w:rFonts w:ascii="Times New Roman" w:hAnsi="Times New Roman"/>
                      <w:vertAlign w:val="superscript"/>
                      <w:lang w:val="en-US"/>
                    </w:rPr>
                    <w:t>3</w:t>
                  </w:r>
                  <w:r>
                    <w:rPr>
                      <w:rFonts w:ascii="Times New Roman" w:hAnsi="Times New Roman"/>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restart"/>
                  <w:vAlign w:val="center"/>
                </w:tcPr>
                <w:p>
                  <w:pPr>
                    <w:jc w:val="center"/>
                    <w:rPr>
                      <w:rFonts w:ascii="Times New Roman" w:hAnsi="Times New Roman"/>
                    </w:rPr>
                  </w:pPr>
                  <w:r>
                    <w:rPr>
                      <w:rFonts w:ascii="Times New Roman" w:hAnsi="Times New Roman"/>
                    </w:rPr>
                    <w:t>废气处理设施</w:t>
                  </w:r>
                </w:p>
              </w:tc>
              <w:tc>
                <w:tcPr>
                  <w:tcW w:w="6716" w:type="dxa"/>
                  <w:gridSpan w:val="2"/>
                  <w:vAlign w:val="center"/>
                </w:tcPr>
                <w:p>
                  <w:pPr>
                    <w:widowControl/>
                    <w:rPr>
                      <w:rFonts w:ascii="Times New Roman" w:hAnsi="Times New Roman"/>
                    </w:rPr>
                  </w:pPr>
                  <w:r>
                    <w:rPr>
                      <w:rFonts w:ascii="Times New Roman" w:hAnsi="Times New Roman"/>
                    </w:rPr>
                    <w:t>喷保护液废气采用二级活性炭吸附装置+30m排气筒（DA001）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center"/>
                    <w:rPr>
                      <w:rFonts w:ascii="Times New Roman" w:hAnsi="Times New Roman"/>
                    </w:rPr>
                  </w:pPr>
                </w:p>
              </w:tc>
              <w:tc>
                <w:tcPr>
                  <w:tcW w:w="6716" w:type="dxa"/>
                  <w:gridSpan w:val="2"/>
                  <w:vAlign w:val="center"/>
                </w:tcPr>
                <w:p>
                  <w:pPr>
                    <w:widowControl/>
                    <w:rPr>
                      <w:rFonts w:ascii="Times New Roman" w:hAnsi="Times New Roman"/>
                    </w:rPr>
                  </w:pPr>
                  <w:r>
                    <w:rPr>
                      <w:rFonts w:ascii="Times New Roman" w:hAnsi="Times New Roman"/>
                    </w:rPr>
                    <w:t>丝印及烘干、镀AF及烘干废气采用二级活性炭纤维吸附装置+30m排气筒（DA002）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center"/>
                    <w:rPr>
                      <w:rFonts w:ascii="Times New Roman" w:hAnsi="Times New Roman"/>
                    </w:rPr>
                  </w:pPr>
                </w:p>
              </w:tc>
              <w:tc>
                <w:tcPr>
                  <w:tcW w:w="6716" w:type="dxa"/>
                  <w:gridSpan w:val="2"/>
                  <w:vAlign w:val="center"/>
                </w:tcPr>
                <w:p>
                  <w:pPr>
                    <w:widowControl/>
                    <w:rPr>
                      <w:rFonts w:ascii="Times New Roman" w:hAnsi="Times New Roman"/>
                    </w:rPr>
                  </w:pPr>
                  <w:r>
                    <w:rPr>
                      <w:rFonts w:hint="eastAsia" w:ascii="Times New Roman" w:hAnsi="Times New Roman"/>
                    </w:rPr>
                    <w:t>车间排气扇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Merge w:val="continue"/>
                  <w:vAlign w:val="center"/>
                </w:tcPr>
                <w:p>
                  <w:pPr>
                    <w:jc w:val="center"/>
                    <w:rPr>
                      <w:rFonts w:ascii="Times New Roman" w:hAnsi="Times New Roman"/>
                    </w:rPr>
                  </w:pPr>
                </w:p>
              </w:tc>
              <w:tc>
                <w:tcPr>
                  <w:tcW w:w="6716" w:type="dxa"/>
                  <w:gridSpan w:val="2"/>
                  <w:vAlign w:val="center"/>
                </w:tcPr>
                <w:p>
                  <w:pPr>
                    <w:widowControl/>
                    <w:rPr>
                      <w:rFonts w:ascii="Times New Roman" w:hAnsi="Times New Roman"/>
                    </w:rPr>
                  </w:pPr>
                  <w:r>
                    <w:rPr>
                      <w:rFonts w:ascii="Times New Roman" w:hAnsi="Times New Roman"/>
                    </w:rPr>
                    <w:t>油烟净化器+屋顶排放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rPr>
                  </w:pPr>
                  <w:r>
                    <w:rPr>
                      <w:rFonts w:ascii="Times New Roman" w:hAnsi="Times New Roman"/>
                    </w:rPr>
                    <w:t>噪声处理设施</w:t>
                  </w:r>
                </w:p>
              </w:tc>
              <w:tc>
                <w:tcPr>
                  <w:tcW w:w="6716" w:type="dxa"/>
                  <w:gridSpan w:val="2"/>
                  <w:vAlign w:val="center"/>
                </w:tcPr>
                <w:p>
                  <w:pPr>
                    <w:widowControl/>
                    <w:rPr>
                      <w:rFonts w:ascii="Times New Roman" w:hAnsi="Times New Roman"/>
                    </w:rPr>
                  </w:pPr>
                  <w:r>
                    <w:rPr>
                      <w:rFonts w:ascii="Times New Roman" w:hAnsi="Times New Roman"/>
                    </w:rPr>
                    <w:t>隔声、减震垫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jc w:val="center"/>
                    <w:rPr>
                      <w:rFonts w:ascii="Times New Roman" w:hAnsi="Times New Roman"/>
                    </w:rPr>
                  </w:pPr>
                  <w:r>
                    <w:rPr>
                      <w:rFonts w:ascii="Times New Roman" w:hAnsi="Times New Roman"/>
                    </w:rPr>
                    <w:t>固废处理设施</w:t>
                  </w:r>
                </w:p>
              </w:tc>
              <w:tc>
                <w:tcPr>
                  <w:tcW w:w="6716" w:type="dxa"/>
                  <w:gridSpan w:val="2"/>
                  <w:vAlign w:val="center"/>
                </w:tcPr>
                <w:p>
                  <w:pPr>
                    <w:widowControl/>
                    <w:jc w:val="center"/>
                    <w:rPr>
                      <w:rFonts w:ascii="Times New Roman" w:hAnsi="Times New Roman"/>
                    </w:rPr>
                  </w:pPr>
                  <w:r>
                    <w:rPr>
                      <w:rFonts w:ascii="Times New Roman" w:hAnsi="Times New Roman"/>
                    </w:rPr>
                    <w:t>垃圾桶、一般固废暂存间（位于6#一层，面积60平方米）、危险废物暂存间（位于6#一层，面积50平方米）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widowControl/>
                    <w:jc w:val="center"/>
                    <w:rPr>
                      <w:rFonts w:ascii="Times New Roman" w:hAnsi="Times New Roman"/>
                    </w:rPr>
                  </w:pPr>
                  <w:r>
                    <w:rPr>
                      <w:rFonts w:ascii="Times New Roman" w:hAnsi="Times New Roman"/>
                      <w:lang w:val="en-US"/>
                    </w:rPr>
                    <w:t>风险处理措施</w:t>
                  </w:r>
                </w:p>
              </w:tc>
              <w:tc>
                <w:tcPr>
                  <w:tcW w:w="6716" w:type="dxa"/>
                  <w:gridSpan w:val="2"/>
                  <w:vAlign w:val="center"/>
                </w:tcPr>
                <w:p>
                  <w:pPr>
                    <w:widowControl/>
                    <w:jc w:val="center"/>
                    <w:rPr>
                      <w:rFonts w:ascii="Times New Roman" w:hAnsi="Times New Roman"/>
                    </w:rPr>
                  </w:pPr>
                  <w:r>
                    <w:rPr>
                      <w:rFonts w:ascii="Times New Roman" w:hAnsi="Times New Roman"/>
                    </w:rPr>
                    <w:t>企业运营过程中积极采取防护措施，加强化学品储存区的管理，使危险化学品处于密闭化储存，严格防止跑、冒、滴、漏现象发生。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2" w:type="dxa"/>
                  <w:vMerge w:val="continue"/>
                  <w:vAlign w:val="center"/>
                </w:tcPr>
                <w:p>
                  <w:pPr>
                    <w:jc w:val="center"/>
                    <w:rPr>
                      <w:rFonts w:ascii="Times New Roman" w:hAnsi="Times New Roman"/>
                    </w:rPr>
                  </w:pPr>
                </w:p>
              </w:tc>
              <w:tc>
                <w:tcPr>
                  <w:tcW w:w="1048" w:type="dxa"/>
                  <w:vAlign w:val="center"/>
                </w:tcPr>
                <w:p>
                  <w:pPr>
                    <w:widowControl/>
                    <w:jc w:val="center"/>
                    <w:rPr>
                      <w:rFonts w:ascii="Times New Roman" w:hAnsi="Times New Roman"/>
                    </w:rPr>
                  </w:pPr>
                  <w:r>
                    <w:rPr>
                      <w:rFonts w:ascii="Times New Roman" w:hAnsi="Times New Roman"/>
                    </w:rPr>
                    <w:t>地下水、土壤污染防治措施</w:t>
                  </w:r>
                </w:p>
              </w:tc>
              <w:tc>
                <w:tcPr>
                  <w:tcW w:w="6716" w:type="dxa"/>
                  <w:gridSpan w:val="2"/>
                  <w:vAlign w:val="center"/>
                </w:tcPr>
                <w:p>
                  <w:pPr>
                    <w:widowControl/>
                    <w:jc w:val="center"/>
                    <w:rPr>
                      <w:rFonts w:ascii="Times New Roman" w:hAnsi="Times New Roman"/>
                    </w:rPr>
                  </w:pPr>
                  <w:r>
                    <w:rPr>
                      <w:rFonts w:ascii="Times New Roman" w:hAnsi="Times New Roman"/>
                    </w:rPr>
                    <w:t>生产厂房为水泥硬化地面；化学品储存区、危废间等按防渗要求做好防渗，降低事故发生概率，且在发生事故后及时清理地面</w:t>
                  </w:r>
                </w:p>
              </w:tc>
            </w:tr>
            <w:bookmarkEnd w:id="32"/>
          </w:tbl>
          <w:p>
            <w:pPr>
              <w:spacing w:line="440" w:lineRule="exact"/>
              <w:ind w:firstLine="482" w:firstLineChars="200"/>
              <w:jc w:val="both"/>
              <w:rPr>
                <w:rFonts w:ascii="Times New Roman" w:hAnsi="Times New Roman"/>
                <w:b/>
                <w:sz w:val="24"/>
              </w:rPr>
            </w:pPr>
            <w:r>
              <w:rPr>
                <w:rFonts w:ascii="Times New Roman" w:hAnsi="Times New Roman"/>
                <w:b/>
                <w:sz w:val="24"/>
                <w:lang w:val="en-US"/>
              </w:rPr>
              <w:t>3</w:t>
            </w:r>
            <w:r>
              <w:rPr>
                <w:rFonts w:ascii="Times New Roman" w:hAnsi="Times New Roman"/>
                <w:b/>
                <w:sz w:val="24"/>
              </w:rPr>
              <w:t>、产品方案及建设内容</w:t>
            </w:r>
          </w:p>
          <w:p>
            <w:pPr>
              <w:pStyle w:val="15"/>
              <w:spacing w:line="440" w:lineRule="exact"/>
              <w:ind w:firstLine="480" w:firstLineChars="200"/>
              <w:jc w:val="both"/>
              <w:rPr>
                <w:rFonts w:ascii="Times New Roman" w:hAnsi="Times New Roman" w:cs="Times New Roman"/>
                <w:lang w:val="en-US"/>
              </w:rPr>
            </w:pPr>
            <w:bookmarkStart w:id="34" w:name="_Hlk113973658"/>
            <w:r>
              <w:rPr>
                <w:rFonts w:ascii="Times New Roman" w:hAnsi="Times New Roman" w:cs="Times New Roman"/>
                <w:lang w:val="en-US"/>
              </w:rPr>
              <w:t>本项目主要从事玻璃制品制造、销售等经营活动，建设项目主要产品方案见下表：</w:t>
            </w:r>
          </w:p>
          <w:p>
            <w:pPr>
              <w:pStyle w:val="11"/>
              <w:keepNext/>
              <w:autoSpaceDE/>
              <w:autoSpaceDN/>
              <w:spacing w:line="440" w:lineRule="exact"/>
              <w:jc w:val="center"/>
              <w:rPr>
                <w:rFonts w:ascii="Times New Roman" w:hAnsi="Times New Roman" w:eastAsia="宋体" w:cs="Times New Roman"/>
                <w:b/>
                <w:sz w:val="21"/>
                <w:szCs w:val="21"/>
              </w:rPr>
            </w:pPr>
            <w:r>
              <w:rPr>
                <w:rFonts w:ascii="Times New Roman" w:hAnsi="Times New Roman" w:eastAsia="宋体" w:cs="Times New Roman"/>
                <w:b/>
                <w:sz w:val="21"/>
                <w:szCs w:val="21"/>
              </w:rPr>
              <w:t>表</w:t>
            </w:r>
            <w:r>
              <w:rPr>
                <w:rFonts w:ascii="Times New Roman" w:hAnsi="Times New Roman" w:eastAsia="宋体" w:cs="Times New Roman"/>
                <w:b/>
                <w:sz w:val="21"/>
                <w:szCs w:val="21"/>
                <w:lang w:val="en-US"/>
              </w:rPr>
              <w:t xml:space="preserve">2-4 </w:t>
            </w:r>
            <w:r>
              <w:rPr>
                <w:rFonts w:ascii="Times New Roman" w:hAnsi="Times New Roman" w:eastAsia="宋体" w:cs="Times New Roman"/>
                <w:b/>
                <w:sz w:val="21"/>
                <w:szCs w:val="21"/>
              </w:rPr>
              <w:t>项目产品方案一览表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716"/>
              <w:gridCol w:w="1681"/>
              <w:gridCol w:w="1441"/>
              <w:gridCol w:w="1441"/>
              <w:gridCol w:w="14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jc w:val="center"/>
                    <w:rPr>
                      <w:rFonts w:ascii="Times New Roman" w:hAnsi="Times New Roman"/>
                      <w:b/>
                    </w:rPr>
                  </w:pPr>
                  <w:bookmarkStart w:id="35" w:name="_Hlk113973758"/>
                  <w:r>
                    <w:rPr>
                      <w:rFonts w:ascii="Times New Roman" w:hAnsi="Times New Roman"/>
                      <w:b/>
                    </w:rPr>
                    <w:t>序号</w:t>
                  </w:r>
                </w:p>
              </w:tc>
              <w:tc>
                <w:tcPr>
                  <w:tcW w:w="1016" w:type="pct"/>
                  <w:vAlign w:val="center"/>
                </w:tcPr>
                <w:p>
                  <w:pPr>
                    <w:jc w:val="center"/>
                    <w:rPr>
                      <w:rFonts w:ascii="Times New Roman" w:hAnsi="Times New Roman"/>
                      <w:b/>
                    </w:rPr>
                  </w:pPr>
                  <w:r>
                    <w:rPr>
                      <w:rFonts w:ascii="Times New Roman" w:hAnsi="Times New Roman"/>
                      <w:b/>
                    </w:rPr>
                    <w:t>名称</w:t>
                  </w:r>
                </w:p>
              </w:tc>
              <w:tc>
                <w:tcPr>
                  <w:tcW w:w="995" w:type="pct"/>
                  <w:vAlign w:val="center"/>
                </w:tcPr>
                <w:p>
                  <w:pPr>
                    <w:jc w:val="center"/>
                    <w:rPr>
                      <w:rFonts w:ascii="Times New Roman" w:hAnsi="Times New Roman"/>
                      <w:b/>
                    </w:rPr>
                  </w:pPr>
                  <w:r>
                    <w:rPr>
                      <w:rFonts w:ascii="Times New Roman" w:hAnsi="Times New Roman"/>
                      <w:b/>
                    </w:rPr>
                    <w:t>产量（万片/年）</w:t>
                  </w:r>
                </w:p>
              </w:tc>
              <w:tc>
                <w:tcPr>
                  <w:tcW w:w="853" w:type="pct"/>
                  <w:vAlign w:val="center"/>
                </w:tcPr>
                <w:p>
                  <w:pPr>
                    <w:jc w:val="center"/>
                    <w:rPr>
                      <w:rFonts w:ascii="Times New Roman" w:hAnsi="Times New Roman"/>
                      <w:b/>
                      <w:lang w:val="en-US"/>
                    </w:rPr>
                  </w:pPr>
                  <w:r>
                    <w:rPr>
                      <w:rFonts w:ascii="Times New Roman" w:hAnsi="Times New Roman"/>
                      <w:b/>
                      <w:lang w:val="en-US"/>
                    </w:rPr>
                    <w:t>规格尺寸</w:t>
                  </w:r>
                </w:p>
              </w:tc>
              <w:tc>
                <w:tcPr>
                  <w:tcW w:w="853" w:type="pct"/>
                  <w:vAlign w:val="center"/>
                </w:tcPr>
                <w:p>
                  <w:pPr>
                    <w:jc w:val="center"/>
                    <w:rPr>
                      <w:rFonts w:ascii="Times New Roman" w:hAnsi="Times New Roman"/>
                      <w:b/>
                      <w:lang w:val="en-US"/>
                    </w:rPr>
                  </w:pPr>
                  <w:r>
                    <w:rPr>
                      <w:rFonts w:ascii="Times New Roman" w:hAnsi="Times New Roman"/>
                      <w:b/>
                      <w:lang w:val="en-US"/>
                    </w:rPr>
                    <w:t>质量标准</w:t>
                  </w:r>
                </w:p>
              </w:tc>
              <w:tc>
                <w:tcPr>
                  <w:tcW w:w="853" w:type="pct"/>
                  <w:vAlign w:val="center"/>
                </w:tcPr>
                <w:p>
                  <w:pPr>
                    <w:jc w:val="center"/>
                    <w:rPr>
                      <w:rFonts w:ascii="Times New Roman" w:hAnsi="Times New Roman"/>
                      <w:b/>
                    </w:rPr>
                  </w:pPr>
                  <w:r>
                    <w:rPr>
                      <w:rFonts w:ascii="Times New Roman" w:hAnsi="Times New Roman"/>
                      <w:b/>
                      <w:lang w:val="en-US"/>
                    </w:rPr>
                    <w:t>年</w:t>
                  </w:r>
                  <w:r>
                    <w:rPr>
                      <w:rFonts w:ascii="Times New Roman" w:hAnsi="Times New Roman"/>
                      <w:b/>
                    </w:rPr>
                    <w:t>运行时间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jc w:val="center"/>
                    <w:rPr>
                      <w:rFonts w:ascii="Times New Roman" w:hAnsi="Times New Roman"/>
                    </w:rPr>
                  </w:pPr>
                  <w:r>
                    <w:rPr>
                      <w:rFonts w:ascii="Times New Roman" w:hAnsi="Times New Roman"/>
                    </w:rPr>
                    <w:t>1</w:t>
                  </w:r>
                </w:p>
              </w:tc>
              <w:tc>
                <w:tcPr>
                  <w:tcW w:w="1016" w:type="pct"/>
                  <w:vAlign w:val="center"/>
                </w:tcPr>
                <w:p>
                  <w:pPr>
                    <w:pStyle w:val="18"/>
                    <w:autoSpaceDE/>
                    <w:autoSpaceDN/>
                    <w:snapToGrid/>
                    <w:spacing w:before="0" w:line="240" w:lineRule="auto"/>
                    <w:ind w:firstLine="0"/>
                    <w:jc w:val="center"/>
                    <w:rPr>
                      <w:rFonts w:ascii="Times New Roman" w:hAnsi="Times New Roman"/>
                      <w:sz w:val="21"/>
                    </w:rPr>
                  </w:pPr>
                  <w:r>
                    <w:rPr>
                      <w:rFonts w:ascii="Times New Roman" w:hAnsi="Times New Roman"/>
                      <w:sz w:val="21"/>
                      <w:lang w:val="en-US"/>
                    </w:rPr>
                    <w:t>2D玻璃盖板</w:t>
                  </w:r>
                </w:p>
              </w:tc>
              <w:tc>
                <w:tcPr>
                  <w:tcW w:w="995" w:type="pct"/>
                  <w:vAlign w:val="center"/>
                </w:tcPr>
                <w:p>
                  <w:pPr>
                    <w:pStyle w:val="18"/>
                    <w:snapToGrid/>
                    <w:spacing w:before="0" w:line="240" w:lineRule="auto"/>
                    <w:ind w:firstLine="0"/>
                    <w:jc w:val="center"/>
                    <w:rPr>
                      <w:rFonts w:ascii="Times New Roman" w:hAnsi="Times New Roman"/>
                      <w:sz w:val="21"/>
                      <w:lang w:val="en-US"/>
                    </w:rPr>
                  </w:pPr>
                  <w:r>
                    <w:rPr>
                      <w:rFonts w:ascii="Times New Roman" w:hAnsi="Times New Roman"/>
                      <w:sz w:val="21"/>
                      <w:lang w:val="en-US"/>
                    </w:rPr>
                    <w:t>100</w:t>
                  </w:r>
                </w:p>
              </w:tc>
              <w:tc>
                <w:tcPr>
                  <w:tcW w:w="853" w:type="pct"/>
                  <w:vAlign w:val="center"/>
                </w:tcPr>
                <w:p>
                  <w:pPr>
                    <w:jc w:val="center"/>
                    <w:rPr>
                      <w:rFonts w:ascii="Times New Roman" w:hAnsi="Times New Roman"/>
                      <w:lang w:val="en-US"/>
                    </w:rPr>
                  </w:pPr>
                  <w:r>
                    <w:rPr>
                      <w:rFonts w:ascii="Times New Roman" w:hAnsi="Times New Roman"/>
                      <w:lang w:val="en-US"/>
                    </w:rPr>
                    <w:t>7-35寸</w:t>
                  </w:r>
                </w:p>
              </w:tc>
              <w:tc>
                <w:tcPr>
                  <w:tcW w:w="853" w:type="pct"/>
                  <w:vAlign w:val="center"/>
                </w:tcPr>
                <w:p>
                  <w:pPr>
                    <w:jc w:val="center"/>
                    <w:rPr>
                      <w:rFonts w:ascii="Times New Roman" w:hAnsi="Times New Roman"/>
                      <w:lang w:val="en-US"/>
                    </w:rPr>
                  </w:pPr>
                  <w:r>
                    <w:rPr>
                      <w:rFonts w:ascii="Times New Roman" w:hAnsi="Times New Roman"/>
                      <w:lang w:val="en-US"/>
                    </w:rPr>
                    <w:t>行业标准</w:t>
                  </w:r>
                </w:p>
              </w:tc>
              <w:tc>
                <w:tcPr>
                  <w:tcW w:w="853" w:type="pct"/>
                  <w:vAlign w:val="center"/>
                </w:tcPr>
                <w:p>
                  <w:pPr>
                    <w:jc w:val="center"/>
                    <w:rPr>
                      <w:rFonts w:ascii="Times New Roman" w:hAnsi="Times New Roman"/>
                    </w:rPr>
                  </w:pPr>
                  <w:r>
                    <w:rPr>
                      <w:rFonts w:ascii="Times New Roman" w:hAnsi="Times New Roman"/>
                      <w:lang w:val="en-US"/>
                    </w:rPr>
                    <w:t>3000</w:t>
                  </w:r>
                  <w:r>
                    <w:rPr>
                      <w:rFonts w:ascii="Times New Roman" w:hAnsi="Times New Roma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jc w:val="center"/>
                    <w:rPr>
                      <w:rFonts w:ascii="Times New Roman" w:hAnsi="Times New Roman"/>
                    </w:rPr>
                  </w:pPr>
                  <w:r>
                    <w:rPr>
                      <w:rFonts w:ascii="Times New Roman" w:hAnsi="Times New Roman"/>
                    </w:rPr>
                    <w:t>2</w:t>
                  </w:r>
                </w:p>
              </w:tc>
              <w:tc>
                <w:tcPr>
                  <w:tcW w:w="1016" w:type="pct"/>
                  <w:vAlign w:val="center"/>
                </w:tcPr>
                <w:p>
                  <w:pPr>
                    <w:pStyle w:val="18"/>
                    <w:autoSpaceDE/>
                    <w:autoSpaceDN/>
                    <w:snapToGrid/>
                    <w:spacing w:before="0" w:line="240" w:lineRule="auto"/>
                    <w:ind w:firstLine="0"/>
                    <w:jc w:val="center"/>
                    <w:rPr>
                      <w:rFonts w:ascii="Times New Roman" w:hAnsi="Times New Roman"/>
                      <w:sz w:val="21"/>
                      <w:lang w:val="en-US"/>
                    </w:rPr>
                  </w:pPr>
                  <w:r>
                    <w:rPr>
                      <w:rFonts w:ascii="Times New Roman" w:hAnsi="Times New Roman"/>
                      <w:sz w:val="21"/>
                      <w:lang w:val="en-US"/>
                    </w:rPr>
                    <w:t>2.5D玻璃盖板</w:t>
                  </w:r>
                </w:p>
              </w:tc>
              <w:tc>
                <w:tcPr>
                  <w:tcW w:w="995" w:type="pct"/>
                  <w:vAlign w:val="center"/>
                </w:tcPr>
                <w:p>
                  <w:pPr>
                    <w:pStyle w:val="18"/>
                    <w:snapToGrid/>
                    <w:spacing w:before="0" w:line="240" w:lineRule="auto"/>
                    <w:ind w:firstLine="0"/>
                    <w:jc w:val="center"/>
                    <w:rPr>
                      <w:rFonts w:ascii="Times New Roman" w:hAnsi="Times New Roman"/>
                      <w:bCs/>
                      <w:sz w:val="21"/>
                      <w:lang w:val="en-US"/>
                    </w:rPr>
                  </w:pPr>
                  <w:r>
                    <w:rPr>
                      <w:rFonts w:ascii="Times New Roman" w:hAnsi="Times New Roman"/>
                      <w:bCs/>
                      <w:sz w:val="21"/>
                      <w:lang w:val="en-US"/>
                    </w:rPr>
                    <w:t>100</w:t>
                  </w:r>
                </w:p>
              </w:tc>
              <w:tc>
                <w:tcPr>
                  <w:tcW w:w="853" w:type="pct"/>
                  <w:vAlign w:val="center"/>
                </w:tcPr>
                <w:p>
                  <w:pPr>
                    <w:jc w:val="center"/>
                    <w:rPr>
                      <w:rFonts w:ascii="Times New Roman" w:hAnsi="Times New Roman"/>
                      <w:lang w:val="en-US"/>
                    </w:rPr>
                  </w:pPr>
                  <w:r>
                    <w:rPr>
                      <w:rFonts w:ascii="Times New Roman" w:hAnsi="Times New Roman"/>
                      <w:lang w:val="en-US"/>
                    </w:rPr>
                    <w:t>7-35寸</w:t>
                  </w:r>
                </w:p>
              </w:tc>
              <w:tc>
                <w:tcPr>
                  <w:tcW w:w="853" w:type="pct"/>
                  <w:vAlign w:val="center"/>
                </w:tcPr>
                <w:p>
                  <w:pPr>
                    <w:jc w:val="center"/>
                    <w:rPr>
                      <w:rFonts w:ascii="Times New Roman" w:hAnsi="Times New Roman"/>
                      <w:lang w:val="en-US"/>
                    </w:rPr>
                  </w:pPr>
                  <w:r>
                    <w:rPr>
                      <w:rFonts w:ascii="Times New Roman" w:hAnsi="Times New Roman"/>
                      <w:lang w:val="en-US"/>
                    </w:rPr>
                    <w:t>行业标准</w:t>
                  </w:r>
                </w:p>
              </w:tc>
              <w:tc>
                <w:tcPr>
                  <w:tcW w:w="853" w:type="pct"/>
                  <w:vAlign w:val="center"/>
                </w:tcPr>
                <w:p>
                  <w:pPr>
                    <w:jc w:val="center"/>
                    <w:rPr>
                      <w:rFonts w:ascii="Times New Roman" w:hAnsi="Times New Roman"/>
                      <w:lang w:val="en-US"/>
                    </w:rPr>
                  </w:pPr>
                  <w:r>
                    <w:rPr>
                      <w:rFonts w:ascii="Times New Roman" w:hAnsi="Times New Roman"/>
                      <w:lang w:val="en-US"/>
                    </w:rPr>
                    <w:t>3000</w:t>
                  </w:r>
                  <w:r>
                    <w:rPr>
                      <w:rFonts w:ascii="Times New Roman" w:hAnsi="Times New Roma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jc w:val="center"/>
                    <w:rPr>
                      <w:rFonts w:ascii="Times New Roman" w:hAnsi="Times New Roman"/>
                    </w:rPr>
                  </w:pPr>
                  <w:r>
                    <w:rPr>
                      <w:rFonts w:ascii="Times New Roman" w:hAnsi="Times New Roman"/>
                    </w:rPr>
                    <w:t>3</w:t>
                  </w:r>
                </w:p>
              </w:tc>
              <w:tc>
                <w:tcPr>
                  <w:tcW w:w="1016" w:type="pct"/>
                  <w:vAlign w:val="center"/>
                </w:tcPr>
                <w:p>
                  <w:pPr>
                    <w:pStyle w:val="18"/>
                    <w:autoSpaceDE/>
                    <w:autoSpaceDN/>
                    <w:snapToGrid/>
                    <w:spacing w:before="0" w:line="240" w:lineRule="auto"/>
                    <w:ind w:firstLine="0"/>
                    <w:jc w:val="center"/>
                    <w:rPr>
                      <w:rFonts w:ascii="Times New Roman" w:hAnsi="Times New Roman"/>
                      <w:sz w:val="21"/>
                      <w:lang w:val="en-US"/>
                    </w:rPr>
                  </w:pPr>
                  <w:r>
                    <w:rPr>
                      <w:rFonts w:ascii="Times New Roman" w:hAnsi="Times New Roman"/>
                      <w:sz w:val="21"/>
                      <w:lang w:val="en-US"/>
                    </w:rPr>
                    <w:t>3D玻璃盖板</w:t>
                  </w:r>
                </w:p>
              </w:tc>
              <w:tc>
                <w:tcPr>
                  <w:tcW w:w="995" w:type="pct"/>
                  <w:vAlign w:val="center"/>
                </w:tcPr>
                <w:p>
                  <w:pPr>
                    <w:pStyle w:val="18"/>
                    <w:snapToGrid/>
                    <w:spacing w:before="0" w:line="240" w:lineRule="auto"/>
                    <w:ind w:firstLine="0"/>
                    <w:jc w:val="center"/>
                    <w:rPr>
                      <w:rFonts w:ascii="Times New Roman" w:hAnsi="Times New Roman"/>
                      <w:bCs/>
                      <w:sz w:val="21"/>
                      <w:lang w:val="en-US"/>
                    </w:rPr>
                  </w:pPr>
                  <w:r>
                    <w:rPr>
                      <w:rFonts w:ascii="Times New Roman" w:hAnsi="Times New Roman"/>
                      <w:bCs/>
                      <w:sz w:val="21"/>
                      <w:lang w:val="en-US"/>
                    </w:rPr>
                    <w:t>200</w:t>
                  </w:r>
                </w:p>
              </w:tc>
              <w:tc>
                <w:tcPr>
                  <w:tcW w:w="853" w:type="pct"/>
                  <w:vAlign w:val="center"/>
                </w:tcPr>
                <w:p>
                  <w:pPr>
                    <w:jc w:val="center"/>
                    <w:rPr>
                      <w:rFonts w:ascii="Times New Roman" w:hAnsi="Times New Roman"/>
                      <w:lang w:val="en-US"/>
                    </w:rPr>
                  </w:pPr>
                  <w:r>
                    <w:rPr>
                      <w:rFonts w:ascii="Times New Roman" w:hAnsi="Times New Roman"/>
                      <w:lang w:val="en-US"/>
                    </w:rPr>
                    <w:t>8-45寸</w:t>
                  </w:r>
                </w:p>
              </w:tc>
              <w:tc>
                <w:tcPr>
                  <w:tcW w:w="853" w:type="pct"/>
                  <w:vAlign w:val="center"/>
                </w:tcPr>
                <w:p>
                  <w:pPr>
                    <w:jc w:val="center"/>
                    <w:rPr>
                      <w:rFonts w:ascii="Times New Roman" w:hAnsi="Times New Roman"/>
                      <w:lang w:val="en-US"/>
                    </w:rPr>
                  </w:pPr>
                  <w:r>
                    <w:rPr>
                      <w:rFonts w:ascii="Times New Roman" w:hAnsi="Times New Roman"/>
                      <w:lang w:val="en-US"/>
                    </w:rPr>
                    <w:t>行业标准</w:t>
                  </w:r>
                </w:p>
              </w:tc>
              <w:tc>
                <w:tcPr>
                  <w:tcW w:w="853" w:type="pct"/>
                  <w:vAlign w:val="center"/>
                </w:tcPr>
                <w:p>
                  <w:pPr>
                    <w:jc w:val="center"/>
                    <w:rPr>
                      <w:rFonts w:ascii="Times New Roman" w:hAnsi="Times New Roman"/>
                      <w:lang w:val="en-US"/>
                    </w:rPr>
                  </w:pPr>
                  <w:r>
                    <w:rPr>
                      <w:rFonts w:ascii="Times New Roman" w:hAnsi="Times New Roman"/>
                      <w:lang w:val="en-US"/>
                    </w:rPr>
                    <w:t>3000</w:t>
                  </w:r>
                  <w:r>
                    <w:rPr>
                      <w:rFonts w:ascii="Times New Roman" w:hAnsi="Times New Roman"/>
                    </w:rPr>
                    <w:t>h</w:t>
                  </w:r>
                </w:p>
              </w:tc>
            </w:tr>
            <w:bookmarkEnd w:id="35"/>
          </w:tbl>
          <w:p>
            <w:pPr>
              <w:spacing w:line="440" w:lineRule="exact"/>
              <w:ind w:firstLine="482" w:firstLineChars="200"/>
              <w:jc w:val="both"/>
              <w:rPr>
                <w:rFonts w:ascii="Times New Roman" w:hAnsi="Times New Roman"/>
                <w:bCs/>
                <w:sz w:val="24"/>
              </w:rPr>
            </w:pPr>
            <w:r>
              <w:rPr>
                <w:rFonts w:ascii="Times New Roman" w:hAnsi="Times New Roman"/>
                <w:b/>
                <w:sz w:val="24"/>
                <w:lang w:val="en-US"/>
              </w:rPr>
              <w:t>4</w:t>
            </w:r>
            <w:r>
              <w:rPr>
                <w:rFonts w:ascii="Times New Roman" w:hAnsi="Times New Roman"/>
                <w:b/>
                <w:sz w:val="24"/>
              </w:rPr>
              <w:t>、原辅材料及能源</w:t>
            </w:r>
          </w:p>
          <w:bookmarkEnd w:id="34"/>
          <w:p>
            <w:pPr>
              <w:spacing w:line="440" w:lineRule="exact"/>
              <w:ind w:firstLine="480" w:firstLineChars="200"/>
              <w:jc w:val="both"/>
              <w:rPr>
                <w:rFonts w:ascii="Times New Roman" w:hAnsi="Times New Roman"/>
                <w:sz w:val="24"/>
              </w:rPr>
            </w:pPr>
            <w:r>
              <w:rPr>
                <w:rFonts w:hint="eastAsia" w:ascii="Times New Roman" w:hAnsi="Times New Roman"/>
                <w:sz w:val="24"/>
              </w:rPr>
              <w:t>（1）</w:t>
            </w:r>
            <w:r>
              <w:rPr>
                <w:rFonts w:ascii="Times New Roman" w:hAnsi="Times New Roman"/>
                <w:sz w:val="24"/>
              </w:rPr>
              <w:t>本项目</w:t>
            </w:r>
            <w:r>
              <w:rPr>
                <w:rFonts w:ascii="Times New Roman" w:hAnsi="Times New Roman"/>
                <w:sz w:val="24"/>
                <w:lang w:val="en-US"/>
              </w:rPr>
              <w:t>可年产100万片2D、100万片2.5D、200万片3D车载触控显示屏玻璃</w:t>
            </w:r>
            <w:r>
              <w:rPr>
                <w:rFonts w:ascii="Times New Roman" w:hAnsi="Times New Roman"/>
                <w:sz w:val="24"/>
              </w:rPr>
              <w:t>，</w:t>
            </w:r>
            <w:r>
              <w:rPr>
                <w:rFonts w:ascii="Times New Roman" w:hAnsi="Times New Roman"/>
                <w:sz w:val="24"/>
                <w:lang w:val="en-US"/>
              </w:rPr>
              <w:t>生产过程中</w:t>
            </w:r>
            <w:r>
              <w:rPr>
                <w:rFonts w:ascii="Times New Roman" w:hAnsi="Times New Roman"/>
                <w:sz w:val="24"/>
              </w:rPr>
              <w:t>使用的原辅材料具体种类及用量见下表：</w:t>
            </w:r>
          </w:p>
          <w:p>
            <w:pPr>
              <w:pStyle w:val="95"/>
              <w:snapToGrid w:val="0"/>
              <w:spacing w:before="0" w:line="440" w:lineRule="exact"/>
              <w:rPr>
                <w:sz w:val="21"/>
                <w:szCs w:val="21"/>
              </w:rPr>
            </w:pPr>
            <w:r>
              <w:rPr>
                <w:sz w:val="21"/>
                <w:szCs w:val="21"/>
              </w:rPr>
              <w:t>表2-5 项目主要原辅材料及能源一览表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4"/>
              <w:gridCol w:w="901"/>
              <w:gridCol w:w="1188"/>
              <w:gridCol w:w="851"/>
              <w:gridCol w:w="851"/>
              <w:gridCol w:w="993"/>
              <w:gridCol w:w="1133"/>
              <w:gridCol w:w="2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b/>
                      <w:bCs/>
                    </w:rPr>
                  </w:pPr>
                  <w:bookmarkStart w:id="36" w:name="_Hlk112569371"/>
                  <w:r>
                    <w:rPr>
                      <w:rFonts w:ascii="Times New Roman" w:hAnsi="Times New Roman"/>
                      <w:b/>
                      <w:bCs/>
                    </w:rPr>
                    <w:t>序号</w:t>
                  </w:r>
                </w:p>
              </w:tc>
              <w:tc>
                <w:tcPr>
                  <w:tcW w:w="533" w:type="pct"/>
                  <w:vAlign w:val="center"/>
                </w:tcPr>
                <w:p>
                  <w:pPr>
                    <w:adjustRightInd w:val="0"/>
                    <w:snapToGrid w:val="0"/>
                    <w:jc w:val="center"/>
                    <w:rPr>
                      <w:rFonts w:ascii="Times New Roman" w:hAnsi="Times New Roman"/>
                      <w:b/>
                      <w:bCs/>
                    </w:rPr>
                  </w:pPr>
                  <w:r>
                    <w:rPr>
                      <w:rFonts w:ascii="Times New Roman" w:hAnsi="Times New Roman"/>
                      <w:b/>
                      <w:bCs/>
                    </w:rPr>
                    <w:t>名称</w:t>
                  </w:r>
                </w:p>
              </w:tc>
              <w:tc>
                <w:tcPr>
                  <w:tcW w:w="703" w:type="pct"/>
                  <w:vAlign w:val="center"/>
                </w:tcPr>
                <w:p>
                  <w:pPr>
                    <w:adjustRightInd w:val="0"/>
                    <w:snapToGrid w:val="0"/>
                    <w:jc w:val="center"/>
                    <w:rPr>
                      <w:rFonts w:ascii="Times New Roman" w:hAnsi="Times New Roman"/>
                      <w:b/>
                      <w:bCs/>
                    </w:rPr>
                  </w:pPr>
                  <w:r>
                    <w:rPr>
                      <w:rFonts w:ascii="Times New Roman" w:hAnsi="Times New Roman"/>
                      <w:b/>
                      <w:bCs/>
                    </w:rPr>
                    <w:t>包装方式</w:t>
                  </w:r>
                </w:p>
              </w:tc>
              <w:tc>
                <w:tcPr>
                  <w:tcW w:w="504" w:type="pct"/>
                  <w:vAlign w:val="center"/>
                </w:tcPr>
                <w:p>
                  <w:pPr>
                    <w:adjustRightInd w:val="0"/>
                    <w:snapToGrid w:val="0"/>
                    <w:jc w:val="center"/>
                    <w:rPr>
                      <w:rFonts w:ascii="Times New Roman" w:hAnsi="Times New Roman"/>
                      <w:b/>
                      <w:bCs/>
                    </w:rPr>
                  </w:pPr>
                  <w:r>
                    <w:rPr>
                      <w:rFonts w:ascii="Times New Roman" w:hAnsi="Times New Roman"/>
                      <w:b/>
                      <w:bCs/>
                    </w:rPr>
                    <w:t>耗量</w:t>
                  </w:r>
                </w:p>
              </w:tc>
              <w:tc>
                <w:tcPr>
                  <w:tcW w:w="504" w:type="pct"/>
                  <w:vAlign w:val="center"/>
                </w:tcPr>
                <w:p>
                  <w:pPr>
                    <w:adjustRightInd w:val="0"/>
                    <w:snapToGrid w:val="0"/>
                    <w:jc w:val="center"/>
                    <w:rPr>
                      <w:rFonts w:ascii="Times New Roman" w:hAnsi="Times New Roman"/>
                      <w:b/>
                      <w:bCs/>
                    </w:rPr>
                  </w:pPr>
                  <w:r>
                    <w:rPr>
                      <w:rFonts w:ascii="Times New Roman" w:hAnsi="Times New Roman"/>
                      <w:b/>
                      <w:bCs/>
                    </w:rPr>
                    <w:t>单位</w:t>
                  </w:r>
                </w:p>
              </w:tc>
              <w:tc>
                <w:tcPr>
                  <w:tcW w:w="588" w:type="pct"/>
                  <w:vAlign w:val="center"/>
                </w:tcPr>
                <w:p>
                  <w:pPr>
                    <w:adjustRightInd w:val="0"/>
                    <w:snapToGrid w:val="0"/>
                    <w:jc w:val="center"/>
                    <w:rPr>
                      <w:rFonts w:ascii="Times New Roman" w:hAnsi="Times New Roman"/>
                      <w:b/>
                      <w:bCs/>
                    </w:rPr>
                  </w:pPr>
                  <w:r>
                    <w:rPr>
                      <w:rFonts w:ascii="Times New Roman" w:hAnsi="Times New Roman"/>
                      <w:b/>
                      <w:bCs/>
                    </w:rPr>
                    <w:t>最大储存量</w:t>
                  </w:r>
                </w:p>
              </w:tc>
              <w:tc>
                <w:tcPr>
                  <w:tcW w:w="671" w:type="pct"/>
                  <w:vAlign w:val="center"/>
                </w:tcPr>
                <w:p>
                  <w:pPr>
                    <w:adjustRightInd w:val="0"/>
                    <w:snapToGrid w:val="0"/>
                    <w:jc w:val="center"/>
                    <w:rPr>
                      <w:rFonts w:ascii="Times New Roman" w:hAnsi="Times New Roman"/>
                      <w:b/>
                      <w:bCs/>
                    </w:rPr>
                  </w:pPr>
                  <w:r>
                    <w:rPr>
                      <w:rFonts w:ascii="Times New Roman" w:hAnsi="Times New Roman"/>
                      <w:b/>
                      <w:bCs/>
                    </w:rPr>
                    <w:t>储存位置</w:t>
                  </w:r>
                </w:p>
              </w:tc>
              <w:tc>
                <w:tcPr>
                  <w:tcW w:w="1199" w:type="pct"/>
                  <w:vAlign w:val="center"/>
                </w:tcPr>
                <w:p>
                  <w:pPr>
                    <w:adjustRightInd w:val="0"/>
                    <w:snapToGrid w:val="0"/>
                    <w:jc w:val="center"/>
                    <w:rPr>
                      <w:rFonts w:ascii="Times New Roman" w:hAnsi="Times New Roman"/>
                      <w:b/>
                      <w:bCs/>
                    </w:rPr>
                  </w:pPr>
                  <w:r>
                    <w:rPr>
                      <w:rFonts w:ascii="Times New Roman" w:hAnsi="Times New Roman"/>
                      <w:b/>
                      <w:bCs/>
                    </w:rPr>
                    <w:t>对应工序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pPr>
                    <w:adjustRightInd w:val="0"/>
                    <w:snapToGrid w:val="0"/>
                    <w:jc w:val="center"/>
                    <w:rPr>
                      <w:rFonts w:ascii="Times New Roman" w:hAnsi="Times New Roman"/>
                      <w:b/>
                      <w:bCs/>
                    </w:rPr>
                  </w:pPr>
                  <w:r>
                    <w:rPr>
                      <w:rFonts w:ascii="Times New Roman" w:hAnsi="Times New Roman"/>
                      <w:b/>
                      <w:bCs/>
                    </w:rPr>
                    <w:t>主要原辅材料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w:t>
                  </w:r>
                </w:p>
              </w:tc>
              <w:tc>
                <w:tcPr>
                  <w:tcW w:w="533" w:type="pct"/>
                  <w:vAlign w:val="center"/>
                </w:tcPr>
                <w:p>
                  <w:pPr>
                    <w:adjustRightInd w:val="0"/>
                    <w:snapToGrid w:val="0"/>
                    <w:jc w:val="center"/>
                    <w:rPr>
                      <w:rFonts w:ascii="Times New Roman" w:hAnsi="Times New Roman"/>
                    </w:rPr>
                  </w:pPr>
                  <w:r>
                    <w:rPr>
                      <w:rFonts w:ascii="Times New Roman" w:hAnsi="Times New Roman"/>
                    </w:rPr>
                    <w:t>玻璃</w:t>
                  </w:r>
                </w:p>
              </w:tc>
              <w:tc>
                <w:tcPr>
                  <w:tcW w:w="703" w:type="pct"/>
                  <w:vAlign w:val="center"/>
                </w:tcPr>
                <w:p>
                  <w:pPr>
                    <w:pStyle w:val="69"/>
                    <w:adjustRightInd/>
                    <w:spacing w:line="240" w:lineRule="auto"/>
                    <w:ind w:firstLine="0"/>
                    <w:jc w:val="center"/>
                    <w:rPr>
                      <w:rFonts w:ascii="Times New Roman" w:hAnsi="Times New Roman"/>
                      <w:sz w:val="21"/>
                      <w:lang w:val="en-US" w:bidi="ar-SA"/>
                    </w:rPr>
                  </w:pPr>
                  <w:r>
                    <w:rPr>
                      <w:rFonts w:ascii="Times New Roman" w:hAnsi="Times New Roman"/>
                      <w:sz w:val="21"/>
                      <w:lang w:val="en-US" w:bidi="ar-SA"/>
                    </w:rPr>
                    <w:t>木箱/架，铁架</w:t>
                  </w:r>
                </w:p>
              </w:tc>
              <w:tc>
                <w:tcPr>
                  <w:tcW w:w="504" w:type="pct"/>
                  <w:vAlign w:val="center"/>
                </w:tcPr>
                <w:p>
                  <w:pPr>
                    <w:pStyle w:val="69"/>
                    <w:adjustRightInd/>
                    <w:spacing w:line="240" w:lineRule="auto"/>
                    <w:ind w:firstLine="0"/>
                    <w:jc w:val="center"/>
                    <w:rPr>
                      <w:rFonts w:ascii="Times New Roman" w:hAnsi="Times New Roman"/>
                      <w:sz w:val="21"/>
                      <w:lang w:val="en-US" w:bidi="ar-SA"/>
                    </w:rPr>
                  </w:pPr>
                  <w:r>
                    <w:rPr>
                      <w:rFonts w:ascii="Times New Roman" w:hAnsi="Times New Roman"/>
                      <w:sz w:val="21"/>
                      <w:lang w:val="en-US" w:bidi="ar-SA"/>
                    </w:rPr>
                    <w:t>176000</w:t>
                  </w:r>
                </w:p>
              </w:tc>
              <w:tc>
                <w:tcPr>
                  <w:tcW w:w="504" w:type="pct"/>
                  <w:vAlign w:val="center"/>
                </w:tcPr>
                <w:p>
                  <w:pPr>
                    <w:jc w:val="center"/>
                    <w:rPr>
                      <w:rFonts w:ascii="Times New Roman" w:hAnsi="Times New Roman"/>
                      <w:lang w:val="en-US"/>
                    </w:rPr>
                  </w:pPr>
                  <w:r>
                    <w:rPr>
                      <w:rFonts w:ascii="Times New Roman" w:hAnsi="Times New Roman"/>
                      <w:kern w:val="2"/>
                      <w:lang w:val="en-US"/>
                    </w:rPr>
                    <w:t>m</w:t>
                  </w:r>
                  <w:r>
                    <w:rPr>
                      <w:rFonts w:ascii="Times New Roman" w:hAnsi="Times New Roman"/>
                      <w:kern w:val="2"/>
                      <w:vertAlign w:val="superscript"/>
                      <w:lang w:val="en-US"/>
                    </w:rPr>
                    <w:t>2</w:t>
                  </w:r>
                  <w:r>
                    <w:rPr>
                      <w:rFonts w:ascii="Times New Roman" w:hAnsi="Times New Roman"/>
                      <w:kern w:val="2"/>
                      <w:lang w:val="en-US"/>
                    </w:rPr>
                    <w:t>/a</w:t>
                  </w:r>
                </w:p>
              </w:tc>
              <w:tc>
                <w:tcPr>
                  <w:tcW w:w="588" w:type="pct"/>
                  <w:vAlign w:val="center"/>
                </w:tcPr>
                <w:p>
                  <w:pPr>
                    <w:pStyle w:val="69"/>
                    <w:adjustRightInd/>
                    <w:spacing w:line="240" w:lineRule="auto"/>
                    <w:ind w:firstLine="0"/>
                    <w:jc w:val="center"/>
                    <w:rPr>
                      <w:rFonts w:ascii="Times New Roman" w:hAnsi="Times New Roman"/>
                      <w:sz w:val="21"/>
                      <w:lang w:val="en-US" w:bidi="ar-SA"/>
                    </w:rPr>
                  </w:pPr>
                  <w:r>
                    <w:rPr>
                      <w:rFonts w:ascii="Times New Roman" w:hAnsi="Times New Roman"/>
                      <w:sz w:val="21"/>
                      <w:lang w:val="en-US" w:bidi="ar-SA"/>
                    </w:rPr>
                    <w:t>6000</w:t>
                  </w:r>
                </w:p>
              </w:tc>
              <w:tc>
                <w:tcPr>
                  <w:tcW w:w="671" w:type="pct"/>
                  <w:vAlign w:val="center"/>
                </w:tcPr>
                <w:p>
                  <w:pPr>
                    <w:pStyle w:val="69"/>
                    <w:adjustRightInd/>
                    <w:spacing w:line="240" w:lineRule="auto"/>
                    <w:ind w:firstLine="0"/>
                    <w:jc w:val="center"/>
                    <w:rPr>
                      <w:rFonts w:ascii="Times New Roman" w:hAnsi="Times New Roman"/>
                      <w:sz w:val="21"/>
                      <w:lang w:val="en-US" w:bidi="ar-SA"/>
                    </w:rPr>
                  </w:pPr>
                  <w:r>
                    <w:rPr>
                      <w:rFonts w:ascii="Times New Roman" w:hAnsi="Times New Roman"/>
                      <w:sz w:val="21"/>
                      <w:lang w:val="en-US" w:bidi="ar-SA"/>
                    </w:rPr>
                    <w:t>仓库、开料车间</w:t>
                  </w:r>
                </w:p>
              </w:tc>
              <w:tc>
                <w:tcPr>
                  <w:tcW w:w="1199" w:type="pct"/>
                  <w:vAlign w:val="center"/>
                </w:tcPr>
                <w:p>
                  <w:pPr>
                    <w:widowControl/>
                    <w:jc w:val="center"/>
                    <w:rPr>
                      <w:rFonts w:ascii="Times New Roman" w:hAnsi="Times New Roman"/>
                      <w:lang w:val="en-US" w:bidi="ar-SA"/>
                    </w:rPr>
                  </w:pPr>
                  <w:r>
                    <w:rPr>
                      <w:rFonts w:ascii="Times New Roman" w:hAnsi="Times New Roman"/>
                    </w:rPr>
                    <w: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2</w:t>
                  </w:r>
                </w:p>
              </w:tc>
              <w:tc>
                <w:tcPr>
                  <w:tcW w:w="533" w:type="pct"/>
                  <w:vAlign w:val="center"/>
                </w:tcPr>
                <w:p>
                  <w:pPr>
                    <w:adjustRightInd w:val="0"/>
                    <w:snapToGrid w:val="0"/>
                    <w:jc w:val="center"/>
                    <w:rPr>
                      <w:rFonts w:ascii="Times New Roman" w:hAnsi="Times New Roman"/>
                    </w:rPr>
                  </w:pPr>
                  <w:r>
                    <w:rPr>
                      <w:rFonts w:hint="eastAsia" w:ascii="Times New Roman" w:hAnsi="Times New Roman"/>
                    </w:rPr>
                    <w:t>玻璃</w:t>
                  </w:r>
                  <w:r>
                    <w:rPr>
                      <w:rFonts w:ascii="Times New Roman" w:hAnsi="Times New Roman"/>
                    </w:rPr>
                    <w:t>保护</w:t>
                  </w:r>
                  <w:r>
                    <w:rPr>
                      <w:rFonts w:hint="eastAsia" w:ascii="Times New Roman" w:hAnsi="Times New Roman"/>
                    </w:rPr>
                    <w:t>液</w:t>
                  </w:r>
                </w:p>
              </w:tc>
              <w:tc>
                <w:tcPr>
                  <w:tcW w:w="703" w:type="pct"/>
                  <w:vAlign w:val="center"/>
                </w:tcPr>
                <w:p>
                  <w:pPr>
                    <w:jc w:val="center"/>
                    <w:textAlignment w:val="baseline"/>
                    <w:rPr>
                      <w:rFonts w:ascii="Times New Roman" w:hAnsi="Times New Roman"/>
                      <w:lang w:val="en-US" w:bidi="ar-SA"/>
                    </w:rPr>
                  </w:pPr>
                  <w:r>
                    <w:rPr>
                      <w:rFonts w:ascii="Times New Roman" w:hAnsi="Times New Roman"/>
                    </w:rPr>
                    <w:t>桶装</w:t>
                  </w:r>
                </w:p>
              </w:tc>
              <w:tc>
                <w:tcPr>
                  <w:tcW w:w="504" w:type="pct"/>
                  <w:vAlign w:val="center"/>
                </w:tcPr>
                <w:p>
                  <w:pPr>
                    <w:jc w:val="center"/>
                    <w:textAlignment w:val="baseline"/>
                    <w:rPr>
                      <w:rFonts w:ascii="Times New Roman" w:hAnsi="Times New Roman"/>
                      <w:lang w:val="en-US" w:bidi="ar-SA"/>
                    </w:rPr>
                  </w:pPr>
                  <w:r>
                    <w:rPr>
                      <w:rFonts w:ascii="Times New Roman" w:hAnsi="Times New Roman"/>
                    </w:rPr>
                    <w:t>2</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lang w:val="en-US" w:bidi="ar-SA"/>
                    </w:rPr>
                  </w:pPr>
                  <w:r>
                    <w:rPr>
                      <w:rFonts w:ascii="Times New Roman" w:hAnsi="Times New Roman"/>
                    </w:rPr>
                    <w:t>0.</w:t>
                  </w:r>
                  <w:r>
                    <w:rPr>
                      <w:rFonts w:ascii="Times New Roman" w:hAnsi="Times New Roman"/>
                      <w:lang w:val="en-US"/>
                    </w:rPr>
                    <w:t>2</w:t>
                  </w:r>
                </w:p>
              </w:tc>
              <w:tc>
                <w:tcPr>
                  <w:tcW w:w="671" w:type="pct"/>
                  <w:vAlign w:val="center"/>
                </w:tcPr>
                <w:p>
                  <w:pPr>
                    <w:jc w:val="center"/>
                    <w:textAlignment w:val="baseline"/>
                    <w:rPr>
                      <w:rFonts w:ascii="Times New Roman" w:hAnsi="Times New Roman"/>
                      <w:lang w:val="en-US" w:bidi="ar-SA"/>
                    </w:rPr>
                  </w:pPr>
                  <w:r>
                    <w:rPr>
                      <w:rFonts w:ascii="Times New Roman" w:hAnsi="Times New Roman"/>
                    </w:rPr>
                    <w:t>化学品仓</w:t>
                  </w:r>
                </w:p>
              </w:tc>
              <w:tc>
                <w:tcPr>
                  <w:tcW w:w="1199" w:type="pct"/>
                  <w:vAlign w:val="center"/>
                </w:tcPr>
                <w:p>
                  <w:pPr>
                    <w:jc w:val="center"/>
                    <w:textAlignment w:val="baseline"/>
                    <w:rPr>
                      <w:rFonts w:ascii="Times New Roman" w:hAnsi="Times New Roman"/>
                      <w:lang w:val="en-US" w:bidi="ar-SA"/>
                    </w:rPr>
                  </w:pPr>
                  <w:r>
                    <w:rPr>
                      <w:rFonts w:ascii="Times New Roman" w:hAnsi="Times New Roman"/>
                    </w:rPr>
                    <w:t>防止玻璃划伤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3</w:t>
                  </w:r>
                </w:p>
              </w:tc>
              <w:tc>
                <w:tcPr>
                  <w:tcW w:w="533" w:type="pct"/>
                  <w:vAlign w:val="center"/>
                </w:tcPr>
                <w:p>
                  <w:pPr>
                    <w:adjustRightInd w:val="0"/>
                    <w:snapToGrid w:val="0"/>
                    <w:jc w:val="center"/>
                    <w:rPr>
                      <w:rFonts w:ascii="Times New Roman" w:hAnsi="Times New Roman"/>
                    </w:rPr>
                  </w:pPr>
                  <w:r>
                    <w:rPr>
                      <w:rFonts w:ascii="Times New Roman" w:hAnsi="Times New Roman"/>
                    </w:rPr>
                    <w:t>切削液</w:t>
                  </w:r>
                </w:p>
              </w:tc>
              <w:tc>
                <w:tcPr>
                  <w:tcW w:w="703" w:type="pct"/>
                  <w:vAlign w:val="center"/>
                </w:tcPr>
                <w:p>
                  <w:pPr>
                    <w:jc w:val="center"/>
                    <w:textAlignment w:val="baseline"/>
                    <w:rPr>
                      <w:rFonts w:ascii="Times New Roman" w:hAnsi="Times New Roman"/>
                      <w:lang w:val="en-US" w:bidi="ar-SA"/>
                    </w:rPr>
                  </w:pPr>
                  <w:r>
                    <w:rPr>
                      <w:rFonts w:ascii="Times New Roman" w:hAnsi="Times New Roman"/>
                    </w:rPr>
                    <w:t>桶装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rPr>
                    <w:t>8</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rPr>
                    <w:t>0.5</w:t>
                  </w:r>
                </w:p>
              </w:tc>
              <w:tc>
                <w:tcPr>
                  <w:tcW w:w="671" w:type="pct"/>
                  <w:vAlign w:val="center"/>
                </w:tcPr>
                <w:p>
                  <w:pPr>
                    <w:jc w:val="center"/>
                    <w:textAlignment w:val="baseline"/>
                    <w:rPr>
                      <w:rFonts w:ascii="Times New Roman" w:hAnsi="Times New Roman"/>
                      <w:lang w:val="en-US" w:bidi="ar-SA"/>
                    </w:rPr>
                  </w:pPr>
                  <w:r>
                    <w:rPr>
                      <w:rFonts w:ascii="Times New Roman" w:hAnsi="Times New Roman"/>
                    </w:rPr>
                    <w:t>化学品仓/CNC车间</w:t>
                  </w:r>
                </w:p>
              </w:tc>
              <w:tc>
                <w:tcPr>
                  <w:tcW w:w="1199" w:type="pct"/>
                  <w:vAlign w:val="center"/>
                </w:tcPr>
                <w:p>
                  <w:pPr>
                    <w:jc w:val="center"/>
                    <w:textAlignment w:val="baseline"/>
                    <w:rPr>
                      <w:rFonts w:ascii="Times New Roman" w:hAnsi="Times New Roman"/>
                      <w:lang w:val="en-US" w:bidi="ar-SA"/>
                    </w:rPr>
                  </w:pPr>
                  <w:r>
                    <w:rPr>
                      <w:rFonts w:ascii="Times New Roman" w:hAnsi="Times New Roman"/>
                    </w:rPr>
                    <w:t>润滑和冷却玻璃在CNC加工过程中产生的热量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4</w:t>
                  </w:r>
                </w:p>
              </w:tc>
              <w:tc>
                <w:tcPr>
                  <w:tcW w:w="533" w:type="pct"/>
                  <w:vAlign w:val="center"/>
                </w:tcPr>
                <w:p>
                  <w:pPr>
                    <w:adjustRightInd w:val="0"/>
                    <w:snapToGrid w:val="0"/>
                    <w:jc w:val="center"/>
                    <w:rPr>
                      <w:rFonts w:ascii="Times New Roman" w:hAnsi="Times New Roman"/>
                    </w:rPr>
                  </w:pPr>
                  <w:r>
                    <w:rPr>
                      <w:rFonts w:ascii="Times New Roman" w:hAnsi="Times New Roman"/>
                    </w:rPr>
                    <w:t>金刚石磨头</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盒装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lang w:val="en-US"/>
                    </w:rPr>
                    <w:t>4500</w:t>
                  </w:r>
                </w:p>
              </w:tc>
              <w:tc>
                <w:tcPr>
                  <w:tcW w:w="504" w:type="pct"/>
                  <w:vAlign w:val="center"/>
                </w:tcPr>
                <w:p>
                  <w:pPr>
                    <w:jc w:val="center"/>
                    <w:rPr>
                      <w:rFonts w:ascii="Times New Roman" w:hAnsi="Times New Roman"/>
                      <w:lang w:val="en-US"/>
                    </w:rPr>
                  </w:pPr>
                  <w:r>
                    <w:rPr>
                      <w:rFonts w:ascii="Times New Roman" w:hAnsi="Times New Roman"/>
                      <w:lang w:val="en-US"/>
                    </w:rPr>
                    <w:t>支/年</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500</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仓库/CNC车间</w:t>
                  </w:r>
                </w:p>
              </w:tc>
              <w:tc>
                <w:tcPr>
                  <w:tcW w:w="1199" w:type="pct"/>
                  <w:vAlign w:val="center"/>
                </w:tcPr>
                <w:p>
                  <w:pPr>
                    <w:jc w:val="center"/>
                    <w:textAlignment w:val="baseline"/>
                    <w:rPr>
                      <w:rFonts w:ascii="Times New Roman" w:hAnsi="Times New Roman"/>
                      <w:kern w:val="2"/>
                      <w:lang w:val="en-US" w:bidi="ar-SA"/>
                    </w:rPr>
                  </w:pPr>
                  <w:r>
                    <w:rPr>
                      <w:rFonts w:ascii="Times New Roman" w:hAnsi="Times New Roman"/>
                    </w:rPr>
                    <w:t>CNC加工玻璃时磨边及打孔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5</w:t>
                  </w:r>
                </w:p>
              </w:tc>
              <w:tc>
                <w:tcPr>
                  <w:tcW w:w="533" w:type="pct"/>
                  <w:vAlign w:val="center"/>
                </w:tcPr>
                <w:p>
                  <w:pPr>
                    <w:adjustRightInd w:val="0"/>
                    <w:snapToGrid w:val="0"/>
                    <w:jc w:val="center"/>
                    <w:rPr>
                      <w:rFonts w:ascii="Times New Roman" w:hAnsi="Times New Roman"/>
                    </w:rPr>
                  </w:pPr>
                  <w:r>
                    <w:rPr>
                      <w:rFonts w:ascii="Times New Roman" w:hAnsi="Times New Roman"/>
                    </w:rPr>
                    <w:t>硝酸钾</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袋装（内袋为塑料袋）</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lang w:val="en-US"/>
                    </w:rPr>
                    <w:t>15</w:t>
                  </w:r>
                </w:p>
              </w:tc>
              <w:tc>
                <w:tcPr>
                  <w:tcW w:w="504" w:type="pct"/>
                  <w:vAlign w:val="center"/>
                </w:tcPr>
                <w:p>
                  <w:pPr>
                    <w:jc w:val="center"/>
                    <w:rPr>
                      <w:rFonts w:ascii="Times New Roman" w:hAnsi="Times New Roman"/>
                      <w:lang w:val="en-US"/>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3</w:t>
                  </w:r>
                </w:p>
              </w:tc>
              <w:tc>
                <w:tcPr>
                  <w:tcW w:w="671" w:type="pct"/>
                  <w:vAlign w:val="center"/>
                </w:tcPr>
                <w:p>
                  <w:pPr>
                    <w:jc w:val="center"/>
                    <w:textAlignment w:val="baseline"/>
                    <w:rPr>
                      <w:rFonts w:ascii="Times New Roman" w:hAnsi="Times New Roman"/>
                      <w:kern w:val="2"/>
                      <w:szCs w:val="24"/>
                      <w:lang w:val="en-US" w:bidi="ar-SA"/>
                    </w:rPr>
                  </w:pPr>
                  <w:r>
                    <w:rPr>
                      <w:rFonts w:ascii="Times New Roman" w:hAnsi="Times New Roman"/>
                    </w:rPr>
                    <w:t>化学品仓/钢化车间</w:t>
                  </w:r>
                </w:p>
              </w:tc>
              <w:tc>
                <w:tcPr>
                  <w:tcW w:w="1199" w:type="pct"/>
                  <w:vAlign w:val="center"/>
                </w:tcPr>
                <w:p>
                  <w:pPr>
                    <w:jc w:val="center"/>
                    <w:textAlignment w:val="baseline"/>
                    <w:rPr>
                      <w:rFonts w:ascii="Times New Roman" w:hAnsi="Times New Roman"/>
                      <w:kern w:val="2"/>
                      <w:lang w:val="en-US" w:bidi="ar-SA"/>
                    </w:rPr>
                  </w:pPr>
                  <w:r>
                    <w:rPr>
                      <w:rFonts w:ascii="Times New Roman" w:hAnsi="Times New Roman"/>
                    </w:rPr>
                    <w:t>在钢化炉里熔融成液态，在高温作用下和玻璃表层反应生产应力层，使玻璃在使用过程中不易碎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6</w:t>
                  </w:r>
                </w:p>
              </w:tc>
              <w:tc>
                <w:tcPr>
                  <w:tcW w:w="533" w:type="pct"/>
                  <w:vAlign w:val="center"/>
                </w:tcPr>
                <w:p>
                  <w:pPr>
                    <w:adjustRightInd w:val="0"/>
                    <w:snapToGrid w:val="0"/>
                    <w:jc w:val="center"/>
                    <w:rPr>
                      <w:rFonts w:ascii="Times New Roman" w:hAnsi="Times New Roman"/>
                    </w:rPr>
                  </w:pPr>
                  <w:r>
                    <w:rPr>
                      <w:rFonts w:ascii="Times New Roman" w:hAnsi="Times New Roman"/>
                      <w:bCs/>
                    </w:rPr>
                    <w:t>网印油墨</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罐装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lang w:val="en-US"/>
                    </w:rPr>
                    <w:t>0.8</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0.02</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化学品仓/丝印车间</w:t>
                  </w:r>
                </w:p>
              </w:tc>
              <w:tc>
                <w:tcPr>
                  <w:tcW w:w="1199" w:type="pct"/>
                  <w:vAlign w:val="center"/>
                </w:tcPr>
                <w:p>
                  <w:pPr>
                    <w:jc w:val="center"/>
                    <w:textAlignment w:val="baseline"/>
                    <w:rPr>
                      <w:rFonts w:ascii="Times New Roman" w:hAnsi="Times New Roman"/>
                      <w:kern w:val="2"/>
                      <w:lang w:val="en-US" w:bidi="ar-SA"/>
                    </w:rPr>
                  </w:pPr>
                  <w:r>
                    <w:rPr>
                      <w:rFonts w:ascii="Times New Roman" w:hAnsi="Times New Roman"/>
                    </w:rPr>
                    <w:t>在玻璃表层印刷，遮盖玻璃以下的东西，使从玻璃表面视觉效果好（达到设计需求）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7</w:t>
                  </w:r>
                </w:p>
              </w:tc>
              <w:tc>
                <w:tcPr>
                  <w:tcW w:w="533" w:type="pct"/>
                  <w:vAlign w:val="center"/>
                </w:tcPr>
                <w:p>
                  <w:pPr>
                    <w:adjustRightInd w:val="0"/>
                    <w:snapToGrid w:val="0"/>
                    <w:jc w:val="center"/>
                    <w:rPr>
                      <w:rFonts w:ascii="Times New Roman" w:hAnsi="Times New Roman"/>
                    </w:rPr>
                  </w:pPr>
                  <w:r>
                    <w:rPr>
                      <w:rFonts w:ascii="Times New Roman" w:hAnsi="Times New Roman"/>
                      <w:bCs/>
                    </w:rPr>
                    <w:t>UV油墨</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罐装</w:t>
                  </w:r>
                </w:p>
              </w:tc>
              <w:tc>
                <w:tcPr>
                  <w:tcW w:w="504" w:type="pct"/>
                  <w:vAlign w:val="center"/>
                </w:tcPr>
                <w:p>
                  <w:pPr>
                    <w:jc w:val="center"/>
                    <w:textAlignment w:val="baseline"/>
                    <w:rPr>
                      <w:rFonts w:ascii="Times New Roman" w:hAnsi="Times New Roman"/>
                      <w:kern w:val="2"/>
                      <w:lang w:val="en-US" w:bidi="ar-SA"/>
                    </w:rPr>
                  </w:pPr>
                  <w:r>
                    <w:rPr>
                      <w:rFonts w:hint="eastAsia" w:ascii="Times New Roman" w:hAnsi="Times New Roman"/>
                      <w:lang w:val="en-US"/>
                    </w:rPr>
                    <w:t>0</w:t>
                  </w:r>
                  <w:r>
                    <w:rPr>
                      <w:rFonts w:ascii="Times New Roman" w:hAnsi="Times New Roman"/>
                      <w:lang w:val="en-US"/>
                    </w:rPr>
                    <w:t>.2</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0.02</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化学品仓/</w:t>
                  </w:r>
                  <w:r>
                    <w:rPr>
                      <w:rFonts w:hint="eastAsia" w:ascii="Times New Roman" w:hAnsi="Times New Roman"/>
                    </w:rPr>
                    <w:t>印刷</w:t>
                  </w:r>
                  <w:r>
                    <w:rPr>
                      <w:rFonts w:ascii="Times New Roman" w:hAnsi="Times New Roman"/>
                    </w:rPr>
                    <w:t>车间</w:t>
                  </w:r>
                </w:p>
              </w:tc>
              <w:tc>
                <w:tcPr>
                  <w:tcW w:w="1199" w:type="pct"/>
                  <w:vAlign w:val="center"/>
                </w:tcPr>
                <w:p>
                  <w:pPr>
                    <w:jc w:val="center"/>
                    <w:textAlignment w:val="baseline"/>
                    <w:rPr>
                      <w:rFonts w:ascii="Times New Roman" w:hAnsi="Times New Roman"/>
                      <w:kern w:val="2"/>
                      <w:lang w:val="en-US" w:bidi="ar-SA"/>
                    </w:rPr>
                  </w:pPr>
                  <w:r>
                    <w:rPr>
                      <w:rFonts w:ascii="Times New Roman" w:hAnsi="Times New Roman"/>
                    </w:rPr>
                    <w:t>在玻璃表层印刷，遮盖玻璃以下的东西，使从玻璃表面视觉效果好（达到设计需求）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8</w:t>
                  </w:r>
                </w:p>
              </w:tc>
              <w:tc>
                <w:tcPr>
                  <w:tcW w:w="533" w:type="pct"/>
                  <w:vAlign w:val="center"/>
                </w:tcPr>
                <w:p>
                  <w:pPr>
                    <w:adjustRightInd w:val="0"/>
                    <w:snapToGrid w:val="0"/>
                    <w:jc w:val="center"/>
                    <w:rPr>
                      <w:rFonts w:ascii="Times New Roman" w:hAnsi="Times New Roman"/>
                      <w:bCs/>
                    </w:rPr>
                  </w:pPr>
                  <w:r>
                    <w:rPr>
                      <w:rFonts w:ascii="Times New Roman" w:hAnsi="Times New Roman"/>
                      <w:bCs/>
                    </w:rPr>
                    <w:t>清洗剂</w:t>
                  </w:r>
                </w:p>
              </w:tc>
              <w:tc>
                <w:tcPr>
                  <w:tcW w:w="703" w:type="pct"/>
                  <w:vAlign w:val="center"/>
                </w:tcPr>
                <w:p>
                  <w:pPr>
                    <w:jc w:val="center"/>
                    <w:textAlignment w:val="baseline"/>
                    <w:rPr>
                      <w:rFonts w:ascii="Times New Roman" w:hAnsi="Times New Roman"/>
                    </w:rPr>
                  </w:pPr>
                  <w:r>
                    <w:rPr>
                      <w:rFonts w:ascii="Times New Roman" w:hAnsi="Times New Roman"/>
                    </w:rPr>
                    <w:t>桶装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9</w:t>
                  </w:r>
                </w:p>
              </w:tc>
              <w:tc>
                <w:tcPr>
                  <w:tcW w:w="504" w:type="pct"/>
                  <w:vAlign w:val="center"/>
                </w:tcPr>
                <w:p>
                  <w:pPr>
                    <w:jc w:val="center"/>
                    <w:rPr>
                      <w:rFonts w:ascii="Times New Roman" w:hAnsi="Times New Roman"/>
                      <w:lang w:val="en-US"/>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1</w:t>
                  </w:r>
                </w:p>
              </w:tc>
              <w:tc>
                <w:tcPr>
                  <w:tcW w:w="671" w:type="pct"/>
                  <w:vAlign w:val="center"/>
                </w:tcPr>
                <w:p>
                  <w:pPr>
                    <w:jc w:val="center"/>
                    <w:textAlignment w:val="baseline"/>
                    <w:rPr>
                      <w:rFonts w:ascii="Times New Roman" w:hAnsi="Times New Roman"/>
                    </w:rPr>
                  </w:pPr>
                  <w:r>
                    <w:rPr>
                      <w:rFonts w:ascii="Times New Roman" w:hAnsi="Times New Roman"/>
                    </w:rPr>
                    <w:t>化学品仓/清洗车间</w:t>
                  </w:r>
                </w:p>
              </w:tc>
              <w:tc>
                <w:tcPr>
                  <w:tcW w:w="1199" w:type="pct"/>
                  <w:vAlign w:val="center"/>
                </w:tcPr>
                <w:p>
                  <w:pPr>
                    <w:jc w:val="center"/>
                    <w:textAlignment w:val="baseline"/>
                    <w:rPr>
                      <w:rFonts w:ascii="Times New Roman" w:hAnsi="Times New Roman"/>
                    </w:rPr>
                  </w:pPr>
                  <w:r>
                    <w:rPr>
                      <w:rFonts w:ascii="Times New Roman" w:hAnsi="Times New Roman"/>
                    </w:rPr>
                    <w:t>清洗玻璃上的脏污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9</w:t>
                  </w:r>
                </w:p>
              </w:tc>
              <w:tc>
                <w:tcPr>
                  <w:tcW w:w="533" w:type="pct"/>
                  <w:vAlign w:val="center"/>
                </w:tcPr>
                <w:p>
                  <w:pPr>
                    <w:jc w:val="center"/>
                    <w:rPr>
                      <w:rFonts w:ascii="Times New Roman" w:hAnsi="Times New Roman"/>
                      <w:bCs/>
                      <w:kern w:val="2"/>
                      <w:lang w:val="en-US" w:bidi="ar-SA"/>
                    </w:rPr>
                  </w:pPr>
                  <w:r>
                    <w:rPr>
                      <w:rFonts w:ascii="Times New Roman" w:hAnsi="Times New Roman"/>
                      <w:bCs/>
                    </w:rPr>
                    <w:t>网板</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外购（不在厂内制版）</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rPr>
                    <w:t>1200</w:t>
                  </w:r>
                </w:p>
              </w:tc>
              <w:tc>
                <w:tcPr>
                  <w:tcW w:w="504" w:type="pct"/>
                  <w:vAlign w:val="center"/>
                </w:tcPr>
                <w:p>
                  <w:pPr>
                    <w:jc w:val="center"/>
                    <w:rPr>
                      <w:rFonts w:ascii="Times New Roman" w:hAnsi="Times New Roman"/>
                      <w:lang w:val="en-US"/>
                    </w:rPr>
                  </w:pPr>
                  <w:r>
                    <w:rPr>
                      <w:rFonts w:ascii="Times New Roman" w:hAnsi="Times New Roman"/>
                      <w:lang w:val="en-US"/>
                    </w:rPr>
                    <w:t>块/年</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lang w:val="en-US"/>
                    </w:rPr>
                    <w:t>200</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仓库/丝印车间</w:t>
                  </w:r>
                </w:p>
              </w:tc>
              <w:tc>
                <w:tcPr>
                  <w:tcW w:w="1199" w:type="pct"/>
                  <w:vAlign w:val="center"/>
                </w:tcPr>
                <w:p>
                  <w:pPr>
                    <w:jc w:val="both"/>
                    <w:rPr>
                      <w:rFonts w:ascii="Times New Roman" w:hAnsi="Times New Roman"/>
                    </w:rPr>
                  </w:pPr>
                  <w:r>
                    <w:rPr>
                      <w:rFonts w:ascii="Times New Roman" w:hAnsi="Times New Roman"/>
                    </w:rPr>
                    <w:t>油墨和玻璃结合的介质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10</w:t>
                  </w:r>
                </w:p>
              </w:tc>
              <w:tc>
                <w:tcPr>
                  <w:tcW w:w="533" w:type="pct"/>
                  <w:vAlign w:val="center"/>
                </w:tcPr>
                <w:p>
                  <w:pPr>
                    <w:jc w:val="center"/>
                    <w:rPr>
                      <w:rFonts w:ascii="Times New Roman" w:hAnsi="Times New Roman"/>
                      <w:bCs/>
                      <w:kern w:val="2"/>
                      <w:lang w:val="en-US" w:bidi="ar-SA"/>
                    </w:rPr>
                  </w:pPr>
                  <w:r>
                    <w:rPr>
                      <w:rFonts w:ascii="Times New Roman" w:hAnsi="Times New Roman"/>
                      <w:bCs/>
                    </w:rPr>
                    <w:t>酒精</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lang w:val="en-US"/>
                    </w:rPr>
                    <w:t>瓶装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0.5</w:t>
                  </w:r>
                </w:p>
              </w:tc>
              <w:tc>
                <w:tcPr>
                  <w:tcW w:w="504" w:type="pct"/>
                  <w:vAlign w:val="center"/>
                </w:tcPr>
                <w:p>
                  <w:pPr>
                    <w:jc w:val="center"/>
                    <w:rPr>
                      <w:rFonts w:ascii="Times New Roman" w:hAnsi="Times New Roman"/>
                      <w:lang w:val="en-US"/>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0.05</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化学品仓/检验车间</w:t>
                  </w:r>
                </w:p>
              </w:tc>
              <w:tc>
                <w:tcPr>
                  <w:tcW w:w="1199" w:type="pct"/>
                  <w:vAlign w:val="center"/>
                </w:tcPr>
                <w:p>
                  <w:pPr>
                    <w:jc w:val="center"/>
                    <w:rPr>
                      <w:rFonts w:ascii="Times New Roman" w:hAnsi="Times New Roman"/>
                    </w:rPr>
                  </w:pPr>
                  <w:r>
                    <w:rPr>
                      <w:rFonts w:ascii="Times New Roman" w:hAnsi="Times New Roman"/>
                    </w:rPr>
                    <w:t>擦拭清洁玻璃表面的脏污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11</w:t>
                  </w:r>
                </w:p>
              </w:tc>
              <w:tc>
                <w:tcPr>
                  <w:tcW w:w="533" w:type="pct"/>
                  <w:vAlign w:val="center"/>
                </w:tcPr>
                <w:p>
                  <w:pPr>
                    <w:jc w:val="center"/>
                    <w:rPr>
                      <w:rFonts w:ascii="Times New Roman" w:hAnsi="Times New Roman"/>
                      <w:bCs/>
                      <w:kern w:val="2"/>
                      <w:lang w:val="en-US" w:bidi="ar-SA"/>
                    </w:rPr>
                  </w:pPr>
                  <w:r>
                    <w:rPr>
                      <w:rFonts w:ascii="Times New Roman" w:hAnsi="Times New Roman"/>
                      <w:bCs/>
                    </w:rPr>
                    <w:t>洗网水</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lang w:val="en-US"/>
                    </w:rPr>
                    <w:t>瓶装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lang w:val="en-US"/>
                    </w:rPr>
                    <w:t>0.1</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0.03</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化学品仓/丝印车间</w:t>
                  </w:r>
                </w:p>
              </w:tc>
              <w:tc>
                <w:tcPr>
                  <w:tcW w:w="1199" w:type="pct"/>
                  <w:vAlign w:val="center"/>
                </w:tcPr>
                <w:p>
                  <w:pPr>
                    <w:jc w:val="center"/>
                    <w:textAlignment w:val="baseline"/>
                    <w:rPr>
                      <w:rFonts w:ascii="Times New Roman" w:hAnsi="Times New Roman"/>
                      <w:kern w:val="2"/>
                      <w:lang w:val="en-US" w:bidi="ar-SA"/>
                    </w:rPr>
                  </w:pPr>
                  <w:r>
                    <w:rPr>
                      <w:rFonts w:ascii="Times New Roman" w:hAnsi="Times New Roman"/>
                    </w:rPr>
                    <w:t>清洁网板上残留的油墨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12</w:t>
                  </w:r>
                </w:p>
              </w:tc>
              <w:tc>
                <w:tcPr>
                  <w:tcW w:w="533" w:type="pct"/>
                  <w:vAlign w:val="center"/>
                </w:tcPr>
                <w:p>
                  <w:pPr>
                    <w:jc w:val="center"/>
                    <w:rPr>
                      <w:rFonts w:ascii="Times New Roman" w:hAnsi="Times New Roman"/>
                      <w:bCs/>
                      <w:kern w:val="2"/>
                      <w:lang w:val="en-US" w:bidi="ar-SA"/>
                    </w:rPr>
                  </w:pPr>
                  <w:r>
                    <w:rPr>
                      <w:rFonts w:ascii="Times New Roman" w:hAnsi="Times New Roman"/>
                      <w:bCs/>
                    </w:rPr>
                    <w:t>无尘布</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袋装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lang w:val="en-US"/>
                    </w:rPr>
                    <w:t>350</w:t>
                  </w:r>
                </w:p>
              </w:tc>
              <w:tc>
                <w:tcPr>
                  <w:tcW w:w="504" w:type="pct"/>
                  <w:vAlign w:val="center"/>
                </w:tcPr>
                <w:p>
                  <w:pPr>
                    <w:jc w:val="center"/>
                    <w:rPr>
                      <w:rFonts w:ascii="Times New Roman" w:hAnsi="Times New Roman"/>
                    </w:rPr>
                  </w:pPr>
                  <w:r>
                    <w:rPr>
                      <w:rFonts w:ascii="Times New Roman" w:hAnsi="Times New Roman"/>
                      <w:lang w:val="en-US"/>
                    </w:rPr>
                    <w:t>包/年</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10</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仓库/各车间</w:t>
                  </w:r>
                </w:p>
              </w:tc>
              <w:tc>
                <w:tcPr>
                  <w:tcW w:w="1199" w:type="pct"/>
                  <w:vAlign w:val="center"/>
                </w:tcPr>
                <w:p>
                  <w:pPr>
                    <w:jc w:val="center"/>
                    <w:textAlignment w:val="baseline"/>
                    <w:rPr>
                      <w:rFonts w:ascii="Times New Roman" w:hAnsi="Times New Roman"/>
                      <w:kern w:val="2"/>
                      <w:lang w:val="en-US" w:bidi="ar-SA"/>
                    </w:rPr>
                  </w:pPr>
                  <w:r>
                    <w:rPr>
                      <w:rFonts w:ascii="Times New Roman" w:hAnsi="Times New Roman"/>
                    </w:rPr>
                    <w:t>擦拭清洁玻璃表面的脏污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13</w:t>
                  </w:r>
                </w:p>
              </w:tc>
              <w:tc>
                <w:tcPr>
                  <w:tcW w:w="533" w:type="pct"/>
                  <w:vAlign w:val="center"/>
                </w:tcPr>
                <w:p>
                  <w:pPr>
                    <w:jc w:val="center"/>
                    <w:rPr>
                      <w:rFonts w:ascii="Times New Roman" w:hAnsi="Times New Roman"/>
                      <w:bCs/>
                      <w:kern w:val="2"/>
                      <w:lang w:val="en-US" w:bidi="ar-SA"/>
                    </w:rPr>
                  </w:pPr>
                  <w:r>
                    <w:rPr>
                      <w:rFonts w:ascii="Times New Roman" w:hAnsi="Times New Roman"/>
                      <w:bCs/>
                    </w:rPr>
                    <w:t>二氧化硅AG</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桶装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rPr>
                    <w:t>0.95</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lang w:val="en-US"/>
                    </w:rPr>
                    <w:t>0.08</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化学品仓/镀膜车间</w:t>
                  </w:r>
                </w:p>
              </w:tc>
              <w:tc>
                <w:tcPr>
                  <w:tcW w:w="1199" w:type="pct"/>
                  <w:vAlign w:val="center"/>
                </w:tcPr>
                <w:p>
                  <w:pPr>
                    <w:jc w:val="center"/>
                    <w:rPr>
                      <w:rFonts w:ascii="Times New Roman" w:hAnsi="Times New Roman"/>
                    </w:rPr>
                  </w:pPr>
                  <w:r>
                    <w:rPr>
                      <w:rFonts w:ascii="Times New Roman" w:hAnsi="Times New Roman"/>
                    </w:rPr>
                    <w:t>使玻璃防眩光，减小反射率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14</w:t>
                  </w:r>
                </w:p>
              </w:tc>
              <w:tc>
                <w:tcPr>
                  <w:tcW w:w="533" w:type="pct"/>
                  <w:vAlign w:val="center"/>
                </w:tcPr>
                <w:p>
                  <w:pPr>
                    <w:jc w:val="center"/>
                    <w:rPr>
                      <w:rFonts w:ascii="Times New Roman" w:hAnsi="Times New Roman"/>
                      <w:bCs/>
                    </w:rPr>
                  </w:pPr>
                  <w:r>
                    <w:rPr>
                      <w:rFonts w:ascii="Times New Roman" w:hAnsi="Times New Roman"/>
                      <w:bCs/>
                    </w:rPr>
                    <w:t>全氟聚醚AF</w:t>
                  </w:r>
                </w:p>
              </w:tc>
              <w:tc>
                <w:tcPr>
                  <w:tcW w:w="703" w:type="pct"/>
                  <w:vAlign w:val="center"/>
                </w:tcPr>
                <w:p>
                  <w:pPr>
                    <w:jc w:val="center"/>
                    <w:textAlignment w:val="baseline"/>
                    <w:rPr>
                      <w:rFonts w:ascii="Times New Roman" w:hAnsi="Times New Roman"/>
                    </w:rPr>
                  </w:pPr>
                  <w:r>
                    <w:rPr>
                      <w:rFonts w:ascii="Times New Roman" w:hAnsi="Times New Roman"/>
                    </w:rPr>
                    <w:t>桶装</w:t>
                  </w:r>
                </w:p>
              </w:tc>
              <w:tc>
                <w:tcPr>
                  <w:tcW w:w="504" w:type="pct"/>
                  <w:vAlign w:val="center"/>
                </w:tcPr>
                <w:p>
                  <w:pPr>
                    <w:jc w:val="center"/>
                    <w:textAlignment w:val="baseline"/>
                    <w:rPr>
                      <w:rFonts w:ascii="Times New Roman" w:hAnsi="Times New Roman"/>
                    </w:rPr>
                  </w:pPr>
                  <w:r>
                    <w:rPr>
                      <w:rFonts w:ascii="Times New Roman" w:hAnsi="Times New Roman"/>
                    </w:rPr>
                    <w:t>0.8</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lang w:val="en-US"/>
                    </w:rPr>
                  </w:pPr>
                  <w:r>
                    <w:rPr>
                      <w:rFonts w:ascii="Times New Roman" w:hAnsi="Times New Roman"/>
                      <w:lang w:val="en-US"/>
                    </w:rPr>
                    <w:t>0.2</w:t>
                  </w:r>
                </w:p>
              </w:tc>
              <w:tc>
                <w:tcPr>
                  <w:tcW w:w="671" w:type="pct"/>
                  <w:vAlign w:val="center"/>
                </w:tcPr>
                <w:p>
                  <w:pPr>
                    <w:jc w:val="center"/>
                    <w:textAlignment w:val="baseline"/>
                    <w:rPr>
                      <w:rFonts w:ascii="Times New Roman" w:hAnsi="Times New Roman"/>
                    </w:rPr>
                  </w:pPr>
                  <w:r>
                    <w:rPr>
                      <w:rFonts w:ascii="Times New Roman" w:hAnsi="Times New Roman"/>
                    </w:rPr>
                    <w:t>化学品仓/镀膜车间</w:t>
                  </w:r>
                </w:p>
              </w:tc>
              <w:tc>
                <w:tcPr>
                  <w:tcW w:w="1199" w:type="pct"/>
                  <w:vAlign w:val="center"/>
                </w:tcPr>
                <w:p>
                  <w:pPr>
                    <w:jc w:val="center"/>
                    <w:rPr>
                      <w:rFonts w:ascii="Times New Roman" w:hAnsi="Times New Roman"/>
                    </w:rPr>
                  </w:pPr>
                  <w:r>
                    <w:rPr>
                      <w:rFonts w:ascii="Times New Roman" w:hAnsi="Times New Roman"/>
                    </w:rPr>
                    <w:t>使玻璃抗指纹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15</w:t>
                  </w:r>
                </w:p>
              </w:tc>
              <w:tc>
                <w:tcPr>
                  <w:tcW w:w="533" w:type="pct"/>
                  <w:vAlign w:val="center"/>
                </w:tcPr>
                <w:p>
                  <w:pPr>
                    <w:jc w:val="center"/>
                    <w:rPr>
                      <w:rFonts w:ascii="Times New Roman" w:hAnsi="Times New Roman"/>
                      <w:bCs/>
                      <w:kern w:val="2"/>
                      <w:lang w:val="en-US" w:bidi="ar-SA"/>
                    </w:rPr>
                  </w:pPr>
                  <w:r>
                    <w:rPr>
                      <w:rFonts w:ascii="Times New Roman" w:hAnsi="Times New Roman"/>
                      <w:bCs/>
                    </w:rPr>
                    <w:t>氧化钛</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袋装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rPr>
                    <w:t>0.18</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0.01</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化学品仓/镀膜车间</w:t>
                  </w:r>
                </w:p>
              </w:tc>
              <w:tc>
                <w:tcPr>
                  <w:tcW w:w="1199" w:type="pct"/>
                  <w:vAlign w:val="center"/>
                </w:tcPr>
                <w:p>
                  <w:pPr>
                    <w:jc w:val="center"/>
                    <w:rPr>
                      <w:rFonts w:ascii="Times New Roman" w:hAnsi="Times New Roman"/>
                    </w:rPr>
                  </w:pPr>
                  <w:r>
                    <w:rPr>
                      <w:rFonts w:ascii="Times New Roman" w:hAnsi="Times New Roman"/>
                    </w:rPr>
                    <w:t>使玻璃增透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16</w:t>
                  </w:r>
                </w:p>
              </w:tc>
              <w:tc>
                <w:tcPr>
                  <w:tcW w:w="533" w:type="pct"/>
                  <w:vAlign w:val="center"/>
                </w:tcPr>
                <w:p>
                  <w:pPr>
                    <w:jc w:val="center"/>
                    <w:rPr>
                      <w:rFonts w:ascii="Times New Roman" w:hAnsi="Times New Roman"/>
                      <w:bCs/>
                      <w:kern w:val="2"/>
                      <w:lang w:val="en-US" w:bidi="ar-SA"/>
                    </w:rPr>
                  </w:pPr>
                  <w:r>
                    <w:rPr>
                      <w:rFonts w:ascii="Times New Roman" w:hAnsi="Times New Roman"/>
                      <w:bCs/>
                    </w:rPr>
                    <w:t>脱模剂</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瓶装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lang w:val="en-US"/>
                    </w:rPr>
                    <w:t>0.8</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kern w:val="2"/>
                      <w:lang w:val="en-US" w:bidi="ar-SA"/>
                    </w:rPr>
                    <w:t>0.05</w:t>
                  </w:r>
                </w:p>
              </w:tc>
              <w:tc>
                <w:tcPr>
                  <w:tcW w:w="671" w:type="pct"/>
                  <w:vAlign w:val="center"/>
                </w:tcPr>
                <w:p>
                  <w:pPr>
                    <w:jc w:val="center"/>
                    <w:textAlignment w:val="baseline"/>
                    <w:rPr>
                      <w:rFonts w:ascii="Times New Roman" w:hAnsi="Times New Roman"/>
                      <w:lang w:val="en-US" w:bidi="ar-SA"/>
                    </w:rPr>
                  </w:pPr>
                  <w:r>
                    <w:rPr>
                      <w:rFonts w:ascii="Times New Roman" w:hAnsi="Times New Roman"/>
                    </w:rPr>
                    <w:t>仓库</w:t>
                  </w:r>
                </w:p>
              </w:tc>
              <w:tc>
                <w:tcPr>
                  <w:tcW w:w="1199" w:type="pct"/>
                  <w:vAlign w:val="center"/>
                </w:tcPr>
                <w:p>
                  <w:pPr>
                    <w:jc w:val="center"/>
                    <w:rPr>
                      <w:rFonts w:ascii="Times New Roman" w:hAnsi="Times New Roman"/>
                    </w:rPr>
                  </w:pPr>
                  <w:r>
                    <w:rPr>
                      <w:rFonts w:ascii="Times New Roman" w:hAnsi="Times New Roman"/>
                    </w:rPr>
                    <w:t>热弯时使用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17</w:t>
                  </w:r>
                </w:p>
              </w:tc>
              <w:tc>
                <w:tcPr>
                  <w:tcW w:w="533" w:type="pct"/>
                  <w:vAlign w:val="center"/>
                </w:tcPr>
                <w:p>
                  <w:pPr>
                    <w:jc w:val="center"/>
                    <w:rPr>
                      <w:rFonts w:ascii="Times New Roman" w:hAnsi="Times New Roman"/>
                      <w:bCs/>
                      <w:kern w:val="2"/>
                      <w:lang w:val="en-US" w:bidi="ar-SA"/>
                    </w:rPr>
                  </w:pPr>
                  <w:r>
                    <w:rPr>
                      <w:rFonts w:ascii="Times New Roman" w:hAnsi="Times New Roman"/>
                      <w:bCs/>
                    </w:rPr>
                    <w:t>滑石粉</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袋装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rPr>
                    <w:t>0.05</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rPr>
                    <w:t>0.025</w:t>
                  </w:r>
                </w:p>
              </w:tc>
              <w:tc>
                <w:tcPr>
                  <w:tcW w:w="671" w:type="pct"/>
                  <w:vAlign w:val="center"/>
                </w:tcPr>
                <w:p>
                  <w:pPr>
                    <w:jc w:val="center"/>
                    <w:textAlignment w:val="baseline"/>
                    <w:rPr>
                      <w:rFonts w:ascii="Times New Roman" w:hAnsi="Times New Roman"/>
                      <w:lang w:val="en-US" w:bidi="ar-SA"/>
                    </w:rPr>
                  </w:pPr>
                  <w:r>
                    <w:rPr>
                      <w:rFonts w:ascii="Times New Roman" w:hAnsi="Times New Roman"/>
                    </w:rPr>
                    <w:t>仓库</w:t>
                  </w:r>
                </w:p>
              </w:tc>
              <w:tc>
                <w:tcPr>
                  <w:tcW w:w="1199" w:type="pct"/>
                  <w:vAlign w:val="center"/>
                </w:tcPr>
                <w:p>
                  <w:pPr>
                    <w:jc w:val="center"/>
                    <w:rPr>
                      <w:rFonts w:ascii="Times New Roman" w:hAnsi="Times New Roman"/>
                    </w:rPr>
                  </w:pPr>
                  <w:r>
                    <w:rPr>
                      <w:rFonts w:ascii="Times New Roman" w:hAnsi="Times New Roman"/>
                    </w:rPr>
                    <w:t>热弯时使用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18</w:t>
                  </w:r>
                </w:p>
              </w:tc>
              <w:tc>
                <w:tcPr>
                  <w:tcW w:w="533" w:type="pct"/>
                  <w:vAlign w:val="center"/>
                </w:tcPr>
                <w:p>
                  <w:pPr>
                    <w:jc w:val="center"/>
                    <w:rPr>
                      <w:rFonts w:ascii="Times New Roman" w:hAnsi="Times New Roman"/>
                      <w:bCs/>
                      <w:kern w:val="2"/>
                      <w:lang w:val="en-US" w:bidi="ar-SA"/>
                    </w:rPr>
                  </w:pPr>
                  <w:r>
                    <w:rPr>
                      <w:rFonts w:ascii="Times New Roman" w:hAnsi="Times New Roman"/>
                      <w:bCs/>
                    </w:rPr>
                    <w:t>显影液</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瓶装</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rPr>
                    <w:t>0.3</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rPr>
                    <w:t>0.3</w:t>
                  </w:r>
                </w:p>
              </w:tc>
              <w:tc>
                <w:tcPr>
                  <w:tcW w:w="671" w:type="pct"/>
                  <w:vAlign w:val="center"/>
                </w:tcPr>
                <w:p>
                  <w:pPr>
                    <w:jc w:val="center"/>
                    <w:textAlignment w:val="baseline"/>
                    <w:rPr>
                      <w:rFonts w:ascii="Times New Roman" w:hAnsi="Times New Roman"/>
                      <w:lang w:val="en-US" w:bidi="ar-SA"/>
                    </w:rPr>
                  </w:pPr>
                  <w:r>
                    <w:rPr>
                      <w:rFonts w:ascii="Times New Roman" w:hAnsi="Times New Roman"/>
                    </w:rPr>
                    <w:t>仓库</w:t>
                  </w:r>
                </w:p>
              </w:tc>
              <w:tc>
                <w:tcPr>
                  <w:tcW w:w="1199" w:type="pct"/>
                  <w:vAlign w:val="center"/>
                </w:tcPr>
                <w:p>
                  <w:pPr>
                    <w:jc w:val="center"/>
                    <w:rPr>
                      <w:rFonts w:ascii="Times New Roman" w:hAnsi="Times New Roman"/>
                      <w:lang w:val="en-US"/>
                    </w:rPr>
                  </w:pPr>
                  <w:r>
                    <w:rPr>
                      <w:rFonts w:ascii="Times New Roman" w:hAnsi="Times New Roman"/>
                    </w:rPr>
                    <w:t>用于清洗玻璃表面多余的影像油墨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19</w:t>
                  </w:r>
                </w:p>
              </w:tc>
              <w:tc>
                <w:tcPr>
                  <w:tcW w:w="533" w:type="pct"/>
                  <w:vAlign w:val="center"/>
                </w:tcPr>
                <w:p>
                  <w:pPr>
                    <w:jc w:val="center"/>
                    <w:rPr>
                      <w:rFonts w:ascii="Times New Roman" w:hAnsi="Times New Roman"/>
                      <w:bCs/>
                    </w:rPr>
                  </w:pPr>
                  <w:r>
                    <w:rPr>
                      <w:rFonts w:ascii="Times New Roman" w:hAnsi="Times New Roman"/>
                      <w:bCs/>
                    </w:rPr>
                    <w:t>润滑油</w:t>
                  </w:r>
                </w:p>
              </w:tc>
              <w:tc>
                <w:tcPr>
                  <w:tcW w:w="703" w:type="pct"/>
                  <w:vAlign w:val="center"/>
                </w:tcPr>
                <w:p>
                  <w:pPr>
                    <w:jc w:val="center"/>
                    <w:textAlignment w:val="baseline"/>
                    <w:rPr>
                      <w:rFonts w:ascii="Times New Roman" w:hAnsi="Times New Roman"/>
                    </w:rPr>
                  </w:pPr>
                  <w:r>
                    <w:rPr>
                      <w:rFonts w:ascii="Times New Roman" w:hAnsi="Times New Roman"/>
                    </w:rPr>
                    <w:t>瓶装</w:t>
                  </w:r>
                </w:p>
              </w:tc>
              <w:tc>
                <w:tcPr>
                  <w:tcW w:w="504" w:type="pct"/>
                  <w:vAlign w:val="center"/>
                </w:tcPr>
                <w:p>
                  <w:pPr>
                    <w:jc w:val="center"/>
                    <w:textAlignment w:val="baseline"/>
                    <w:rPr>
                      <w:rFonts w:ascii="Times New Roman" w:hAnsi="Times New Roman"/>
                    </w:rPr>
                  </w:pPr>
                  <w:r>
                    <w:rPr>
                      <w:rFonts w:ascii="Times New Roman" w:hAnsi="Times New Roman"/>
                    </w:rPr>
                    <w:t>0.005</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rPr>
                  </w:pPr>
                  <w:r>
                    <w:rPr>
                      <w:rFonts w:ascii="Times New Roman" w:hAnsi="Times New Roman"/>
                    </w:rPr>
                    <w:t>0.005</w:t>
                  </w:r>
                </w:p>
              </w:tc>
              <w:tc>
                <w:tcPr>
                  <w:tcW w:w="671" w:type="pct"/>
                  <w:vAlign w:val="center"/>
                </w:tcPr>
                <w:p>
                  <w:pPr>
                    <w:jc w:val="center"/>
                    <w:textAlignment w:val="baseline"/>
                    <w:rPr>
                      <w:rFonts w:ascii="Times New Roman" w:hAnsi="Times New Roman"/>
                    </w:rPr>
                  </w:pPr>
                  <w:r>
                    <w:rPr>
                      <w:rFonts w:ascii="Times New Roman" w:hAnsi="Times New Roman"/>
                    </w:rPr>
                    <w:t>化学品仓</w:t>
                  </w:r>
                </w:p>
              </w:tc>
              <w:tc>
                <w:tcPr>
                  <w:tcW w:w="1199" w:type="pct"/>
                  <w:vAlign w:val="center"/>
                </w:tcPr>
                <w:p>
                  <w:pPr>
                    <w:jc w:val="center"/>
                    <w:rPr>
                      <w:rFonts w:ascii="Times New Roman" w:hAnsi="Times New Roman"/>
                    </w:rPr>
                  </w:pPr>
                  <w:r>
                    <w:rPr>
                      <w:rFonts w:ascii="Times New Roman" w:hAnsi="Times New Roman"/>
                    </w:rPr>
                    <w:t>生产设备保养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ascii="Times New Roman" w:hAnsi="Times New Roman"/>
                    </w:rPr>
                    <w:t>20</w:t>
                  </w:r>
                </w:p>
              </w:tc>
              <w:tc>
                <w:tcPr>
                  <w:tcW w:w="533" w:type="pct"/>
                  <w:vAlign w:val="center"/>
                </w:tcPr>
                <w:p>
                  <w:pPr>
                    <w:jc w:val="center"/>
                    <w:rPr>
                      <w:rFonts w:ascii="Times New Roman" w:hAnsi="Times New Roman"/>
                      <w:bCs/>
                      <w:kern w:val="2"/>
                      <w:lang w:val="en-US" w:bidi="ar-SA"/>
                    </w:rPr>
                  </w:pPr>
                  <w:r>
                    <w:rPr>
                      <w:rFonts w:ascii="Times New Roman" w:hAnsi="Times New Roman"/>
                      <w:bCs/>
                    </w:rPr>
                    <w:t>抛光粉</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纸箱装（内袋为塑料袋）</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lang w:val="en-US"/>
                    </w:rPr>
                    <w:t>0.5</w:t>
                  </w:r>
                </w:p>
              </w:tc>
              <w:tc>
                <w:tcPr>
                  <w:tcW w:w="504" w:type="pct"/>
                  <w:vAlign w:val="center"/>
                </w:tcPr>
                <w:p>
                  <w:pPr>
                    <w:jc w:val="center"/>
                    <w:rPr>
                      <w:rFonts w:ascii="Times New Roman" w:hAnsi="Times New Roman"/>
                    </w:rPr>
                  </w:pPr>
                  <w:r>
                    <w:rPr>
                      <w:rFonts w:ascii="Times New Roman" w:hAnsi="Times New Roman"/>
                      <w:lang w:val="en-US"/>
                    </w:rPr>
                    <w:t>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lang w:val="en-US"/>
                    </w:rPr>
                    <w:t>0.025</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化学品仓/生产车间</w:t>
                  </w:r>
                </w:p>
              </w:tc>
              <w:tc>
                <w:tcPr>
                  <w:tcW w:w="1199" w:type="pct"/>
                  <w:vAlign w:val="center"/>
                </w:tcPr>
                <w:p>
                  <w:pPr>
                    <w:jc w:val="center"/>
                    <w:rPr>
                      <w:rFonts w:ascii="Times New Roman" w:hAnsi="Times New Roman"/>
                    </w:rPr>
                  </w:pPr>
                  <w:r>
                    <w:rPr>
                      <w:rFonts w:ascii="Times New Roman" w:hAnsi="Times New Roman"/>
                    </w:rPr>
                    <w:t>把玻璃表面磨亮磨平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1</w:t>
                  </w:r>
                </w:p>
              </w:tc>
              <w:tc>
                <w:tcPr>
                  <w:tcW w:w="533" w:type="pct"/>
                  <w:vAlign w:val="center"/>
                </w:tcPr>
                <w:p>
                  <w:pPr>
                    <w:jc w:val="center"/>
                    <w:rPr>
                      <w:rFonts w:ascii="Times New Roman" w:hAnsi="Times New Roman"/>
                      <w:bCs/>
                      <w:kern w:val="2"/>
                      <w:lang w:val="en-US" w:bidi="ar-SA"/>
                    </w:rPr>
                  </w:pPr>
                  <w:r>
                    <w:rPr>
                      <w:rFonts w:ascii="Times New Roman" w:hAnsi="Times New Roman"/>
                      <w:bCs/>
                    </w:rPr>
                    <w:t>亚克力板</w:t>
                  </w:r>
                </w:p>
              </w:tc>
              <w:tc>
                <w:tcPr>
                  <w:tcW w:w="703" w:type="pct"/>
                  <w:vAlign w:val="center"/>
                </w:tcPr>
                <w:p>
                  <w:pPr>
                    <w:jc w:val="center"/>
                    <w:textAlignment w:val="baseline"/>
                    <w:rPr>
                      <w:rFonts w:ascii="Times New Roman" w:hAnsi="Times New Roman"/>
                      <w:kern w:val="2"/>
                      <w:lang w:val="en-US" w:bidi="ar-SA"/>
                    </w:rPr>
                  </w:pPr>
                  <w:r>
                    <w:rPr>
                      <w:rFonts w:ascii="Times New Roman" w:hAnsi="Times New Roman"/>
                    </w:rPr>
                    <w:t>/</w:t>
                  </w:r>
                </w:p>
              </w:tc>
              <w:tc>
                <w:tcPr>
                  <w:tcW w:w="504" w:type="pct"/>
                  <w:vAlign w:val="center"/>
                </w:tcPr>
                <w:p>
                  <w:pPr>
                    <w:jc w:val="center"/>
                    <w:rPr>
                      <w:rFonts w:ascii="Times New Roman" w:hAnsi="Times New Roman"/>
                      <w:kern w:val="2"/>
                      <w:lang w:val="en-US" w:bidi="ar-SA"/>
                    </w:rPr>
                  </w:pPr>
                  <w:r>
                    <w:rPr>
                      <w:rFonts w:ascii="Times New Roman" w:hAnsi="Times New Roman"/>
                    </w:rPr>
                    <w:t>50</w:t>
                  </w:r>
                </w:p>
              </w:tc>
              <w:tc>
                <w:tcPr>
                  <w:tcW w:w="504" w:type="pct"/>
                  <w:vAlign w:val="center"/>
                </w:tcPr>
                <w:p>
                  <w:pPr>
                    <w:jc w:val="center"/>
                    <w:textAlignment w:val="baseline"/>
                    <w:rPr>
                      <w:rFonts w:ascii="Times New Roman" w:hAnsi="Times New Roman"/>
                      <w:kern w:val="2"/>
                      <w:lang w:val="en-US" w:bidi="ar-SA"/>
                    </w:rPr>
                  </w:pPr>
                  <w:r>
                    <w:rPr>
                      <w:rFonts w:ascii="Times New Roman" w:hAnsi="Times New Roman"/>
                    </w:rPr>
                    <w:t>m</w:t>
                  </w:r>
                  <w:r>
                    <w:rPr>
                      <w:rFonts w:ascii="Times New Roman" w:hAnsi="Times New Roman"/>
                      <w:vertAlign w:val="superscript"/>
                    </w:rPr>
                    <w:t>2</w:t>
                  </w:r>
                  <w:r>
                    <w:rPr>
                      <w:rFonts w:ascii="Times New Roman" w:hAnsi="Times New Roman"/>
                    </w:rPr>
                    <w:t>/a</w:t>
                  </w:r>
                </w:p>
              </w:tc>
              <w:tc>
                <w:tcPr>
                  <w:tcW w:w="588" w:type="pct"/>
                  <w:vAlign w:val="center"/>
                </w:tcPr>
                <w:p>
                  <w:pPr>
                    <w:jc w:val="center"/>
                    <w:textAlignment w:val="baseline"/>
                    <w:rPr>
                      <w:rFonts w:ascii="Times New Roman" w:hAnsi="Times New Roman"/>
                      <w:kern w:val="2"/>
                      <w:lang w:val="en-US" w:bidi="ar-SA"/>
                    </w:rPr>
                  </w:pPr>
                  <w:r>
                    <w:rPr>
                      <w:rFonts w:ascii="Times New Roman" w:hAnsi="Times New Roman"/>
                    </w:rPr>
                    <w:t>10</w:t>
                  </w:r>
                </w:p>
              </w:tc>
              <w:tc>
                <w:tcPr>
                  <w:tcW w:w="671" w:type="pct"/>
                  <w:vAlign w:val="center"/>
                </w:tcPr>
                <w:p>
                  <w:pPr>
                    <w:jc w:val="center"/>
                    <w:textAlignment w:val="baseline"/>
                    <w:rPr>
                      <w:rFonts w:ascii="Times New Roman" w:hAnsi="Times New Roman"/>
                      <w:kern w:val="2"/>
                      <w:lang w:val="en-US" w:bidi="ar-SA"/>
                    </w:rPr>
                  </w:pPr>
                  <w:r>
                    <w:rPr>
                      <w:rFonts w:ascii="Times New Roman" w:hAnsi="Times New Roman"/>
                    </w:rPr>
                    <w:t>仓库/CNC车间</w:t>
                  </w:r>
                </w:p>
              </w:tc>
              <w:tc>
                <w:tcPr>
                  <w:tcW w:w="1199" w:type="pct"/>
                  <w:vAlign w:val="center"/>
                </w:tcPr>
                <w:p>
                  <w:pPr>
                    <w:jc w:val="center"/>
                    <w:textAlignment w:val="baseline"/>
                    <w:rPr>
                      <w:rFonts w:ascii="Times New Roman" w:hAnsi="Times New Roman"/>
                      <w:kern w:val="2"/>
                      <w:lang w:val="en-US" w:bidi="ar-SA"/>
                    </w:rPr>
                  </w:pPr>
                  <w:r>
                    <w:rPr>
                      <w:rFonts w:ascii="Times New Roman" w:hAnsi="Times New Roman"/>
                    </w:rPr>
                    <w:t>CNC加工玻璃的时的载体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pPr>
                    <w:jc w:val="center"/>
                    <w:textAlignment w:val="baseline"/>
                    <w:rPr>
                      <w:rFonts w:ascii="Times New Roman" w:hAnsi="Times New Roman"/>
                    </w:rPr>
                  </w:pPr>
                  <w:r>
                    <w:rPr>
                      <w:rFonts w:ascii="Times New Roman" w:hAnsi="Times New Roman"/>
                      <w:b/>
                      <w:bCs/>
                    </w:rPr>
                    <w:t>资源能源消耗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jc w:val="center"/>
                    <w:rPr>
                      <w:rFonts w:ascii="Times New Roman" w:hAnsi="Times New Roman"/>
                    </w:rPr>
                  </w:pPr>
                  <w:r>
                    <w:rPr>
                      <w:rFonts w:ascii="Times New Roman" w:hAnsi="Times New Roman"/>
                    </w:rPr>
                    <w:t>1</w:t>
                  </w:r>
                </w:p>
              </w:tc>
              <w:tc>
                <w:tcPr>
                  <w:tcW w:w="533" w:type="pct"/>
                  <w:vAlign w:val="center"/>
                </w:tcPr>
                <w:p>
                  <w:pPr>
                    <w:jc w:val="center"/>
                    <w:rPr>
                      <w:rFonts w:ascii="Times New Roman" w:hAnsi="Times New Roman"/>
                    </w:rPr>
                  </w:pPr>
                  <w:r>
                    <w:rPr>
                      <w:rFonts w:ascii="Times New Roman" w:hAnsi="Times New Roman"/>
                    </w:rPr>
                    <w:t>水</w:t>
                  </w:r>
                </w:p>
              </w:tc>
              <w:tc>
                <w:tcPr>
                  <w:tcW w:w="703" w:type="pct"/>
                  <w:vAlign w:val="center"/>
                </w:tcPr>
                <w:p>
                  <w:pPr>
                    <w:jc w:val="center"/>
                    <w:textAlignment w:val="baseline"/>
                    <w:rPr>
                      <w:rFonts w:ascii="Times New Roman" w:hAnsi="Times New Roman"/>
                    </w:rPr>
                  </w:pPr>
                  <w:r>
                    <w:rPr>
                      <w:rFonts w:ascii="Times New Roman" w:hAnsi="Times New Roman"/>
                    </w:rPr>
                    <w:t>/</w:t>
                  </w:r>
                </w:p>
              </w:tc>
              <w:tc>
                <w:tcPr>
                  <w:tcW w:w="504" w:type="pct"/>
                  <w:vAlign w:val="center"/>
                </w:tcPr>
                <w:p>
                  <w:pPr>
                    <w:jc w:val="center"/>
                    <w:rPr>
                      <w:rFonts w:ascii="Times New Roman" w:hAnsi="Times New Roman"/>
                      <w:lang w:val="en-US"/>
                    </w:rPr>
                  </w:pPr>
                  <w:r>
                    <w:rPr>
                      <w:rFonts w:ascii="Times New Roman" w:hAnsi="Times New Roman"/>
                    </w:rPr>
                    <w:t>22032</w:t>
                  </w:r>
                </w:p>
              </w:tc>
              <w:tc>
                <w:tcPr>
                  <w:tcW w:w="504" w:type="pct"/>
                  <w:vAlign w:val="center"/>
                </w:tcPr>
                <w:p>
                  <w:pPr>
                    <w:jc w:val="center"/>
                    <w:rPr>
                      <w:rFonts w:ascii="Times New Roman" w:hAnsi="Times New Roman"/>
                      <w:b/>
                      <w:bCs/>
                    </w:rPr>
                  </w:pPr>
                  <w:r>
                    <w:t>m³</w:t>
                  </w:r>
                  <w:r>
                    <w:rPr>
                      <w:rFonts w:ascii="Times New Roman" w:hAnsi="Times New Roman"/>
                    </w:rPr>
                    <w:t>/a</w:t>
                  </w:r>
                </w:p>
              </w:tc>
              <w:tc>
                <w:tcPr>
                  <w:tcW w:w="588" w:type="pct"/>
                  <w:vAlign w:val="center"/>
                </w:tcPr>
                <w:p>
                  <w:pPr>
                    <w:jc w:val="center"/>
                    <w:textAlignment w:val="baseline"/>
                    <w:rPr>
                      <w:rFonts w:ascii="Times New Roman" w:hAnsi="Times New Roman"/>
                    </w:rPr>
                  </w:pPr>
                  <w:r>
                    <w:rPr>
                      <w:rFonts w:ascii="Times New Roman" w:hAnsi="Times New Roman"/>
                    </w:rPr>
                    <w:t>/</w:t>
                  </w:r>
                </w:p>
              </w:tc>
              <w:tc>
                <w:tcPr>
                  <w:tcW w:w="671" w:type="pct"/>
                  <w:vAlign w:val="center"/>
                </w:tcPr>
                <w:p>
                  <w:pPr>
                    <w:jc w:val="center"/>
                    <w:textAlignment w:val="baseline"/>
                    <w:rPr>
                      <w:rFonts w:ascii="Times New Roman" w:hAnsi="Times New Roman"/>
                    </w:rPr>
                  </w:pPr>
                  <w:r>
                    <w:rPr>
                      <w:rFonts w:ascii="Times New Roman" w:hAnsi="Times New Roman"/>
                    </w:rPr>
                    <w:t>/</w:t>
                  </w:r>
                </w:p>
              </w:tc>
              <w:tc>
                <w:tcPr>
                  <w:tcW w:w="1199" w:type="pct"/>
                  <w:vAlign w:val="center"/>
                </w:tcPr>
                <w:p>
                  <w:pPr>
                    <w:jc w:val="center"/>
                    <w:rPr>
                      <w:rFonts w:ascii="Times New Roman" w:hAnsi="Times New Roman"/>
                    </w:rPr>
                  </w:pPr>
                  <w:r>
                    <w:rPr>
                      <w:rFonts w:ascii="Times New Roman" w:hAnsi="Times New Roman"/>
                    </w:rPr>
                    <w:t>市政管网供水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Align w:val="center"/>
                </w:tcPr>
                <w:p>
                  <w:pPr>
                    <w:jc w:val="center"/>
                    <w:rPr>
                      <w:rFonts w:ascii="Times New Roman" w:hAnsi="Times New Roman"/>
                    </w:rPr>
                  </w:pPr>
                  <w:r>
                    <w:rPr>
                      <w:rFonts w:ascii="Times New Roman" w:hAnsi="Times New Roman"/>
                    </w:rPr>
                    <w:t>2</w:t>
                  </w:r>
                </w:p>
              </w:tc>
              <w:tc>
                <w:tcPr>
                  <w:tcW w:w="533" w:type="pct"/>
                  <w:vAlign w:val="center"/>
                </w:tcPr>
                <w:p>
                  <w:pPr>
                    <w:jc w:val="center"/>
                    <w:rPr>
                      <w:rFonts w:ascii="Times New Roman" w:hAnsi="Times New Roman"/>
                    </w:rPr>
                  </w:pPr>
                  <w:r>
                    <w:rPr>
                      <w:rFonts w:ascii="Times New Roman" w:hAnsi="Times New Roman"/>
                    </w:rPr>
                    <w:t>电</w:t>
                  </w:r>
                </w:p>
              </w:tc>
              <w:tc>
                <w:tcPr>
                  <w:tcW w:w="703" w:type="pct"/>
                  <w:vAlign w:val="center"/>
                </w:tcPr>
                <w:p>
                  <w:pPr>
                    <w:jc w:val="center"/>
                    <w:textAlignment w:val="baseline"/>
                    <w:rPr>
                      <w:rFonts w:ascii="Times New Roman" w:hAnsi="Times New Roman"/>
                    </w:rPr>
                  </w:pPr>
                  <w:r>
                    <w:rPr>
                      <w:rFonts w:ascii="Times New Roman" w:hAnsi="Times New Roman"/>
                    </w:rPr>
                    <w:t>/</w:t>
                  </w:r>
                </w:p>
              </w:tc>
              <w:tc>
                <w:tcPr>
                  <w:tcW w:w="504" w:type="pct"/>
                  <w:vAlign w:val="center"/>
                </w:tcPr>
                <w:p>
                  <w:pPr>
                    <w:jc w:val="center"/>
                    <w:rPr>
                      <w:rFonts w:ascii="Times New Roman" w:hAnsi="Times New Roman"/>
                      <w:lang w:val="en-US"/>
                    </w:rPr>
                  </w:pPr>
                  <w:r>
                    <w:rPr>
                      <w:rFonts w:ascii="Times New Roman" w:hAnsi="Times New Roman"/>
                      <w:lang w:val="en-US"/>
                    </w:rPr>
                    <w:t>500000</w:t>
                  </w:r>
                </w:p>
              </w:tc>
              <w:tc>
                <w:tcPr>
                  <w:tcW w:w="504" w:type="pct"/>
                  <w:vAlign w:val="center"/>
                </w:tcPr>
                <w:p>
                  <w:pPr>
                    <w:jc w:val="center"/>
                    <w:rPr>
                      <w:rFonts w:ascii="Times New Roman" w:hAnsi="Times New Roman"/>
                    </w:rPr>
                  </w:pPr>
                  <w:r>
                    <w:rPr>
                      <w:rFonts w:ascii="Times New Roman" w:hAnsi="Times New Roman"/>
                    </w:rPr>
                    <w:t>KWh/a</w:t>
                  </w:r>
                </w:p>
              </w:tc>
              <w:tc>
                <w:tcPr>
                  <w:tcW w:w="588" w:type="pct"/>
                  <w:vAlign w:val="center"/>
                </w:tcPr>
                <w:p>
                  <w:pPr>
                    <w:jc w:val="center"/>
                    <w:textAlignment w:val="baseline"/>
                    <w:rPr>
                      <w:rFonts w:ascii="Times New Roman" w:hAnsi="Times New Roman"/>
                    </w:rPr>
                  </w:pPr>
                  <w:r>
                    <w:rPr>
                      <w:rFonts w:ascii="Times New Roman" w:hAnsi="Times New Roman"/>
                    </w:rPr>
                    <w:t>/</w:t>
                  </w:r>
                </w:p>
              </w:tc>
              <w:tc>
                <w:tcPr>
                  <w:tcW w:w="671" w:type="pct"/>
                  <w:vAlign w:val="center"/>
                </w:tcPr>
                <w:p>
                  <w:pPr>
                    <w:jc w:val="center"/>
                    <w:textAlignment w:val="baseline"/>
                    <w:rPr>
                      <w:rFonts w:ascii="Times New Roman" w:hAnsi="Times New Roman"/>
                    </w:rPr>
                  </w:pPr>
                  <w:r>
                    <w:rPr>
                      <w:rFonts w:ascii="Times New Roman" w:hAnsi="Times New Roman"/>
                    </w:rPr>
                    <w:t>/</w:t>
                  </w:r>
                </w:p>
              </w:tc>
              <w:tc>
                <w:tcPr>
                  <w:tcW w:w="1199" w:type="pct"/>
                  <w:vAlign w:val="center"/>
                </w:tcPr>
                <w:p>
                  <w:pPr>
                    <w:jc w:val="center"/>
                    <w:rPr>
                      <w:rFonts w:ascii="Times New Roman" w:hAnsi="Times New Roman"/>
                    </w:rPr>
                  </w:pPr>
                  <w:r>
                    <w:rPr>
                      <w:rFonts w:ascii="Times New Roman" w:hAnsi="Times New Roman"/>
                    </w:rPr>
                    <w:t>国电供应</w:t>
                  </w:r>
                </w:p>
              </w:tc>
            </w:tr>
            <w:bookmarkEnd w:id="36"/>
          </w:tbl>
          <w:p>
            <w:pPr>
              <w:spacing w:line="440" w:lineRule="exact"/>
              <w:ind w:firstLine="480" w:firstLineChars="200"/>
              <w:jc w:val="both"/>
              <w:rPr>
                <w:rFonts w:ascii="Times New Roman" w:hAnsi="Times New Roman"/>
                <w:sz w:val="24"/>
              </w:rPr>
            </w:pPr>
            <w:r>
              <w:rPr>
                <w:rFonts w:ascii="Times New Roman" w:hAnsi="Times New Roman"/>
                <w:sz w:val="24"/>
              </w:rPr>
              <w:t>（2）原辅材料简介：</w:t>
            </w:r>
          </w:p>
          <w:p>
            <w:pPr>
              <w:spacing w:line="440" w:lineRule="exact"/>
              <w:ind w:firstLine="480" w:firstLineChars="200"/>
              <w:jc w:val="both"/>
              <w:rPr>
                <w:rFonts w:ascii="Times New Roman" w:hAnsi="Times New Roman"/>
                <w:sz w:val="24"/>
              </w:rPr>
            </w:pPr>
            <w:r>
              <w:rPr>
                <w:rFonts w:ascii="Times New Roman" w:hAnsi="Times New Roman"/>
                <w:sz w:val="24"/>
              </w:rPr>
              <w:t>结合油墨供应商提供的产品安全技术说明书（MSDS），本项目生产过程中使用的油墨、清洗剂及洗网水主要成分及含量见下表：</w:t>
            </w:r>
          </w:p>
          <w:p>
            <w:pPr>
              <w:spacing w:line="440" w:lineRule="exact"/>
              <w:jc w:val="center"/>
              <w:rPr>
                <w:rFonts w:ascii="Times New Roman" w:hAnsi="Times New Roman"/>
                <w:b/>
                <w:bCs/>
              </w:rPr>
            </w:pPr>
            <w:r>
              <w:rPr>
                <w:rFonts w:ascii="Times New Roman" w:hAnsi="Times New Roman"/>
                <w:b/>
                <w:bCs/>
              </w:rPr>
              <w:t>表2-6 项目主要辅料成分一览表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2276"/>
              <w:gridCol w:w="3167"/>
              <w:gridCol w:w="18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Align w:val="center"/>
                </w:tcPr>
                <w:p>
                  <w:pPr>
                    <w:adjustRightInd w:val="0"/>
                    <w:snapToGrid w:val="0"/>
                    <w:jc w:val="center"/>
                    <w:rPr>
                      <w:rFonts w:ascii="Times New Roman" w:hAnsi="Times New Roman"/>
                      <w:b/>
                      <w:bCs/>
                    </w:rPr>
                  </w:pPr>
                  <w:bookmarkStart w:id="37" w:name="_Hlk112567911"/>
                  <w:r>
                    <w:rPr>
                      <w:rFonts w:ascii="Times New Roman" w:hAnsi="Times New Roman"/>
                      <w:b/>
                      <w:bCs/>
                    </w:rPr>
                    <w:t>序号</w:t>
                  </w:r>
                </w:p>
              </w:tc>
              <w:tc>
                <w:tcPr>
                  <w:tcW w:w="2276" w:type="dxa"/>
                  <w:vAlign w:val="center"/>
                </w:tcPr>
                <w:p>
                  <w:pPr>
                    <w:adjustRightInd w:val="0"/>
                    <w:snapToGrid w:val="0"/>
                    <w:jc w:val="center"/>
                    <w:rPr>
                      <w:rFonts w:ascii="Times New Roman" w:hAnsi="Times New Roman"/>
                      <w:b/>
                      <w:bCs/>
                    </w:rPr>
                  </w:pPr>
                  <w:r>
                    <w:rPr>
                      <w:rFonts w:ascii="Times New Roman" w:hAnsi="Times New Roman"/>
                      <w:b/>
                      <w:bCs/>
                    </w:rPr>
                    <w:t>种类</w:t>
                  </w:r>
                </w:p>
              </w:tc>
              <w:tc>
                <w:tcPr>
                  <w:tcW w:w="3167" w:type="dxa"/>
                  <w:vAlign w:val="center"/>
                </w:tcPr>
                <w:p>
                  <w:pPr>
                    <w:adjustRightInd w:val="0"/>
                    <w:snapToGrid w:val="0"/>
                    <w:jc w:val="center"/>
                    <w:rPr>
                      <w:rFonts w:ascii="Times New Roman" w:hAnsi="Times New Roman"/>
                      <w:b/>
                      <w:bCs/>
                    </w:rPr>
                  </w:pPr>
                  <w:r>
                    <w:rPr>
                      <w:rFonts w:ascii="Times New Roman" w:hAnsi="Times New Roman"/>
                      <w:b/>
                      <w:bCs/>
                    </w:rPr>
                    <w:t>成分</w:t>
                  </w:r>
                </w:p>
              </w:tc>
              <w:tc>
                <w:tcPr>
                  <w:tcW w:w="1855" w:type="dxa"/>
                  <w:vAlign w:val="center"/>
                </w:tcPr>
                <w:p>
                  <w:pPr>
                    <w:adjustRightInd w:val="0"/>
                    <w:snapToGrid w:val="0"/>
                    <w:jc w:val="center"/>
                    <w:rPr>
                      <w:rFonts w:ascii="Times New Roman" w:hAnsi="Times New Roman"/>
                      <w:b/>
                      <w:bCs/>
                    </w:rPr>
                  </w:pPr>
                  <w:r>
                    <w:rPr>
                      <w:rFonts w:ascii="Times New Roman" w:hAnsi="Times New Roman"/>
                      <w:b/>
                      <w:bCs/>
                    </w:rPr>
                    <w:t>含量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48" w:type="dxa"/>
                  <w:vMerge w:val="restart"/>
                  <w:vAlign w:val="center"/>
                </w:tcPr>
                <w:p>
                  <w:pPr>
                    <w:adjustRightInd w:val="0"/>
                    <w:snapToGrid w:val="0"/>
                    <w:jc w:val="center"/>
                    <w:rPr>
                      <w:rFonts w:ascii="Times New Roman" w:hAnsi="Times New Roman"/>
                    </w:rPr>
                  </w:pPr>
                  <w:r>
                    <w:rPr>
                      <w:rFonts w:ascii="Times New Roman" w:hAnsi="Times New Roman"/>
                    </w:rPr>
                    <w:t>1</w:t>
                  </w:r>
                </w:p>
              </w:tc>
              <w:tc>
                <w:tcPr>
                  <w:tcW w:w="2276" w:type="dxa"/>
                  <w:vMerge w:val="restart"/>
                  <w:vAlign w:val="center"/>
                </w:tcPr>
                <w:p>
                  <w:pPr>
                    <w:adjustRightInd w:val="0"/>
                    <w:snapToGrid w:val="0"/>
                    <w:jc w:val="center"/>
                    <w:rPr>
                      <w:rFonts w:ascii="Times New Roman" w:hAnsi="Times New Roman"/>
                    </w:rPr>
                  </w:pPr>
                  <w:r>
                    <w:rPr>
                      <w:rFonts w:ascii="Times New Roman" w:hAnsi="Times New Roman"/>
                    </w:rPr>
                    <w:t>网印油墨</w:t>
                  </w:r>
                </w:p>
              </w:tc>
              <w:tc>
                <w:tcPr>
                  <w:tcW w:w="3167" w:type="dxa"/>
                  <w:vAlign w:val="center"/>
                </w:tcPr>
                <w:p>
                  <w:pPr>
                    <w:adjustRightInd w:val="0"/>
                    <w:snapToGrid w:val="0"/>
                    <w:jc w:val="center"/>
                    <w:rPr>
                      <w:rFonts w:ascii="Times New Roman" w:hAnsi="Times New Roman"/>
                    </w:rPr>
                  </w:pPr>
                  <w:r>
                    <w:rPr>
                      <w:rFonts w:ascii="Times New Roman" w:hAnsi="Times New Roman"/>
                      <w:bCs/>
                    </w:rPr>
                    <w:t>双酚A二缩水甘油醚</w:t>
                  </w:r>
                </w:p>
              </w:tc>
              <w:tc>
                <w:tcPr>
                  <w:tcW w:w="1855" w:type="dxa"/>
                  <w:vAlign w:val="center"/>
                </w:tcPr>
                <w:p>
                  <w:pPr>
                    <w:adjustRightInd w:val="0"/>
                    <w:snapToGrid w:val="0"/>
                    <w:jc w:val="center"/>
                    <w:rPr>
                      <w:rFonts w:ascii="Times New Roman" w:hAnsi="Times New Roman"/>
                    </w:rPr>
                  </w:pPr>
                  <w:r>
                    <w:rPr>
                      <w:rFonts w:ascii="Times New Roman" w:hAnsi="Times New Roman"/>
                      <w:bCs/>
                    </w:rPr>
                    <w:t>7%-15%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环己酮</w:t>
                  </w:r>
                </w:p>
              </w:tc>
              <w:tc>
                <w:tcPr>
                  <w:tcW w:w="1855" w:type="dxa"/>
                  <w:vAlign w:val="center"/>
                </w:tcPr>
                <w:p>
                  <w:pPr>
                    <w:adjustRightInd w:val="0"/>
                    <w:snapToGrid w:val="0"/>
                    <w:jc w:val="center"/>
                    <w:rPr>
                      <w:rFonts w:ascii="Times New Roman" w:hAnsi="Times New Roman"/>
                    </w:rPr>
                  </w:pPr>
                  <w:r>
                    <w:rPr>
                      <w:rFonts w:ascii="Times New Roman" w:hAnsi="Times New Roman"/>
                      <w:bCs/>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bCs/>
                    </w:rPr>
                    <w:t>着色料</w:t>
                  </w:r>
                </w:p>
              </w:tc>
              <w:tc>
                <w:tcPr>
                  <w:tcW w:w="1855" w:type="dxa"/>
                  <w:vAlign w:val="center"/>
                </w:tcPr>
                <w:p>
                  <w:pPr>
                    <w:adjustRightInd w:val="0"/>
                    <w:snapToGrid w:val="0"/>
                    <w:jc w:val="center"/>
                    <w:rPr>
                      <w:rFonts w:ascii="Times New Roman" w:hAnsi="Times New Roman"/>
                    </w:rPr>
                  </w:pPr>
                  <w:r>
                    <w:rPr>
                      <w:rFonts w:ascii="Times New Roman" w:hAnsi="Times New Roman"/>
                      <w:bCs/>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bCs/>
                    </w:rPr>
                    <w:t>轻质碳酸钙</w:t>
                  </w:r>
                </w:p>
              </w:tc>
              <w:tc>
                <w:tcPr>
                  <w:tcW w:w="1855" w:type="dxa"/>
                  <w:vAlign w:val="center"/>
                </w:tcPr>
                <w:p>
                  <w:pPr>
                    <w:adjustRightInd w:val="0"/>
                    <w:snapToGrid w:val="0"/>
                    <w:jc w:val="center"/>
                    <w:rPr>
                      <w:rFonts w:ascii="Times New Roman" w:hAnsi="Times New Roman"/>
                    </w:rPr>
                  </w:pPr>
                  <w:r>
                    <w:rPr>
                      <w:rFonts w:ascii="Times New Roman" w:hAnsi="Times New Roman"/>
                      <w:bCs/>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正丁醇</w:t>
                  </w:r>
                </w:p>
              </w:tc>
              <w:tc>
                <w:tcPr>
                  <w:tcW w:w="1855" w:type="dxa"/>
                  <w:vAlign w:val="center"/>
                </w:tcPr>
                <w:p>
                  <w:pPr>
                    <w:adjustRightInd w:val="0"/>
                    <w:snapToGrid w:val="0"/>
                    <w:jc w:val="center"/>
                    <w:rPr>
                      <w:rFonts w:ascii="Times New Roman" w:hAnsi="Times New Roman"/>
                    </w:rPr>
                  </w:pPr>
                  <w:r>
                    <w:rPr>
                      <w:rFonts w:ascii="Times New Roman" w:hAnsi="Times New Roman"/>
                      <w:bCs/>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bCs/>
                    </w:rPr>
                    <w:t>乙二醇丁醚</w:t>
                  </w:r>
                </w:p>
              </w:tc>
              <w:tc>
                <w:tcPr>
                  <w:tcW w:w="1855" w:type="dxa"/>
                  <w:vAlign w:val="center"/>
                </w:tcPr>
                <w:p>
                  <w:pPr>
                    <w:adjustRightInd w:val="0"/>
                    <w:snapToGrid w:val="0"/>
                    <w:jc w:val="center"/>
                    <w:rPr>
                      <w:rFonts w:ascii="Times New Roman" w:hAnsi="Times New Roman"/>
                    </w:rPr>
                  </w:pPr>
                  <w:r>
                    <w:rPr>
                      <w:rFonts w:ascii="Times New Roman" w:hAnsi="Times New Roman"/>
                      <w:bCs/>
                    </w:rPr>
                    <w:t>16%-23%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二</w:t>
                  </w:r>
                  <w:r>
                    <w:rPr>
                      <w:rFonts w:ascii="Times New Roman" w:hAnsi="Times New Roman"/>
                      <w:bCs/>
                    </w:rPr>
                    <w:t>乙二醇丁醚</w:t>
                  </w:r>
                </w:p>
              </w:tc>
              <w:tc>
                <w:tcPr>
                  <w:tcW w:w="1855" w:type="dxa"/>
                  <w:vAlign w:val="center"/>
                </w:tcPr>
                <w:p>
                  <w:pPr>
                    <w:adjustRightInd w:val="0"/>
                    <w:snapToGrid w:val="0"/>
                    <w:jc w:val="center"/>
                    <w:rPr>
                      <w:rFonts w:ascii="Times New Roman" w:hAnsi="Times New Roman"/>
                    </w:rPr>
                  </w:pPr>
                  <w:r>
                    <w:rPr>
                      <w:rFonts w:ascii="Times New Roman" w:hAnsi="Times New Roman"/>
                      <w:bCs/>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restart"/>
                  <w:vAlign w:val="center"/>
                </w:tcPr>
                <w:p>
                  <w:pPr>
                    <w:adjustRightInd w:val="0"/>
                    <w:snapToGrid w:val="0"/>
                    <w:jc w:val="center"/>
                    <w:rPr>
                      <w:rFonts w:ascii="Times New Roman" w:hAnsi="Times New Roman"/>
                    </w:rPr>
                  </w:pPr>
                  <w:r>
                    <w:rPr>
                      <w:rFonts w:hint="eastAsia" w:ascii="Times New Roman" w:hAnsi="Times New Roman"/>
                    </w:rPr>
                    <w:t>2</w:t>
                  </w:r>
                </w:p>
              </w:tc>
              <w:tc>
                <w:tcPr>
                  <w:tcW w:w="2276" w:type="dxa"/>
                  <w:vMerge w:val="restart"/>
                  <w:vAlign w:val="center"/>
                </w:tcPr>
                <w:p>
                  <w:pPr>
                    <w:adjustRightInd w:val="0"/>
                    <w:snapToGrid w:val="0"/>
                    <w:jc w:val="center"/>
                    <w:rPr>
                      <w:rFonts w:ascii="Times New Roman" w:hAnsi="Times New Roman"/>
                    </w:rPr>
                  </w:pPr>
                  <w:r>
                    <w:rPr>
                      <w:rFonts w:ascii="Times New Roman" w:hAnsi="Times New Roman"/>
                    </w:rPr>
                    <w:t>UV油墨</w:t>
                  </w:r>
                </w:p>
              </w:tc>
              <w:tc>
                <w:tcPr>
                  <w:tcW w:w="3167" w:type="dxa"/>
                  <w:vAlign w:val="center"/>
                </w:tcPr>
                <w:p>
                  <w:pPr>
                    <w:adjustRightInd w:val="0"/>
                    <w:snapToGrid w:val="0"/>
                    <w:jc w:val="center"/>
                    <w:rPr>
                      <w:rFonts w:ascii="Times New Roman" w:hAnsi="Times New Roman"/>
                    </w:rPr>
                  </w:pPr>
                  <w:r>
                    <w:rPr>
                      <w:rFonts w:ascii="Times New Roman" w:hAnsi="Times New Roman"/>
                    </w:rPr>
                    <w:t>颜料</w:t>
                  </w:r>
                </w:p>
              </w:tc>
              <w:tc>
                <w:tcPr>
                  <w:tcW w:w="1855" w:type="dxa"/>
                  <w:vAlign w:val="center"/>
                </w:tcPr>
                <w:p>
                  <w:pPr>
                    <w:adjustRightInd w:val="0"/>
                    <w:snapToGrid w:val="0"/>
                    <w:jc w:val="center"/>
                    <w:rPr>
                      <w:rFonts w:ascii="Times New Roman" w:hAnsi="Times New Roman"/>
                    </w:rPr>
                  </w:pPr>
                  <w:r>
                    <w:rPr>
                      <w:rFonts w:hint="eastAsia" w:ascii="Times New Roman" w:hAnsi="Times New Roman"/>
                      <w:bCs/>
                    </w:rPr>
                    <w:t>0</w:t>
                  </w:r>
                  <w:r>
                    <w:rPr>
                      <w:rFonts w:ascii="Times New Roman" w:hAnsi="Times New Roman"/>
                      <w:bCs/>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感光性树脂</w:t>
                  </w:r>
                </w:p>
              </w:tc>
              <w:tc>
                <w:tcPr>
                  <w:tcW w:w="1855" w:type="dxa"/>
                  <w:vAlign w:val="center"/>
                </w:tcPr>
                <w:p>
                  <w:pPr>
                    <w:adjustRightInd w:val="0"/>
                    <w:snapToGrid w:val="0"/>
                    <w:jc w:val="center"/>
                    <w:rPr>
                      <w:rFonts w:ascii="Times New Roman" w:hAnsi="Times New Roman"/>
                    </w:rPr>
                  </w:pPr>
                  <w:r>
                    <w:rPr>
                      <w:rFonts w:hint="eastAsia" w:ascii="Times New Roman" w:hAnsi="Times New Roman"/>
                      <w:bCs/>
                    </w:rPr>
                    <w:t>20</w:t>
                  </w:r>
                  <w:r>
                    <w:rPr>
                      <w:rFonts w:ascii="Times New Roman" w:hAnsi="Times New Roman"/>
                      <w:bCs/>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hint="eastAsia" w:ascii="Times New Roman" w:hAnsi="Times New Roman"/>
                    </w:rPr>
                    <w:t>己二醇二丙烯酸酯</w:t>
                  </w:r>
                </w:p>
              </w:tc>
              <w:tc>
                <w:tcPr>
                  <w:tcW w:w="1855" w:type="dxa"/>
                  <w:vAlign w:val="center"/>
                </w:tcPr>
                <w:p>
                  <w:pPr>
                    <w:adjustRightInd w:val="0"/>
                    <w:snapToGrid w:val="0"/>
                    <w:jc w:val="center"/>
                    <w:rPr>
                      <w:rFonts w:ascii="Times New Roman" w:hAnsi="Times New Roman"/>
                    </w:rPr>
                  </w:pPr>
                  <w:r>
                    <w:rPr>
                      <w:rFonts w:ascii="Times New Roman" w:hAnsi="Times New Roman"/>
                      <w:bCs/>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感光性单体</w:t>
                  </w:r>
                </w:p>
              </w:tc>
              <w:tc>
                <w:tcPr>
                  <w:tcW w:w="1855" w:type="dxa"/>
                  <w:vAlign w:val="center"/>
                </w:tcPr>
                <w:p>
                  <w:pPr>
                    <w:adjustRightInd w:val="0"/>
                    <w:snapToGrid w:val="0"/>
                    <w:jc w:val="center"/>
                    <w:rPr>
                      <w:rFonts w:ascii="Times New Roman" w:hAnsi="Times New Roman"/>
                    </w:rPr>
                  </w:pPr>
                  <w:r>
                    <w:rPr>
                      <w:rFonts w:hint="eastAsia" w:ascii="Times New Roman" w:hAnsi="Times New Roman"/>
                      <w:bCs/>
                    </w:rPr>
                    <w:t>1</w:t>
                  </w:r>
                  <w:r>
                    <w:rPr>
                      <w:rFonts w:ascii="Times New Roman" w:hAnsi="Times New Roman"/>
                      <w:bCs/>
                    </w:rPr>
                    <w:t>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光聚合</w:t>
                  </w:r>
                  <w:r>
                    <w:rPr>
                      <w:rFonts w:hint="eastAsia" w:ascii="Times New Roman" w:hAnsi="Times New Roman"/>
                    </w:rPr>
                    <w:t>开始</w:t>
                  </w:r>
                  <w:r>
                    <w:rPr>
                      <w:rFonts w:ascii="Times New Roman" w:hAnsi="Times New Roman"/>
                    </w:rPr>
                    <w:t>剂</w:t>
                  </w:r>
                </w:p>
              </w:tc>
              <w:tc>
                <w:tcPr>
                  <w:tcW w:w="1855" w:type="dxa"/>
                  <w:vAlign w:val="center"/>
                </w:tcPr>
                <w:p>
                  <w:pPr>
                    <w:adjustRightInd w:val="0"/>
                    <w:snapToGrid w:val="0"/>
                    <w:jc w:val="center"/>
                    <w:rPr>
                      <w:rFonts w:ascii="Times New Roman" w:hAnsi="Times New Roman"/>
                    </w:rPr>
                  </w:pPr>
                  <w:r>
                    <w:rPr>
                      <w:rFonts w:hint="eastAsia" w:ascii="Times New Roman" w:hAnsi="Times New Roman"/>
                      <w:bCs/>
                    </w:rPr>
                    <w:t>1</w:t>
                  </w:r>
                  <w:r>
                    <w:rPr>
                      <w:rFonts w:ascii="Times New Roman" w:hAnsi="Times New Roman"/>
                      <w:bCs/>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restart"/>
                  <w:vAlign w:val="center"/>
                </w:tcPr>
                <w:p>
                  <w:pPr>
                    <w:adjustRightInd w:val="0"/>
                    <w:snapToGrid w:val="0"/>
                    <w:jc w:val="center"/>
                    <w:rPr>
                      <w:rFonts w:ascii="Times New Roman" w:hAnsi="Times New Roman"/>
                    </w:rPr>
                  </w:pPr>
                  <w:r>
                    <w:rPr>
                      <w:rFonts w:ascii="Times New Roman" w:hAnsi="Times New Roman"/>
                    </w:rPr>
                    <w:t>3</w:t>
                  </w:r>
                </w:p>
              </w:tc>
              <w:tc>
                <w:tcPr>
                  <w:tcW w:w="2276" w:type="dxa"/>
                  <w:vMerge w:val="restart"/>
                  <w:vAlign w:val="center"/>
                </w:tcPr>
                <w:p>
                  <w:pPr>
                    <w:adjustRightInd w:val="0"/>
                    <w:snapToGrid w:val="0"/>
                    <w:jc w:val="center"/>
                    <w:rPr>
                      <w:rFonts w:ascii="Times New Roman" w:hAnsi="Times New Roman"/>
                    </w:rPr>
                  </w:pPr>
                  <w:r>
                    <w:rPr>
                      <w:rFonts w:hint="eastAsia" w:ascii="Times New Roman" w:hAnsi="Times New Roman"/>
                    </w:rPr>
                    <w:t>玻璃</w:t>
                  </w:r>
                  <w:r>
                    <w:rPr>
                      <w:rFonts w:ascii="Times New Roman" w:hAnsi="Times New Roman"/>
                    </w:rPr>
                    <w:t>保护液</w:t>
                  </w:r>
                </w:p>
              </w:tc>
              <w:tc>
                <w:tcPr>
                  <w:tcW w:w="3167" w:type="dxa"/>
                  <w:vAlign w:val="center"/>
                </w:tcPr>
                <w:p>
                  <w:pPr>
                    <w:adjustRightInd w:val="0"/>
                    <w:snapToGrid w:val="0"/>
                    <w:jc w:val="center"/>
                    <w:rPr>
                      <w:rFonts w:ascii="Times New Roman" w:hAnsi="Times New Roman"/>
                    </w:rPr>
                  </w:pPr>
                  <w:r>
                    <w:rPr>
                      <w:rFonts w:hint="eastAsia" w:ascii="Times New Roman" w:hAnsi="Times New Roman"/>
                    </w:rPr>
                    <w:t>快干剂</w:t>
                  </w:r>
                </w:p>
              </w:tc>
              <w:tc>
                <w:tcPr>
                  <w:tcW w:w="1855" w:type="dxa"/>
                  <w:vAlign w:val="center"/>
                </w:tcPr>
                <w:p>
                  <w:pPr>
                    <w:adjustRightInd w:val="0"/>
                    <w:snapToGrid w:val="0"/>
                    <w:jc w:val="center"/>
                    <w:rPr>
                      <w:rFonts w:ascii="Times New Roman" w:hAnsi="Times New Roman"/>
                    </w:rPr>
                  </w:pPr>
                  <w:r>
                    <w:rPr>
                      <w:rFonts w:ascii="Times New Roman" w:hAnsi="Times New Roman"/>
                    </w:rPr>
                    <w:t>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hint="eastAsia" w:ascii="Times New Roman" w:hAnsi="Times New Roman"/>
                    </w:rPr>
                    <w:t>催化剂</w:t>
                  </w:r>
                </w:p>
              </w:tc>
              <w:tc>
                <w:tcPr>
                  <w:tcW w:w="1855" w:type="dxa"/>
                  <w:vAlign w:val="center"/>
                </w:tcPr>
                <w:p>
                  <w:pPr>
                    <w:adjustRightInd w:val="0"/>
                    <w:snapToGrid w:val="0"/>
                    <w:jc w:val="center"/>
                    <w:rPr>
                      <w:rFonts w:ascii="Times New Roman" w:hAnsi="Times New Roman"/>
                    </w:rPr>
                  </w:pPr>
                  <w:r>
                    <w:rPr>
                      <w:rFonts w:ascii="Times New Roman" w:hAnsi="Times New Roman"/>
                    </w:rPr>
                    <w:t>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流平剂</w:t>
                  </w:r>
                </w:p>
              </w:tc>
              <w:tc>
                <w:tcPr>
                  <w:tcW w:w="1855" w:type="dxa"/>
                  <w:vAlign w:val="center"/>
                </w:tcPr>
                <w:p>
                  <w:pPr>
                    <w:adjustRightInd w:val="0"/>
                    <w:snapToGrid w:val="0"/>
                    <w:jc w:val="center"/>
                    <w:rPr>
                      <w:rFonts w:ascii="Times New Roman" w:hAnsi="Times New Roman"/>
                    </w:rPr>
                  </w:pPr>
                  <w:r>
                    <w:rPr>
                      <w:rFonts w:ascii="Times New Roman" w:hAnsi="Times New Roman"/>
                    </w:rPr>
                    <w:t>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hint="eastAsia" w:ascii="Times New Roman" w:hAnsi="Times New Roman"/>
                    </w:rPr>
                    <w:t>固化成膜剂</w:t>
                  </w:r>
                </w:p>
              </w:tc>
              <w:tc>
                <w:tcPr>
                  <w:tcW w:w="1855" w:type="dxa"/>
                  <w:vAlign w:val="center"/>
                </w:tcPr>
                <w:p>
                  <w:pPr>
                    <w:adjustRightInd w:val="0"/>
                    <w:snapToGrid w:val="0"/>
                    <w:jc w:val="center"/>
                    <w:rPr>
                      <w:rFonts w:ascii="Times New Roman" w:hAnsi="Times New Roman"/>
                    </w:rPr>
                  </w:pPr>
                  <w:r>
                    <w:rPr>
                      <w:rFonts w:ascii="Times New Roman" w:hAnsi="Times New Roman"/>
                    </w:rPr>
                    <w:t>35%-50%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restart"/>
                  <w:vAlign w:val="center"/>
                </w:tcPr>
                <w:p>
                  <w:pPr>
                    <w:adjustRightInd w:val="0"/>
                    <w:snapToGrid w:val="0"/>
                    <w:jc w:val="center"/>
                    <w:rPr>
                      <w:rFonts w:ascii="Times New Roman" w:hAnsi="Times New Roman"/>
                    </w:rPr>
                  </w:pPr>
                  <w:r>
                    <w:rPr>
                      <w:rFonts w:ascii="Times New Roman" w:hAnsi="Times New Roman"/>
                    </w:rPr>
                    <w:t>4</w:t>
                  </w:r>
                </w:p>
              </w:tc>
              <w:tc>
                <w:tcPr>
                  <w:tcW w:w="2276" w:type="dxa"/>
                  <w:vMerge w:val="restart"/>
                  <w:vAlign w:val="center"/>
                </w:tcPr>
                <w:p>
                  <w:pPr>
                    <w:adjustRightInd w:val="0"/>
                    <w:snapToGrid w:val="0"/>
                    <w:jc w:val="center"/>
                    <w:rPr>
                      <w:rFonts w:ascii="Times New Roman" w:hAnsi="Times New Roman"/>
                    </w:rPr>
                  </w:pPr>
                  <w:r>
                    <w:rPr>
                      <w:rFonts w:ascii="Times New Roman" w:hAnsi="Times New Roman"/>
                    </w:rPr>
                    <w:t>洗网水</w:t>
                  </w:r>
                </w:p>
              </w:tc>
              <w:tc>
                <w:tcPr>
                  <w:tcW w:w="3167" w:type="dxa"/>
                  <w:vAlign w:val="center"/>
                </w:tcPr>
                <w:p>
                  <w:pPr>
                    <w:adjustRightInd w:val="0"/>
                    <w:snapToGrid w:val="0"/>
                    <w:jc w:val="center"/>
                    <w:rPr>
                      <w:rFonts w:ascii="Times New Roman" w:hAnsi="Times New Roman"/>
                    </w:rPr>
                  </w:pPr>
                  <w:r>
                    <w:rPr>
                      <w:rFonts w:ascii="Times New Roman" w:hAnsi="Times New Roman"/>
                    </w:rPr>
                    <w:t>异丙醇</w:t>
                  </w:r>
                </w:p>
              </w:tc>
              <w:tc>
                <w:tcPr>
                  <w:tcW w:w="1855" w:type="dxa"/>
                  <w:vAlign w:val="center"/>
                </w:tcPr>
                <w:p>
                  <w:pPr>
                    <w:adjustRightInd w:val="0"/>
                    <w:snapToGrid w:val="0"/>
                    <w:jc w:val="center"/>
                    <w:rPr>
                      <w:rFonts w:ascii="Times New Roman" w:hAnsi="Times New Roman"/>
                    </w:rPr>
                  </w:pPr>
                  <w:r>
                    <w:rPr>
                      <w:rFonts w:ascii="Times New Roman" w:hAnsi="Times New Roman"/>
                    </w:rPr>
                    <w:t>60-80%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乙二醇</w:t>
                  </w:r>
                </w:p>
              </w:tc>
              <w:tc>
                <w:tcPr>
                  <w:tcW w:w="1855" w:type="dxa"/>
                  <w:vAlign w:val="center"/>
                </w:tcPr>
                <w:p>
                  <w:pPr>
                    <w:adjustRightInd w:val="0"/>
                    <w:snapToGrid w:val="0"/>
                    <w:jc w:val="center"/>
                    <w:rPr>
                      <w:rFonts w:ascii="Times New Roman" w:hAnsi="Times New Roman"/>
                    </w:rPr>
                  </w:pPr>
                  <w:r>
                    <w:rPr>
                      <w:rFonts w:ascii="Times New Roman" w:hAnsi="Times New Roman"/>
                    </w:rPr>
                    <w:t>10-20%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restart"/>
                  <w:vAlign w:val="center"/>
                </w:tcPr>
                <w:p>
                  <w:pPr>
                    <w:adjustRightInd w:val="0"/>
                    <w:snapToGrid w:val="0"/>
                    <w:jc w:val="center"/>
                    <w:rPr>
                      <w:rFonts w:ascii="Times New Roman" w:hAnsi="Times New Roman"/>
                    </w:rPr>
                  </w:pPr>
                  <w:r>
                    <w:rPr>
                      <w:rFonts w:ascii="Times New Roman" w:hAnsi="Times New Roman"/>
                    </w:rPr>
                    <w:t>5</w:t>
                  </w:r>
                </w:p>
              </w:tc>
              <w:tc>
                <w:tcPr>
                  <w:tcW w:w="2276" w:type="dxa"/>
                  <w:vMerge w:val="restart"/>
                  <w:vAlign w:val="center"/>
                </w:tcPr>
                <w:p>
                  <w:pPr>
                    <w:adjustRightInd w:val="0"/>
                    <w:snapToGrid w:val="0"/>
                    <w:jc w:val="center"/>
                    <w:rPr>
                      <w:rFonts w:ascii="Times New Roman" w:hAnsi="Times New Roman"/>
                    </w:rPr>
                  </w:pPr>
                  <w:r>
                    <w:rPr>
                      <w:rFonts w:hint="eastAsia" w:ascii="Times New Roman" w:hAnsi="Times New Roman"/>
                    </w:rPr>
                    <w:t>环保</w:t>
                  </w:r>
                  <w:r>
                    <w:rPr>
                      <w:rFonts w:ascii="Times New Roman" w:hAnsi="Times New Roman"/>
                    </w:rPr>
                    <w:t>清洗剂</w:t>
                  </w:r>
                </w:p>
              </w:tc>
              <w:tc>
                <w:tcPr>
                  <w:tcW w:w="3167" w:type="dxa"/>
                  <w:vAlign w:val="center"/>
                </w:tcPr>
                <w:p>
                  <w:pPr>
                    <w:adjustRightInd w:val="0"/>
                    <w:snapToGrid w:val="0"/>
                    <w:jc w:val="center"/>
                    <w:rPr>
                      <w:rFonts w:ascii="Times New Roman" w:hAnsi="Times New Roman"/>
                    </w:rPr>
                  </w:pPr>
                  <w:r>
                    <w:rPr>
                      <w:rFonts w:ascii="Times New Roman" w:hAnsi="Times New Roman"/>
                    </w:rPr>
                    <w:t>表面活性剂</w:t>
                  </w:r>
                </w:p>
              </w:tc>
              <w:tc>
                <w:tcPr>
                  <w:tcW w:w="1855" w:type="dxa"/>
                  <w:vAlign w:val="center"/>
                </w:tcPr>
                <w:p>
                  <w:pPr>
                    <w:adjustRightInd w:val="0"/>
                    <w:snapToGrid w:val="0"/>
                    <w:jc w:val="center"/>
                    <w:rPr>
                      <w:rFonts w:ascii="Times New Roman" w:hAnsi="Times New Roman"/>
                    </w:rPr>
                  </w:pPr>
                  <w:r>
                    <w:rPr>
                      <w:rFonts w:ascii="Times New Roman" w:hAnsi="Times New Roman"/>
                    </w:rPr>
                    <w:t>5%-10%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碱性助剂</w:t>
                  </w:r>
                </w:p>
              </w:tc>
              <w:tc>
                <w:tcPr>
                  <w:tcW w:w="1855" w:type="dxa"/>
                  <w:vAlign w:val="center"/>
                </w:tcPr>
                <w:p>
                  <w:pPr>
                    <w:adjustRightInd w:val="0"/>
                    <w:snapToGrid w:val="0"/>
                    <w:jc w:val="center"/>
                    <w:rPr>
                      <w:rFonts w:ascii="Times New Roman" w:hAnsi="Times New Roman"/>
                    </w:rPr>
                  </w:pPr>
                  <w:r>
                    <w:rPr>
                      <w:rFonts w:ascii="Times New Roman" w:hAnsi="Times New Roman"/>
                    </w:rPr>
                    <w:t>18%-22%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增溶剂</w:t>
                  </w:r>
                </w:p>
              </w:tc>
              <w:tc>
                <w:tcPr>
                  <w:tcW w:w="1855" w:type="dxa"/>
                  <w:vAlign w:val="center"/>
                </w:tcPr>
                <w:p>
                  <w:pPr>
                    <w:adjustRightInd w:val="0"/>
                    <w:snapToGrid w:val="0"/>
                    <w:jc w:val="center"/>
                    <w:rPr>
                      <w:rFonts w:ascii="Times New Roman" w:hAnsi="Times New Roman"/>
                    </w:rPr>
                  </w:pPr>
                  <w:r>
                    <w:rPr>
                      <w:rFonts w:ascii="Times New Roman" w:hAnsi="Times New Roman"/>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48" w:type="dxa"/>
                  <w:vMerge w:val="continue"/>
                  <w:vAlign w:val="center"/>
                </w:tcPr>
                <w:p>
                  <w:pPr>
                    <w:adjustRightInd w:val="0"/>
                    <w:snapToGrid w:val="0"/>
                    <w:jc w:val="center"/>
                    <w:rPr>
                      <w:rFonts w:ascii="Times New Roman" w:hAnsi="Times New Roman"/>
                    </w:rPr>
                  </w:pPr>
                </w:p>
              </w:tc>
              <w:tc>
                <w:tcPr>
                  <w:tcW w:w="2276" w:type="dxa"/>
                  <w:vMerge w:val="continue"/>
                  <w:vAlign w:val="center"/>
                </w:tcPr>
                <w:p>
                  <w:pPr>
                    <w:adjustRightInd w:val="0"/>
                    <w:snapToGrid w:val="0"/>
                    <w:jc w:val="center"/>
                    <w:rPr>
                      <w:rFonts w:ascii="Times New Roman" w:hAnsi="Times New Roman"/>
                    </w:rPr>
                  </w:pPr>
                </w:p>
              </w:tc>
              <w:tc>
                <w:tcPr>
                  <w:tcW w:w="3167" w:type="dxa"/>
                  <w:vAlign w:val="center"/>
                </w:tcPr>
                <w:p>
                  <w:pPr>
                    <w:adjustRightInd w:val="0"/>
                    <w:snapToGrid w:val="0"/>
                    <w:jc w:val="center"/>
                    <w:rPr>
                      <w:rFonts w:ascii="Times New Roman" w:hAnsi="Times New Roman"/>
                    </w:rPr>
                  </w:pPr>
                  <w:r>
                    <w:rPr>
                      <w:rFonts w:ascii="Times New Roman" w:hAnsi="Times New Roman"/>
                    </w:rPr>
                    <w:t>水</w:t>
                  </w:r>
                </w:p>
              </w:tc>
              <w:tc>
                <w:tcPr>
                  <w:tcW w:w="1855" w:type="dxa"/>
                  <w:vAlign w:val="center"/>
                </w:tcPr>
                <w:p>
                  <w:pPr>
                    <w:adjustRightInd w:val="0"/>
                    <w:snapToGrid w:val="0"/>
                    <w:jc w:val="center"/>
                    <w:rPr>
                      <w:rFonts w:ascii="Times New Roman" w:hAnsi="Times New Roman"/>
                    </w:rPr>
                  </w:pPr>
                  <w:r>
                    <w:rPr>
                      <w:rFonts w:ascii="Times New Roman" w:hAnsi="Times New Roman"/>
                    </w:rPr>
                    <w:t>62%-76%</w:t>
                  </w:r>
                </w:p>
              </w:tc>
            </w:tr>
            <w:bookmarkEnd w:id="37"/>
          </w:tbl>
          <w:p>
            <w:pPr>
              <w:snapToGrid w:val="0"/>
              <w:spacing w:line="360" w:lineRule="auto"/>
              <w:ind w:firstLine="482" w:firstLineChars="200"/>
              <w:jc w:val="both"/>
              <w:rPr>
                <w:rFonts w:ascii="Times New Roman" w:hAnsi="Times New Roman"/>
                <w:sz w:val="24"/>
              </w:rPr>
            </w:pPr>
            <w:r>
              <w:rPr>
                <w:rFonts w:ascii="Times New Roman" w:hAnsi="Times New Roman"/>
                <w:b/>
                <w:bCs/>
                <w:sz w:val="24"/>
              </w:rPr>
              <w:t>1）网印油墨</w:t>
            </w:r>
            <w:r>
              <w:rPr>
                <w:rFonts w:ascii="Times New Roman" w:hAnsi="Times New Roman"/>
                <w:sz w:val="24"/>
              </w:rPr>
              <w:t>：本项目所用油墨为网印油墨（项目直接外购成品油墨，无需调墨），由上表可知，本项目所用油墨中挥发性有机化合物主要包括双酚A二缩水甘油醚、环己酮、正丁醇、乙二醇丁醚、二乙二醇丁醚等，体积含量约为58%。项目油墨用量约0.8t/a（其中VOC占比约58%），油墨密度按0.95g/cm</w:t>
            </w:r>
            <w:r>
              <w:rPr>
                <w:rFonts w:ascii="Times New Roman" w:hAnsi="Times New Roman"/>
                <w:sz w:val="24"/>
                <w:vertAlign w:val="superscript"/>
              </w:rPr>
              <w:t>3</w:t>
            </w:r>
            <w:r>
              <w:rPr>
                <w:rFonts w:ascii="Times New Roman" w:hAnsi="Times New Roman"/>
                <w:sz w:val="24"/>
              </w:rPr>
              <w:t>计，油墨中VOCs的量约0.44t。油墨中VOCs含量占比=0.44/0.8*100%=55%，符合《油墨中可挥发性有机化合物（VOCs）含量的限值》（GB38507-2020）中的限值要求（网印油墨≤75%）。</w:t>
            </w:r>
          </w:p>
          <w:p>
            <w:pPr>
              <w:pStyle w:val="2"/>
              <w:spacing w:after="0" w:line="360" w:lineRule="auto"/>
              <w:ind w:left="0" w:leftChars="0" w:firstLine="482"/>
              <w:jc w:val="both"/>
            </w:pPr>
            <w:r>
              <w:rPr>
                <w:rFonts w:ascii="Times New Roman" w:hAnsi="Times New Roman"/>
                <w:b/>
                <w:bCs/>
                <w:sz w:val="24"/>
                <w:szCs w:val="21"/>
              </w:rPr>
              <w:t>2</w:t>
            </w:r>
            <w:r>
              <w:rPr>
                <w:rFonts w:hint="eastAsia" w:ascii="Times New Roman" w:hAnsi="Times New Roman"/>
                <w:b/>
                <w:bCs/>
                <w:sz w:val="24"/>
                <w:szCs w:val="21"/>
              </w:rPr>
              <w:t>）</w:t>
            </w:r>
            <w:r>
              <w:rPr>
                <w:rFonts w:ascii="Times New Roman" w:hAnsi="Times New Roman"/>
                <w:b/>
                <w:bCs/>
                <w:sz w:val="24"/>
              </w:rPr>
              <w:t>UV油墨</w:t>
            </w:r>
            <w:r>
              <w:rPr>
                <w:rFonts w:ascii="Times New Roman" w:hAnsi="Times New Roman"/>
                <w:bCs/>
                <w:sz w:val="24"/>
              </w:rPr>
              <w:t>：</w:t>
            </w:r>
            <w:r>
              <w:rPr>
                <w:rFonts w:hint="eastAsia" w:ascii="Times New Roman" w:hAnsi="Times New Roman"/>
                <w:sz w:val="24"/>
              </w:rPr>
              <w:t>成分包括颜料</w:t>
            </w:r>
            <w:r>
              <w:rPr>
                <w:rFonts w:ascii="Times New Roman" w:hAnsi="Times New Roman"/>
                <w:sz w:val="24"/>
              </w:rPr>
              <w:t>0%-50%、</w:t>
            </w:r>
            <w:r>
              <w:rPr>
                <w:rFonts w:hint="eastAsia" w:ascii="Times New Roman" w:hAnsi="Times New Roman"/>
                <w:sz w:val="24"/>
              </w:rPr>
              <w:t>感光性树脂</w:t>
            </w:r>
            <w:r>
              <w:rPr>
                <w:rFonts w:ascii="Times New Roman" w:hAnsi="Times New Roman"/>
                <w:sz w:val="24"/>
              </w:rPr>
              <w:t>20%-80%、</w:t>
            </w:r>
            <w:r>
              <w:rPr>
                <w:rFonts w:hint="eastAsia" w:ascii="Times New Roman" w:hAnsi="Times New Roman"/>
                <w:sz w:val="24"/>
              </w:rPr>
              <w:t>己二醇二丙烯酸酯</w:t>
            </w:r>
            <w:r>
              <w:rPr>
                <w:rFonts w:ascii="Times New Roman" w:hAnsi="Times New Roman"/>
                <w:sz w:val="24"/>
              </w:rPr>
              <w:t>3%、</w:t>
            </w:r>
            <w:r>
              <w:rPr>
                <w:rFonts w:hint="eastAsia" w:ascii="Times New Roman" w:hAnsi="Times New Roman"/>
                <w:sz w:val="24"/>
              </w:rPr>
              <w:t>感光性单体</w:t>
            </w:r>
            <w:r>
              <w:rPr>
                <w:rFonts w:ascii="Times New Roman" w:hAnsi="Times New Roman"/>
                <w:sz w:val="24"/>
              </w:rPr>
              <w:t>10%-30%、</w:t>
            </w:r>
            <w:r>
              <w:rPr>
                <w:rFonts w:hint="eastAsia" w:ascii="Times New Roman" w:hAnsi="Times New Roman"/>
                <w:sz w:val="24"/>
              </w:rPr>
              <w:t>光聚合开始剂</w:t>
            </w:r>
            <w:r>
              <w:rPr>
                <w:rFonts w:ascii="Times New Roman" w:hAnsi="Times New Roman"/>
                <w:sz w:val="24"/>
              </w:rPr>
              <w:t>1%-10%。高闪点液体，不易分解，易燃，其蒸气与空气易形成爆炸性混合物，遇明火，高热易引起燃烧</w:t>
            </w:r>
            <w:r>
              <w:rPr>
                <w:rFonts w:hint="eastAsia" w:ascii="Times New Roman" w:hAnsi="Times New Roman"/>
                <w:sz w:val="24"/>
              </w:rPr>
              <w:t>。</w:t>
            </w:r>
            <w:r>
              <w:rPr>
                <w:rFonts w:ascii="Times New Roman" w:hAnsi="Times New Roman"/>
                <w:sz w:val="24"/>
              </w:rPr>
              <w:t>根据《油墨中可挥发性有机化合物（VOCs）含量的限值》（GB38507-2020），UV油墨</w:t>
            </w:r>
            <w:r>
              <w:rPr>
                <w:rFonts w:hint="eastAsia" w:ascii="Times New Roman" w:hAnsi="Times New Roman"/>
                <w:sz w:val="24"/>
              </w:rPr>
              <w:t>属于低挥发性有机化合物含量油墨</w:t>
            </w:r>
            <w:r>
              <w:rPr>
                <w:rFonts w:ascii="Times New Roman" w:hAnsi="Times New Roman"/>
                <w:sz w:val="24"/>
              </w:rPr>
              <w:t>。</w:t>
            </w:r>
          </w:p>
          <w:p>
            <w:pPr>
              <w:spacing w:line="360" w:lineRule="auto"/>
              <w:ind w:firstLine="482" w:firstLineChars="200"/>
              <w:jc w:val="both"/>
              <w:rPr>
                <w:rFonts w:ascii="Times New Roman" w:hAnsi="Times New Roman"/>
                <w:sz w:val="24"/>
              </w:rPr>
            </w:pPr>
            <w:r>
              <w:rPr>
                <w:rFonts w:ascii="Times New Roman" w:hAnsi="Times New Roman"/>
                <w:b/>
                <w:bCs/>
                <w:sz w:val="24"/>
              </w:rPr>
              <w:t>3）硝酸钾</w:t>
            </w:r>
            <w:r>
              <w:rPr>
                <w:rFonts w:ascii="Times New Roman" w:hAnsi="Times New Roman"/>
                <w:sz w:val="24"/>
              </w:rPr>
              <w:t>：工业硝酸钾广泛用于钢化玻璃制作工艺，为无色透明棱柱状或白色颗粒或结晶性粉末，易溶于水，不溶于无水乙醇、乙醚。溶于水时吸热，溶液温度降低。在空气中不易潮解，为强氧化剂，与有机物接触能燃烧爆炸。急性毒性：LD</w:t>
            </w:r>
            <w:r>
              <w:rPr>
                <w:rFonts w:ascii="Times New Roman" w:hAnsi="Times New Roman"/>
                <w:sz w:val="24"/>
                <w:vertAlign w:val="subscript"/>
              </w:rPr>
              <w:t>50</w:t>
            </w:r>
            <w:r>
              <w:rPr>
                <w:rFonts w:ascii="Times New Roman" w:hAnsi="Times New Roman"/>
                <w:sz w:val="24"/>
              </w:rPr>
              <w:t>：3750mg/kg（大鼠经口）危险性；吸入该品粉尘对呼吸道有刺激性，高浓度吸入可引起肺水肿。大量接触可引起高铁血红蛋白血症，影响血液携氧能力，出现头痛、头晕、紫绀、恶心、呕吐。重者引起呼吸紊乱、虚脱，甚至死亡。口服引起剧烈腹痛、呕吐、血便、休克、全身抽搐、昏迷，甚至死亡。对皮肤和眼睛有强烈刺激性，甚至造成灼伤。皮肤反复接触引起皮肤干燥、皲裂和皮疹。</w:t>
            </w:r>
          </w:p>
          <w:p>
            <w:pPr>
              <w:spacing w:line="440" w:lineRule="exact"/>
              <w:ind w:firstLine="482" w:firstLineChars="200"/>
              <w:jc w:val="both"/>
              <w:rPr>
                <w:rFonts w:ascii="Times New Roman" w:hAnsi="Times New Roman"/>
                <w:sz w:val="24"/>
              </w:rPr>
            </w:pPr>
            <w:r>
              <w:rPr>
                <w:rFonts w:ascii="Times New Roman" w:hAnsi="Times New Roman"/>
                <w:b/>
                <w:bCs/>
                <w:sz w:val="24"/>
              </w:rPr>
              <w:t>4）切削液</w:t>
            </w:r>
            <w:r>
              <w:rPr>
                <w:rFonts w:ascii="Times New Roman" w:hAnsi="Times New Roman"/>
                <w:sz w:val="24"/>
              </w:rPr>
              <w:t>：是一种用在金属切削、磨加工过程中，用来冷却和润滑刀具和加工件的工业用液体，切削液由多种超强功能助剂经科学复合配合而成，同时具备良好的冷却性能、润滑性能、防锈性能、除油清洗功能、防腐功能、易稀释特点。</w:t>
            </w:r>
          </w:p>
          <w:p>
            <w:pPr>
              <w:spacing w:line="440" w:lineRule="exact"/>
              <w:ind w:firstLine="482" w:firstLineChars="200"/>
              <w:jc w:val="both"/>
              <w:rPr>
                <w:rFonts w:ascii="Times New Roman" w:hAnsi="Times New Roman"/>
                <w:sz w:val="24"/>
              </w:rPr>
            </w:pPr>
            <w:r>
              <w:rPr>
                <w:rFonts w:ascii="Times New Roman" w:hAnsi="Times New Roman"/>
                <w:b/>
                <w:bCs/>
                <w:sz w:val="24"/>
              </w:rPr>
              <w:t>5）抛光粉</w:t>
            </w:r>
            <w:r>
              <w:rPr>
                <w:rFonts w:ascii="Times New Roman" w:hAnsi="Times New Roman"/>
                <w:sz w:val="24"/>
              </w:rPr>
              <w:t>：抛光粉通常由氧化铈（VK-CE01）、氧化铝（VK-L30F）、氧化硅（VK-SP50F）、氧化铁、氧化锆（VK-R30F）等组份组成，不同的材料的硬度不同，在水中的化学性质也不同，因此使用场合各不相同。氧化铝的莫氏硬度为9，氧化铈和氧化锆为7，氧化铁更低。氧化铈与硅酸盐玻璃的化学活性较高，硬度也相当，因此广泛用于玻璃的扫光。</w:t>
            </w:r>
          </w:p>
          <w:p>
            <w:pPr>
              <w:spacing w:line="440" w:lineRule="exact"/>
              <w:ind w:firstLine="482" w:firstLineChars="200"/>
              <w:jc w:val="both"/>
              <w:rPr>
                <w:rFonts w:ascii="Times New Roman" w:hAnsi="Times New Roman"/>
                <w:sz w:val="24"/>
              </w:rPr>
            </w:pPr>
            <w:r>
              <w:rPr>
                <w:rFonts w:ascii="Times New Roman" w:hAnsi="Times New Roman"/>
                <w:b/>
                <w:bCs/>
                <w:sz w:val="24"/>
              </w:rPr>
              <w:t>6）洗网水</w:t>
            </w:r>
            <w:r>
              <w:rPr>
                <w:rFonts w:ascii="Times New Roman" w:hAnsi="Times New Roman"/>
                <w:sz w:val="24"/>
              </w:rPr>
              <w:t>：成分包括异丙醇60-80%、乙二醇</w:t>
            </w:r>
            <w:r>
              <w:rPr>
                <w:rFonts w:hint="eastAsia" w:ascii="Times New Roman" w:hAnsi="Times New Roman"/>
                <w:sz w:val="24"/>
              </w:rPr>
              <w:t>1</w:t>
            </w:r>
            <w:r>
              <w:rPr>
                <w:rFonts w:ascii="Times New Roman" w:hAnsi="Times New Roman"/>
                <w:sz w:val="24"/>
              </w:rPr>
              <w:t>0-20%，无色液体，pH5~6，熔点：-89</w:t>
            </w:r>
            <w:r>
              <w:rPr>
                <w:rFonts w:hint="eastAsia" w:cs="宋体"/>
                <w:sz w:val="24"/>
              </w:rPr>
              <w:t>℃</w:t>
            </w:r>
            <w:r>
              <w:rPr>
                <w:rFonts w:ascii="Times New Roman" w:hAnsi="Times New Roman"/>
                <w:sz w:val="24"/>
              </w:rPr>
              <w:t>，沸点98</w:t>
            </w:r>
            <w:r>
              <w:rPr>
                <w:rFonts w:hint="eastAsia" w:cs="宋体"/>
                <w:sz w:val="24"/>
              </w:rPr>
              <w:t>℃</w:t>
            </w:r>
            <w:r>
              <w:rPr>
                <w:rFonts w:ascii="Times New Roman" w:hAnsi="Times New Roman"/>
                <w:sz w:val="24"/>
              </w:rPr>
              <w:t>，闪点90</w:t>
            </w:r>
            <w:r>
              <w:rPr>
                <w:rFonts w:hint="eastAsia" w:cs="宋体"/>
                <w:sz w:val="24"/>
              </w:rPr>
              <w:t>℃</w:t>
            </w:r>
            <w:r>
              <w:rPr>
                <w:rFonts w:ascii="Times New Roman" w:hAnsi="Times New Roman"/>
                <w:sz w:val="24"/>
              </w:rPr>
              <w:t>，易燃，</w:t>
            </w:r>
            <w:r>
              <w:rPr>
                <w:rFonts w:hint="eastAsia" w:ascii="Times New Roman" w:hAnsi="Times New Roman"/>
                <w:sz w:val="24"/>
              </w:rPr>
              <w:t>密度为0</w:t>
            </w:r>
            <w:r>
              <w:rPr>
                <w:rFonts w:ascii="Times New Roman" w:hAnsi="Times New Roman"/>
                <w:sz w:val="24"/>
              </w:rPr>
              <w:t>.83g/cm³，燃烧温度425</w:t>
            </w:r>
            <w:r>
              <w:rPr>
                <w:rFonts w:hint="eastAsia" w:cs="宋体"/>
                <w:sz w:val="24"/>
              </w:rPr>
              <w:t>℃</w:t>
            </w:r>
            <w:r>
              <w:rPr>
                <w:rFonts w:ascii="Times New Roman" w:hAnsi="Times New Roman"/>
                <w:sz w:val="24"/>
              </w:rPr>
              <w:t>。用作丝网印刷时透印油墨后的丝网及工件的</w:t>
            </w:r>
            <w:r>
              <w:rPr>
                <w:rFonts w:hint="eastAsia" w:ascii="Times New Roman" w:hAnsi="Times New Roman"/>
                <w:sz w:val="24"/>
              </w:rPr>
              <w:t>稀释剂、清洗剂</w:t>
            </w:r>
            <w:r>
              <w:rPr>
                <w:rFonts w:ascii="Times New Roman" w:hAnsi="Times New Roman"/>
                <w:sz w:val="24"/>
              </w:rPr>
              <w:t>。</w:t>
            </w:r>
          </w:p>
          <w:p>
            <w:pPr>
              <w:spacing w:line="440" w:lineRule="exact"/>
              <w:ind w:firstLine="482" w:firstLineChars="200"/>
              <w:jc w:val="both"/>
              <w:rPr>
                <w:rFonts w:ascii="Times New Roman" w:hAnsi="Times New Roman"/>
                <w:sz w:val="24"/>
              </w:rPr>
            </w:pPr>
            <w:r>
              <w:rPr>
                <w:rFonts w:ascii="Times New Roman" w:hAnsi="Times New Roman"/>
                <w:b/>
                <w:bCs/>
                <w:sz w:val="24"/>
              </w:rPr>
              <w:t>7）清洗剂</w:t>
            </w:r>
            <w:r>
              <w:rPr>
                <w:rFonts w:ascii="Times New Roman" w:hAnsi="Times New Roman"/>
                <w:sz w:val="24"/>
              </w:rPr>
              <w:t>：沸点</w:t>
            </w:r>
            <w:r>
              <w:rPr>
                <w:rFonts w:hint="eastAsia" w:ascii="Times New Roman" w:hAnsi="Times New Roman"/>
                <w:sz w:val="24"/>
              </w:rPr>
              <w:t>≥</w:t>
            </w:r>
            <w:r>
              <w:rPr>
                <w:rFonts w:ascii="Times New Roman" w:hAnsi="Times New Roman"/>
                <w:sz w:val="24"/>
              </w:rPr>
              <w:t>100</w:t>
            </w:r>
            <w:r>
              <w:rPr>
                <w:rFonts w:hint="eastAsia" w:cs="宋体"/>
                <w:sz w:val="24"/>
              </w:rPr>
              <w:t>℃，无特殊气味，无色透明液体，</w:t>
            </w:r>
            <w:r>
              <w:rPr>
                <w:rFonts w:ascii="Times New Roman" w:hAnsi="Times New Roman"/>
                <w:sz w:val="24"/>
              </w:rPr>
              <w:t>pH9~10，由表面活性剂和各种助剂、辅助剂配制成的，在洗涤物体表面上的污垢时，能降低水溶液的表面张力，提高去污效果的物质。</w:t>
            </w:r>
          </w:p>
          <w:p>
            <w:pPr>
              <w:spacing w:line="440" w:lineRule="exact"/>
              <w:ind w:firstLine="482" w:firstLineChars="200"/>
              <w:jc w:val="both"/>
              <w:rPr>
                <w:rFonts w:ascii="Times New Roman" w:hAnsi="Times New Roman"/>
                <w:sz w:val="24"/>
              </w:rPr>
            </w:pPr>
            <w:r>
              <w:rPr>
                <w:rFonts w:ascii="Times New Roman" w:hAnsi="Times New Roman"/>
                <w:b/>
                <w:bCs/>
                <w:sz w:val="24"/>
              </w:rPr>
              <w:t>8）酒精</w:t>
            </w:r>
            <w:r>
              <w:rPr>
                <w:rFonts w:ascii="Times New Roman" w:hAnsi="Times New Roman"/>
                <w:sz w:val="24"/>
              </w:rPr>
              <w:t>：工业上使用的酒精，也称变性酒精、工业火酒。无色透明、易燃易挥发液体，有酒的气味和刺激性辛辣味。工业乙醇含量为95%（化学式C2H5OH）；相对密度（20</w:t>
            </w:r>
            <w:r>
              <w:rPr>
                <w:rFonts w:hint="eastAsia" w:cs="宋体"/>
                <w:sz w:val="24"/>
              </w:rPr>
              <w:t>℃</w:t>
            </w:r>
            <w:r>
              <w:rPr>
                <w:rFonts w:ascii="Times New Roman" w:hAnsi="Times New Roman"/>
                <w:sz w:val="24"/>
              </w:rPr>
              <w:t>/4</w:t>
            </w:r>
            <w:r>
              <w:rPr>
                <w:rFonts w:hint="eastAsia" w:cs="宋体"/>
                <w:sz w:val="24"/>
              </w:rPr>
              <w:t>℃</w:t>
            </w:r>
            <w:r>
              <w:rPr>
                <w:rFonts w:ascii="Times New Roman" w:hAnsi="Times New Roman"/>
                <w:sz w:val="24"/>
              </w:rPr>
              <w:t>）：0.793；凝固点：-114</w:t>
            </w:r>
            <w:r>
              <w:rPr>
                <w:rFonts w:hint="eastAsia" w:cs="宋体"/>
                <w:sz w:val="24"/>
              </w:rPr>
              <w:t>℃</w:t>
            </w:r>
            <w:r>
              <w:rPr>
                <w:rFonts w:ascii="Times New Roman" w:hAnsi="Times New Roman"/>
                <w:sz w:val="24"/>
              </w:rPr>
              <w:t>；沸点：78.32</w:t>
            </w:r>
            <w:r>
              <w:rPr>
                <w:rFonts w:hint="eastAsia" w:cs="宋体"/>
                <w:sz w:val="24"/>
              </w:rPr>
              <w:t>℃</w:t>
            </w:r>
            <w:r>
              <w:rPr>
                <w:rFonts w:ascii="Times New Roman" w:hAnsi="Times New Roman"/>
                <w:sz w:val="24"/>
              </w:rPr>
              <w:t>；闪点（开口）：16</w:t>
            </w:r>
            <w:r>
              <w:rPr>
                <w:rFonts w:hint="eastAsia" w:cs="宋体"/>
                <w:sz w:val="24"/>
              </w:rPr>
              <w:t>℃</w:t>
            </w:r>
            <w:r>
              <w:rPr>
                <w:rFonts w:ascii="Times New Roman" w:hAnsi="Times New Roman"/>
                <w:sz w:val="24"/>
              </w:rPr>
              <w:t>；燃点：390-430</w:t>
            </w:r>
            <w:r>
              <w:rPr>
                <w:rFonts w:hint="eastAsia" w:cs="宋体"/>
                <w:sz w:val="24"/>
              </w:rPr>
              <w:t>℃</w:t>
            </w:r>
            <w:r>
              <w:rPr>
                <w:rFonts w:ascii="Times New Roman" w:hAnsi="Times New Roman"/>
                <w:sz w:val="24"/>
              </w:rPr>
              <w:t>；折射率：1.3614；粘度（20</w:t>
            </w:r>
            <w:r>
              <w:rPr>
                <w:rFonts w:hint="eastAsia" w:cs="宋体"/>
                <w:sz w:val="24"/>
              </w:rPr>
              <w:t>℃</w:t>
            </w:r>
            <w:r>
              <w:rPr>
                <w:rFonts w:ascii="Times New Roman" w:hAnsi="Times New Roman"/>
                <w:sz w:val="24"/>
              </w:rPr>
              <w:t>）：1.41mPa·s；表面张力（20</w:t>
            </w:r>
            <w:r>
              <w:rPr>
                <w:rFonts w:hint="eastAsia" w:cs="宋体"/>
                <w:sz w:val="24"/>
              </w:rPr>
              <w:t>℃</w:t>
            </w:r>
            <w:r>
              <w:rPr>
                <w:rFonts w:ascii="Times New Roman" w:hAnsi="Times New Roman"/>
                <w:sz w:val="24"/>
              </w:rPr>
              <w:t>）：22．27×10ˆ-3N/m；比热容（20</w:t>
            </w:r>
            <w:r>
              <w:rPr>
                <w:rFonts w:hint="eastAsia" w:cs="宋体"/>
                <w:sz w:val="24"/>
              </w:rPr>
              <w:t>℃</w:t>
            </w:r>
            <w:r>
              <w:rPr>
                <w:rFonts w:ascii="Times New Roman" w:hAnsi="Times New Roman"/>
                <w:sz w:val="24"/>
              </w:rPr>
              <w:t>）：2.42kJ/（kgK）；蒸气压（20</w:t>
            </w:r>
            <w:r>
              <w:rPr>
                <w:rFonts w:hint="eastAsia" w:cs="宋体"/>
                <w:sz w:val="24"/>
              </w:rPr>
              <w:t>℃</w:t>
            </w:r>
            <w:r>
              <w:rPr>
                <w:rFonts w:ascii="Times New Roman" w:hAnsi="Times New Roman"/>
                <w:sz w:val="24"/>
              </w:rPr>
              <w:t>）：5.732kPa；溶解度参数δ=12.7。溶于水、甲醇、乙醚和氯仿。能溶解许多有机物和若干无机物。具有吸湿性，能与水形成共沸混合物。毒性：微毒，有麻醉性，饮入乙醇中毒剂量75-80g。致死剂量为250-500g。空气中最高容许浓度1880mg/立方米。</w:t>
            </w:r>
          </w:p>
          <w:p>
            <w:pPr>
              <w:spacing w:line="440" w:lineRule="exact"/>
              <w:ind w:firstLine="482" w:firstLineChars="200"/>
              <w:jc w:val="both"/>
              <w:rPr>
                <w:rFonts w:ascii="Times New Roman" w:hAnsi="Times New Roman"/>
                <w:sz w:val="24"/>
              </w:rPr>
            </w:pPr>
            <w:r>
              <w:rPr>
                <w:rFonts w:ascii="Times New Roman" w:hAnsi="Times New Roman"/>
                <w:b/>
                <w:bCs/>
                <w:sz w:val="24"/>
              </w:rPr>
              <w:t>9）全氟聚醚</w:t>
            </w:r>
            <w:r>
              <w:rPr>
                <w:rFonts w:ascii="Times New Roman" w:hAnsi="Times New Roman"/>
                <w:sz w:val="24"/>
              </w:rPr>
              <w:t>：全氟聚醚（Perfluoropolyethers，缩写为PFPE）是一种常温下为液体的合成聚合物，作为太空机械元器件的润滑剂已有几十年的历史。人们对其物理、化学性质和摩擦学特性已有所认识。全氟聚醚油具有不燃性，但是暴露在空气中使用时，超过400</w:t>
            </w:r>
            <w:r>
              <w:rPr>
                <w:rFonts w:hint="eastAsia" w:cs="宋体"/>
                <w:sz w:val="24"/>
              </w:rPr>
              <w:t>℃会</w:t>
            </w:r>
            <w:r>
              <w:rPr>
                <w:rFonts w:ascii="Times New Roman" w:hAnsi="Times New Roman"/>
                <w:sz w:val="24"/>
              </w:rPr>
              <w:t>开始慢慢分解。在氧化安定性试验中，分解后产生极高的发热温度，对有机碱及路易斯酸表现以轻度的不稳定倾向。常温下</w:t>
            </w:r>
            <w:r>
              <w:rPr>
                <w:rFonts w:hint="eastAsia" w:ascii="Times New Roman" w:hAnsi="Times New Roman"/>
                <w:sz w:val="24"/>
              </w:rPr>
              <w:t>，</w:t>
            </w:r>
            <w:r>
              <w:rPr>
                <w:rFonts w:ascii="Times New Roman" w:hAnsi="Times New Roman"/>
                <w:sz w:val="24"/>
              </w:rPr>
              <w:t>金属钠和液氨</w:t>
            </w:r>
            <w:r>
              <w:rPr>
                <w:rFonts w:hint="eastAsia" w:ascii="Times New Roman" w:hAnsi="Times New Roman"/>
                <w:sz w:val="24"/>
              </w:rPr>
              <w:t>会使</w:t>
            </w:r>
            <w:r>
              <w:rPr>
                <w:rFonts w:ascii="Times New Roman" w:hAnsi="Times New Roman"/>
                <w:sz w:val="24"/>
              </w:rPr>
              <w:t>其分解。</w:t>
            </w:r>
          </w:p>
          <w:p>
            <w:pPr>
              <w:spacing w:line="440" w:lineRule="exact"/>
              <w:ind w:firstLine="482" w:firstLineChars="200"/>
              <w:jc w:val="both"/>
              <w:rPr>
                <w:rFonts w:ascii="Times New Roman" w:hAnsi="Times New Roman"/>
                <w:sz w:val="24"/>
              </w:rPr>
            </w:pPr>
            <w:r>
              <w:rPr>
                <w:rFonts w:ascii="Times New Roman" w:hAnsi="Times New Roman"/>
                <w:b/>
                <w:bCs/>
                <w:sz w:val="24"/>
              </w:rPr>
              <w:t>10）二氧化硅</w:t>
            </w:r>
            <w:r>
              <w:rPr>
                <w:rFonts w:ascii="Times New Roman" w:hAnsi="Times New Roman"/>
                <w:sz w:val="24"/>
              </w:rPr>
              <w:t>：化学性质比较稳定。不溶于水也不跟水反应。是酸性氧化物，不跟一般酸反应。气态氟化氢跟二氧化硅反应生成气态四氟化硅。跟热的浓强碱溶液或熔化的碱反应生成硅酸盐和水。跟多种金属氧化物在高温下反应生成硅酸盐。用于制造石英玻璃、光学仪器、化学器皿、普通玻璃、耐火材料、光导纤维，陶瓷等。二氧化硅的性质不活泼，它不与除氟、氟化氢以外的卤素、卤化氢以及硫酸、硝酸、高氯酸作用（热浓磷酸除外）。常见的浓磷酸（或者说焦磷酸）在高温下即可腐蚀二氧化硅，生成杂多酸，高温下熔融硼酸盐或者硼酐亦可腐蚀二氧化硅，鉴于此性质，硼酸盐可以用于陶瓷烧制中的助熔剂，除此之外氟化氢也可以可使二氧化硅溶解的酸，生成易溶于水的氟硅酸</w:t>
            </w:r>
          </w:p>
          <w:p>
            <w:pPr>
              <w:spacing w:line="440" w:lineRule="exact"/>
              <w:ind w:firstLine="482" w:firstLineChars="200"/>
              <w:jc w:val="both"/>
              <w:rPr>
                <w:rFonts w:ascii="Times New Roman" w:hAnsi="Times New Roman"/>
                <w:sz w:val="24"/>
              </w:rPr>
            </w:pPr>
            <w:r>
              <w:rPr>
                <w:rFonts w:ascii="Times New Roman" w:hAnsi="Times New Roman"/>
                <w:b/>
                <w:bCs/>
                <w:sz w:val="24"/>
              </w:rPr>
              <w:t>11）氧化钛</w:t>
            </w:r>
            <w:r>
              <w:rPr>
                <w:rFonts w:ascii="Times New Roman" w:hAnsi="Times New Roman"/>
                <w:sz w:val="24"/>
              </w:rPr>
              <w:t>：质地柔软的无嗅无味的白色粉末，遮盖力和着色力强，溶点1560～1580</w:t>
            </w:r>
            <w:r>
              <w:rPr>
                <w:rFonts w:hint="eastAsia" w:cs="宋体"/>
                <w:sz w:val="24"/>
              </w:rPr>
              <w:t>℃</w:t>
            </w:r>
            <w:r>
              <w:rPr>
                <w:rFonts w:ascii="Times New Roman" w:hAnsi="Times New Roman"/>
                <w:sz w:val="24"/>
              </w:rPr>
              <w:t>。不溶于水、稀无机酸、有机溶剂、油，微溶于碱，溶于浓硫酸。遇热变黄色，冷却后又变白色。金红石型（R型）密度4.26g/cm3，折射率2.72。R型钛白粉具有较好的耐气候性、耐水性和不易变黄的特点，但白度稍差。锐钛型（A型）密度3.84g/cm</w:t>
            </w:r>
            <w:r>
              <w:rPr>
                <w:rFonts w:ascii="Times New Roman" w:hAnsi="Times New Roman"/>
                <w:sz w:val="24"/>
                <w:vertAlign w:val="superscript"/>
              </w:rPr>
              <w:t>3</w:t>
            </w:r>
            <w:r>
              <w:rPr>
                <w:rFonts w:ascii="Times New Roman" w:hAnsi="Times New Roman"/>
                <w:sz w:val="24"/>
              </w:rPr>
              <w:t>，折射率2.55。A型钛白粉耐光性差，不耐风化，但白度较好。近年来发现纳米级超微细二氧化钛（通常为10～50nm）具有半导体性质，并且具有高稳定性、高透明性、高活性和高分散性，无毒性和颜色效应。</w:t>
            </w:r>
          </w:p>
          <w:p>
            <w:pPr>
              <w:spacing w:line="440" w:lineRule="exact"/>
              <w:ind w:firstLine="482" w:firstLineChars="200"/>
              <w:jc w:val="both"/>
              <w:rPr>
                <w:rFonts w:ascii="Times New Roman" w:hAnsi="Times New Roman"/>
                <w:sz w:val="24"/>
              </w:rPr>
            </w:pPr>
            <w:r>
              <w:rPr>
                <w:rFonts w:ascii="Times New Roman" w:hAnsi="Times New Roman"/>
                <w:b/>
                <w:bCs/>
                <w:sz w:val="24"/>
              </w:rPr>
              <w:t>12）滑石粉</w:t>
            </w:r>
            <w:r>
              <w:rPr>
                <w:rFonts w:ascii="Times New Roman" w:hAnsi="Times New Roman"/>
                <w:sz w:val="24"/>
              </w:rPr>
              <w:t>：是一种</w:t>
            </w:r>
            <w:r>
              <w:fldChar w:fldCharType="begin"/>
            </w:r>
            <w:r>
              <w:instrText xml:space="preserve"> HYPERLINK "https://baike.baidu.com/item/%E5%B7%A5%E4%B8%9A%E4%BA%A7%E5%93%81/1113400" \t "_blank" </w:instrText>
            </w:r>
            <w:r>
              <w:fldChar w:fldCharType="separate"/>
            </w:r>
            <w:r>
              <w:rPr>
                <w:rFonts w:ascii="Times New Roman" w:hAnsi="Times New Roman"/>
                <w:sz w:val="24"/>
              </w:rPr>
              <w:t>工业产品</w:t>
            </w:r>
            <w:r>
              <w:rPr>
                <w:rFonts w:ascii="Times New Roman" w:hAnsi="Times New Roman"/>
                <w:sz w:val="24"/>
              </w:rPr>
              <w:fldChar w:fldCharType="end"/>
            </w:r>
            <w:r>
              <w:rPr>
                <w:rFonts w:ascii="Times New Roman" w:hAnsi="Times New Roman"/>
                <w:sz w:val="24"/>
              </w:rPr>
              <w:t>，为硅酸镁盐类矿物滑石族滑石，主要成分为含水硅酸镁，经粉碎后，用</w:t>
            </w:r>
            <w:r>
              <w:fldChar w:fldCharType="begin"/>
            </w:r>
            <w:r>
              <w:instrText xml:space="preserve"> HYPERLINK "https://baike.baidu.com/item/%E7%9B%90%E9%85%B8/114516" \t "_blank" </w:instrText>
            </w:r>
            <w:r>
              <w:fldChar w:fldCharType="separate"/>
            </w:r>
            <w:r>
              <w:rPr>
                <w:rFonts w:ascii="Times New Roman" w:hAnsi="Times New Roman"/>
                <w:sz w:val="24"/>
              </w:rPr>
              <w:t>盐酸</w:t>
            </w:r>
            <w:r>
              <w:rPr>
                <w:rFonts w:ascii="Times New Roman" w:hAnsi="Times New Roman"/>
                <w:sz w:val="24"/>
              </w:rPr>
              <w:fldChar w:fldCharType="end"/>
            </w:r>
            <w:r>
              <w:rPr>
                <w:rFonts w:ascii="Times New Roman" w:hAnsi="Times New Roman"/>
                <w:sz w:val="24"/>
              </w:rPr>
              <w:t>处理，水洗，</w:t>
            </w:r>
            <w:r>
              <w:fldChar w:fldCharType="begin"/>
            </w:r>
            <w:r>
              <w:instrText xml:space="preserve"> HYPERLINK "https://baike.baidu.com/item/%E5%B9%B2%E7%87%A5/10697533" \t "_blank" </w:instrText>
            </w:r>
            <w:r>
              <w:fldChar w:fldCharType="separate"/>
            </w:r>
            <w:r>
              <w:rPr>
                <w:rFonts w:ascii="Times New Roman" w:hAnsi="Times New Roman"/>
                <w:sz w:val="24"/>
              </w:rPr>
              <w:t>干燥</w:t>
            </w:r>
            <w:r>
              <w:rPr>
                <w:rFonts w:ascii="Times New Roman" w:hAnsi="Times New Roman"/>
                <w:sz w:val="24"/>
              </w:rPr>
              <w:fldChar w:fldCharType="end"/>
            </w:r>
            <w:r>
              <w:rPr>
                <w:rFonts w:ascii="Times New Roman" w:hAnsi="Times New Roman"/>
                <w:sz w:val="24"/>
              </w:rPr>
              <w:t>而成。常用于塑料类、纸类产品的填料，橡胶填料和橡胶制品防黏剂，高级油漆涂料等。滑石粉具有良好的悬浮性和易分散性，且腐蚀性低，在涂料中，滑石粉作为填料可起到骨架作用，降低制造成本的同时提高涂料的漆膜硬度。还具有提高产品形状的稳定性，增加张力强度、剪切强度、压力强度，降低变形、伸张率、热膨胀系数，白度高、粒度均匀分散性强等特点。片状粒子结构的滑石粉可使涂膜具有很高的耐水性和瓷漆不渗性，纤维状粒子结构的滑石粉，可使涂料的流变性及流平性得到很好的改善，同时可提高涂料的耐候性。</w:t>
            </w:r>
          </w:p>
          <w:p>
            <w:pPr>
              <w:spacing w:line="360" w:lineRule="auto"/>
              <w:ind w:firstLine="482" w:firstLineChars="200"/>
              <w:jc w:val="both"/>
              <w:rPr>
                <w:rFonts w:ascii="Times New Roman" w:hAnsi="Times New Roman"/>
                <w:sz w:val="24"/>
              </w:rPr>
            </w:pPr>
            <w:r>
              <w:rPr>
                <w:rFonts w:ascii="Times New Roman" w:hAnsi="Times New Roman"/>
                <w:b/>
                <w:bCs/>
                <w:sz w:val="24"/>
              </w:rPr>
              <w:t>13）</w:t>
            </w:r>
            <w:r>
              <w:rPr>
                <w:rFonts w:hint="eastAsia" w:ascii="Times New Roman" w:hAnsi="Times New Roman"/>
                <w:b/>
                <w:bCs/>
                <w:sz w:val="24"/>
              </w:rPr>
              <w:t>玻璃</w:t>
            </w:r>
            <w:r>
              <w:rPr>
                <w:rFonts w:ascii="Times New Roman" w:hAnsi="Times New Roman"/>
                <w:b/>
                <w:bCs/>
                <w:sz w:val="24"/>
              </w:rPr>
              <w:t>保护液</w:t>
            </w:r>
            <w:r>
              <w:rPr>
                <w:rFonts w:ascii="Times New Roman" w:hAnsi="Times New Roman"/>
                <w:sz w:val="24"/>
              </w:rPr>
              <w:t>：</w:t>
            </w:r>
            <w:r>
              <w:rPr>
                <w:rFonts w:hint="eastAsia" w:ascii="Times New Roman" w:hAnsi="Times New Roman"/>
                <w:sz w:val="24"/>
              </w:rPr>
              <w:t>用于光学玻璃加工行业玻璃表面防划伤保护，暗红色液体，密度为</w:t>
            </w:r>
            <w:r>
              <w:rPr>
                <w:rFonts w:ascii="Times New Roman" w:hAnsi="Times New Roman"/>
                <w:sz w:val="24"/>
              </w:rPr>
              <w:t>0.916g/cm</w:t>
            </w:r>
            <w:r>
              <w:rPr>
                <w:rFonts w:ascii="Times New Roman" w:hAnsi="Times New Roman"/>
                <w:sz w:val="24"/>
                <w:vertAlign w:val="superscript"/>
              </w:rPr>
              <w:t>3</w:t>
            </w:r>
            <w:r>
              <w:rPr>
                <w:rFonts w:ascii="Times New Roman" w:hAnsi="Times New Roman"/>
                <w:sz w:val="24"/>
              </w:rPr>
              <w:t>，不溶于水，主要成分为流平剂（浓度范围 5-25%），固化成膜剂（35-50%），</w:t>
            </w:r>
            <w:r>
              <w:rPr>
                <w:rFonts w:hint="eastAsia" w:ascii="Times New Roman" w:hAnsi="Times New Roman"/>
                <w:sz w:val="24"/>
              </w:rPr>
              <w:t>催化剂（聚酰胺，</w:t>
            </w:r>
            <w:r>
              <w:rPr>
                <w:rFonts w:ascii="Times New Roman" w:hAnsi="Times New Roman"/>
                <w:sz w:val="24"/>
              </w:rPr>
              <w:t>5-20%），快干剂（5-20%）。其中挥发成分为快干剂，本项目取挥发</w:t>
            </w:r>
            <w:r>
              <w:rPr>
                <w:rFonts w:hint="eastAsia" w:ascii="Times New Roman" w:hAnsi="Times New Roman"/>
                <w:sz w:val="24"/>
              </w:rPr>
              <w:t>系数（按最不利情况）为</w:t>
            </w:r>
            <w:r>
              <w:rPr>
                <w:rFonts w:ascii="Times New Roman" w:hAnsi="Times New Roman"/>
                <w:sz w:val="24"/>
              </w:rPr>
              <w:t xml:space="preserve"> 20%；根据玻璃保护油成分组成，玻璃保护油固含率为80%。</w:t>
            </w:r>
          </w:p>
          <w:p>
            <w:pPr>
              <w:pStyle w:val="2"/>
              <w:spacing w:after="0" w:line="360" w:lineRule="auto"/>
              <w:ind w:left="0" w:leftChars="0" w:firstLine="480"/>
              <w:rPr>
                <w:rFonts w:ascii="Times New Roman" w:hAnsi="Times New Roman"/>
                <w:sz w:val="24"/>
              </w:rPr>
            </w:pPr>
            <w:r>
              <w:rPr>
                <w:rFonts w:ascii="Times New Roman" w:hAnsi="Times New Roman"/>
                <w:sz w:val="24"/>
              </w:rPr>
              <w:t>（3）项目涉 VOCs 原辅材料挥发性有机物含量与相关标准相符性分析</w:t>
            </w:r>
          </w:p>
          <w:p>
            <w:pPr>
              <w:spacing w:line="360" w:lineRule="auto"/>
              <w:jc w:val="center"/>
              <w:rPr>
                <w:rFonts w:ascii="Times New Roman" w:hAnsi="Times New Roman"/>
                <w:b/>
                <w:bCs/>
              </w:rPr>
            </w:pPr>
            <w:r>
              <w:rPr>
                <w:rFonts w:ascii="Times New Roman" w:hAnsi="Times New Roman"/>
                <w:b/>
                <w:bCs/>
              </w:rPr>
              <w:t>表2-7 本项目原辅材料VOCs含量分析比较表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587"/>
              <w:gridCol w:w="1258"/>
              <w:gridCol w:w="1378"/>
              <w:gridCol w:w="1378"/>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840" w:type="dxa"/>
                  <w:vMerge w:val="restart"/>
                  <w:vAlign w:val="center"/>
                </w:tcPr>
                <w:p>
                  <w:pPr>
                    <w:widowControl/>
                    <w:autoSpaceDE/>
                    <w:autoSpaceDN/>
                    <w:jc w:val="center"/>
                    <w:rPr>
                      <w:rFonts w:ascii="Times New Roman" w:hAnsi="Times New Roman"/>
                      <w:b/>
                      <w:bCs/>
                      <w:lang w:val="en-US" w:bidi="ar-SA"/>
                    </w:rPr>
                  </w:pPr>
                  <w:bookmarkStart w:id="38" w:name="_Hlk114599259"/>
                  <w:r>
                    <w:rPr>
                      <w:rFonts w:ascii="Times New Roman" w:hAnsi="Times New Roman"/>
                      <w:b/>
                      <w:bCs/>
                      <w:lang w:val="en-US" w:bidi="ar-SA"/>
                    </w:rPr>
                    <w:t>项目</w:t>
                  </w:r>
                </w:p>
              </w:tc>
              <w:tc>
                <w:tcPr>
                  <w:tcW w:w="1060" w:type="dxa"/>
                  <w:vMerge w:val="restart"/>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使用工序</w:t>
                  </w:r>
                </w:p>
              </w:tc>
              <w:tc>
                <w:tcPr>
                  <w:tcW w:w="840" w:type="dxa"/>
                  <w:vMerge w:val="restart"/>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密度g/cm</w:t>
                  </w:r>
                  <w:r>
                    <w:rPr>
                      <w:rFonts w:ascii="Times New Roman" w:hAnsi="Times New Roman"/>
                      <w:b/>
                      <w:bCs/>
                      <w:vertAlign w:val="superscript"/>
                      <w:lang w:val="en-US" w:bidi="ar-SA"/>
                    </w:rPr>
                    <w:t>3</w:t>
                  </w:r>
                </w:p>
              </w:tc>
              <w:tc>
                <w:tcPr>
                  <w:tcW w:w="1840" w:type="dxa"/>
                  <w:gridSpan w:val="2"/>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挥发性有机物产污系数</w:t>
                  </w:r>
                </w:p>
              </w:tc>
              <w:tc>
                <w:tcPr>
                  <w:tcW w:w="1060" w:type="dxa"/>
                  <w:vMerge w:val="restart"/>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挥发性有机物 含量限值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840" w:type="dxa"/>
                  <w:vMerge w:val="continue"/>
                  <w:vAlign w:val="center"/>
                </w:tcPr>
                <w:p>
                  <w:pPr>
                    <w:widowControl/>
                    <w:autoSpaceDE/>
                    <w:autoSpaceDN/>
                    <w:rPr>
                      <w:rFonts w:ascii="Times New Roman" w:hAnsi="Times New Roman"/>
                      <w:lang w:val="en-US" w:bidi="ar-SA"/>
                    </w:rPr>
                  </w:pPr>
                </w:p>
              </w:tc>
              <w:tc>
                <w:tcPr>
                  <w:tcW w:w="1060" w:type="dxa"/>
                  <w:vMerge w:val="continue"/>
                  <w:vAlign w:val="center"/>
                </w:tcPr>
                <w:p>
                  <w:pPr>
                    <w:widowControl/>
                    <w:autoSpaceDE/>
                    <w:autoSpaceDN/>
                    <w:rPr>
                      <w:rFonts w:ascii="Times New Roman" w:hAnsi="Times New Roman"/>
                      <w:lang w:val="en-US" w:bidi="ar-SA"/>
                    </w:rPr>
                  </w:pPr>
                </w:p>
              </w:tc>
              <w:tc>
                <w:tcPr>
                  <w:tcW w:w="1002" w:type="dxa"/>
                  <w:vMerge w:val="continue"/>
                  <w:vAlign w:val="center"/>
                </w:tcPr>
                <w:p>
                  <w:pPr>
                    <w:widowControl/>
                    <w:autoSpaceDE/>
                    <w:autoSpaceDN/>
                    <w:rPr>
                      <w:rFonts w:ascii="Times New Roman" w:hAnsi="Times New Roman"/>
                      <w:lang w:val="en-US" w:bidi="ar-SA"/>
                    </w:rPr>
                  </w:pPr>
                </w:p>
              </w:tc>
              <w:tc>
                <w:tcPr>
                  <w:tcW w:w="920" w:type="dxa"/>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百分比%</w:t>
                  </w:r>
                </w:p>
              </w:tc>
              <w:tc>
                <w:tcPr>
                  <w:tcW w:w="920" w:type="dxa"/>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含量</w:t>
                  </w:r>
                </w:p>
              </w:tc>
              <w:tc>
                <w:tcPr>
                  <w:tcW w:w="1060" w:type="dxa"/>
                  <w:vMerge w:val="continue"/>
                  <w:vAlign w:val="center"/>
                </w:tcPr>
                <w:p>
                  <w:pPr>
                    <w:widowControl/>
                    <w:autoSpaceDE/>
                    <w:autoSpaceDN/>
                    <w:rPr>
                      <w:rFonts w:ascii="Times New Roman" w:hAnsi="Times New Roman"/>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840" w:type="dxa"/>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丝印</w:t>
                  </w:r>
                  <w:r>
                    <w:rPr>
                      <w:rFonts w:ascii="Times New Roman" w:hAnsi="Times New Roman"/>
                      <w:lang w:val="en-US" w:bidi="ar-SA"/>
                    </w:rPr>
                    <w:t>油墨</w:t>
                  </w:r>
                </w:p>
              </w:tc>
              <w:tc>
                <w:tcPr>
                  <w:tcW w:w="106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印刷及烘干</w:t>
                  </w:r>
                </w:p>
              </w:tc>
              <w:tc>
                <w:tcPr>
                  <w:tcW w:w="840" w:type="dxa"/>
                  <w:vAlign w:val="center"/>
                </w:tcPr>
                <w:p>
                  <w:pPr>
                    <w:widowControl/>
                    <w:autoSpaceDE/>
                    <w:autoSpaceDN/>
                    <w:jc w:val="center"/>
                    <w:rPr>
                      <w:rFonts w:ascii="Times New Roman" w:hAnsi="Times New Roman"/>
                      <w:highlight w:val="yellow"/>
                      <w:lang w:val="en-US" w:bidi="ar-SA"/>
                    </w:rPr>
                  </w:pPr>
                  <w:r>
                    <w:rPr>
                      <w:rFonts w:ascii="Times New Roman" w:hAnsi="Times New Roman"/>
                      <w:lang w:val="en-US" w:bidi="ar-SA"/>
                    </w:rPr>
                    <w:t>0.95</w:t>
                  </w:r>
                </w:p>
              </w:tc>
              <w:tc>
                <w:tcPr>
                  <w:tcW w:w="92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58</w:t>
                  </w:r>
                </w:p>
              </w:tc>
              <w:tc>
                <w:tcPr>
                  <w:tcW w:w="92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551g/L</w:t>
                  </w:r>
                </w:p>
              </w:tc>
              <w:tc>
                <w:tcPr>
                  <w:tcW w:w="106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84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UV油墨</w:t>
                  </w:r>
                </w:p>
              </w:tc>
              <w:tc>
                <w:tcPr>
                  <w:tcW w:w="106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印刷及烘干</w:t>
                  </w:r>
                </w:p>
              </w:tc>
              <w:tc>
                <w:tcPr>
                  <w:tcW w:w="840" w:type="dxa"/>
                  <w:vAlign w:val="center"/>
                </w:tcPr>
                <w:p>
                  <w:pPr>
                    <w:widowControl/>
                    <w:autoSpaceDE/>
                    <w:autoSpaceDN/>
                    <w:jc w:val="center"/>
                    <w:rPr>
                      <w:rFonts w:ascii="Times New Roman" w:hAnsi="Times New Roman"/>
                      <w:highlight w:val="yellow"/>
                      <w:lang w:val="en-US" w:bidi="ar-SA"/>
                    </w:rPr>
                  </w:pPr>
                  <w:r>
                    <w:rPr>
                      <w:rFonts w:ascii="Times New Roman" w:hAnsi="Times New Roman"/>
                      <w:lang w:val="en-US" w:bidi="ar-SA"/>
                    </w:rPr>
                    <w:t>1.12</w:t>
                  </w:r>
                </w:p>
              </w:tc>
              <w:tc>
                <w:tcPr>
                  <w:tcW w:w="92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3</w:t>
                  </w:r>
                </w:p>
              </w:tc>
              <w:tc>
                <w:tcPr>
                  <w:tcW w:w="92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34g/L</w:t>
                  </w:r>
                </w:p>
              </w:tc>
              <w:tc>
                <w:tcPr>
                  <w:tcW w:w="106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84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洗网水</w:t>
                  </w:r>
                </w:p>
              </w:tc>
              <w:tc>
                <w:tcPr>
                  <w:tcW w:w="106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丝印（洗网）</w:t>
                  </w:r>
                </w:p>
              </w:tc>
              <w:tc>
                <w:tcPr>
                  <w:tcW w:w="840" w:type="dxa"/>
                  <w:vAlign w:val="center"/>
                </w:tcPr>
                <w:p>
                  <w:pPr>
                    <w:widowControl/>
                    <w:autoSpaceDE/>
                    <w:autoSpaceDN/>
                    <w:jc w:val="center"/>
                    <w:rPr>
                      <w:rFonts w:ascii="Times New Roman" w:hAnsi="Times New Roman"/>
                      <w:highlight w:val="yellow"/>
                      <w:lang w:val="en-US" w:bidi="ar-SA"/>
                    </w:rPr>
                  </w:pPr>
                  <w:r>
                    <w:rPr>
                      <w:rFonts w:ascii="Times New Roman" w:hAnsi="Times New Roman"/>
                      <w:lang w:val="en-US" w:bidi="ar-SA"/>
                    </w:rPr>
                    <w:t>0.83</w:t>
                  </w:r>
                </w:p>
              </w:tc>
              <w:tc>
                <w:tcPr>
                  <w:tcW w:w="92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100</w:t>
                  </w:r>
                </w:p>
              </w:tc>
              <w:tc>
                <w:tcPr>
                  <w:tcW w:w="92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830g/L</w:t>
                  </w:r>
                </w:p>
              </w:tc>
              <w:tc>
                <w:tcPr>
                  <w:tcW w:w="1060" w:type="dxa"/>
                  <w:vAlign w:val="center"/>
                </w:tcPr>
                <w:p>
                  <w:pPr>
                    <w:widowControl/>
                    <w:autoSpaceDE/>
                    <w:autoSpaceDN/>
                    <w:jc w:val="center"/>
                    <w:rPr>
                      <w:rFonts w:ascii="Times New Roman" w:hAnsi="Times New Roman"/>
                      <w:highlight w:val="yellow"/>
                      <w:lang w:val="en-US" w:bidi="ar-SA"/>
                    </w:rPr>
                  </w:pPr>
                  <w:r>
                    <w:rPr>
                      <w:rFonts w:ascii="Times New Roman" w:hAnsi="Times New Roman"/>
                      <w:lang w:val="en-US" w:bidi="ar-SA"/>
                    </w:rPr>
                    <w:t>900g/L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84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玻璃保护</w:t>
                  </w:r>
                  <w:r>
                    <w:rPr>
                      <w:rFonts w:hint="eastAsia" w:ascii="Times New Roman" w:hAnsi="Times New Roman"/>
                      <w:lang w:val="en-US" w:bidi="ar-SA"/>
                    </w:rPr>
                    <w:t>液</w:t>
                  </w:r>
                </w:p>
              </w:tc>
              <w:tc>
                <w:tcPr>
                  <w:tcW w:w="106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喷保护</w:t>
                  </w:r>
                  <w:r>
                    <w:rPr>
                      <w:rFonts w:hint="eastAsia" w:ascii="Times New Roman" w:hAnsi="Times New Roman"/>
                      <w:lang w:val="en-US" w:bidi="ar-SA"/>
                    </w:rPr>
                    <w:t>液</w:t>
                  </w:r>
                </w:p>
              </w:tc>
              <w:tc>
                <w:tcPr>
                  <w:tcW w:w="84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0.916</w:t>
                  </w:r>
                </w:p>
              </w:tc>
              <w:tc>
                <w:tcPr>
                  <w:tcW w:w="92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20</w:t>
                  </w:r>
                </w:p>
              </w:tc>
              <w:tc>
                <w:tcPr>
                  <w:tcW w:w="92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183g/L</w:t>
                  </w:r>
                </w:p>
              </w:tc>
              <w:tc>
                <w:tcPr>
                  <w:tcW w:w="1060" w:type="dxa"/>
                  <w:vAlign w:val="center"/>
                </w:tcPr>
                <w:p>
                  <w:pPr>
                    <w:widowControl/>
                    <w:autoSpaceDE/>
                    <w:autoSpaceDN/>
                    <w:jc w:val="center"/>
                    <w:rPr>
                      <w:rFonts w:ascii="Times New Roman" w:hAnsi="Times New Roman"/>
                      <w:lang w:val="en-US" w:bidi="ar-SA"/>
                    </w:rPr>
                  </w:pPr>
                  <w:r>
                    <w:rPr>
                      <w:rFonts w:ascii="Times New Roman" w:hAnsi="Times New Roman"/>
                      <w:lang w:val="en-US" w:bidi="ar-SA"/>
                    </w:rPr>
                    <w:t>270g/L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40" w:type="dxa"/>
                  <w:gridSpan w:val="6"/>
                  <w:vAlign w:val="center"/>
                </w:tcPr>
                <w:p>
                  <w:pPr>
                    <w:widowControl/>
                    <w:autoSpaceDE/>
                    <w:autoSpaceDN/>
                    <w:jc w:val="both"/>
                    <w:rPr>
                      <w:rFonts w:ascii="Times New Roman" w:hAnsi="Times New Roman"/>
                      <w:lang w:val="en-US" w:bidi="ar-SA"/>
                    </w:rPr>
                  </w:pPr>
                  <w:r>
                    <w:rPr>
                      <w:rFonts w:ascii="Times New Roman" w:hAnsi="Times New Roman"/>
                      <w:lang w:val="en-US" w:bidi="ar-SA"/>
                    </w:rPr>
                    <w:t>备注：</w:t>
                  </w:r>
                  <w:r>
                    <w:rPr>
                      <w:rFonts w:hint="eastAsia" w:ascii="Times New Roman" w:hAnsi="Times New Roman"/>
                      <w:lang w:val="en-US" w:bidi="ar-SA"/>
                    </w:rPr>
                    <w:t>①</w:t>
                  </w:r>
                  <w:r>
                    <w:rPr>
                      <w:rFonts w:ascii="Times New Roman" w:hAnsi="Times New Roman"/>
                      <w:lang w:val="en-US" w:bidi="ar-SA"/>
                    </w:rPr>
                    <w:t>网印油墨符合《油墨中可挥发性有机化合物（VOCs）含量的限值》（GB38507-2020）中表1油墨中可挥发性有机化合物含量的</w:t>
                  </w:r>
                  <w:r>
                    <w:rPr>
                      <w:rFonts w:hint="eastAsia" w:ascii="Times New Roman" w:hAnsi="Times New Roman"/>
                      <w:lang w:val="en-US" w:bidi="ar-SA"/>
                    </w:rPr>
                    <w:t>溶剂油墨中</w:t>
                  </w:r>
                  <w:r>
                    <w:rPr>
                      <w:rFonts w:ascii="Times New Roman" w:hAnsi="Times New Roman"/>
                      <w:lang w:val="en-US" w:bidi="ar-SA"/>
                    </w:rPr>
                    <w:t>网印油墨限值≤75%</w:t>
                  </w:r>
                  <w:r>
                    <w:rPr>
                      <w:rFonts w:hint="eastAsia" w:ascii="Times New Roman" w:hAnsi="Times New Roman"/>
                      <w:lang w:val="en-US" w:bidi="ar-SA"/>
                    </w:rPr>
                    <w:t>；</w:t>
                  </w:r>
                  <w:r>
                    <w:rPr>
                      <w:rFonts w:ascii="Times New Roman" w:hAnsi="Times New Roman"/>
                      <w:lang w:val="en-US" w:bidi="ar-SA"/>
                    </w:rPr>
                    <w:t>UV油墨符合《油墨中可挥发性有机化合物（VOCs）含量的限值》（GB38507-2020） 中表1油墨中可挥发性有机化合物含量的限值的能量固化</w:t>
                  </w:r>
                  <w:r>
                    <w:rPr>
                      <w:rFonts w:hint="eastAsia" w:ascii="Times New Roman" w:hAnsi="Times New Roman"/>
                      <w:lang w:val="en-US" w:bidi="ar-SA"/>
                    </w:rPr>
                    <w:t>喷墨印刷</w:t>
                  </w:r>
                  <w:r>
                    <w:rPr>
                      <w:rFonts w:ascii="Times New Roman" w:hAnsi="Times New Roman"/>
                      <w:lang w:val="en-US" w:bidi="ar-SA"/>
                    </w:rPr>
                    <w:t>油墨≤5%；</w:t>
                  </w:r>
                </w:p>
                <w:p>
                  <w:pPr>
                    <w:widowControl/>
                    <w:autoSpaceDE/>
                    <w:autoSpaceDN/>
                    <w:jc w:val="both"/>
                    <w:rPr>
                      <w:rFonts w:ascii="Times New Roman" w:hAnsi="Times New Roman"/>
                      <w:lang w:val="en-US" w:bidi="ar-SA"/>
                    </w:rPr>
                  </w:pPr>
                  <w:r>
                    <w:rPr>
                      <w:rFonts w:hint="eastAsia" w:ascii="Times New Roman" w:hAnsi="Times New Roman"/>
                      <w:lang w:val="en-US" w:bidi="ar-SA"/>
                    </w:rPr>
                    <w:t>②</w:t>
                  </w:r>
                  <w:r>
                    <w:rPr>
                      <w:rFonts w:ascii="Times New Roman" w:hAnsi="Times New Roman"/>
                      <w:lang w:val="en-US" w:bidi="ar-SA"/>
                    </w:rPr>
                    <w:t>洗网水符合《清洗剂挥发性有机化合物含量限值》（GB38508-2020）表1</w:t>
                  </w:r>
                  <w:r>
                    <w:rPr>
                      <w:rFonts w:hint="eastAsia" w:ascii="Times New Roman" w:hAnsi="Times New Roman"/>
                      <w:lang w:val="en-US" w:bidi="ar-SA"/>
                    </w:rPr>
                    <w:t>清洗剂V</w:t>
                  </w:r>
                  <w:r>
                    <w:rPr>
                      <w:rFonts w:ascii="Times New Roman" w:hAnsi="Times New Roman"/>
                      <w:lang w:val="en-US" w:bidi="ar-SA"/>
                    </w:rPr>
                    <w:t>OC</w:t>
                  </w:r>
                  <w:r>
                    <w:rPr>
                      <w:rFonts w:hint="eastAsia" w:ascii="Times New Roman" w:hAnsi="Times New Roman"/>
                      <w:lang w:val="en-US" w:bidi="ar-SA"/>
                    </w:rPr>
                    <w:t>含量及特定挥发性有机物限制要求，满足有机溶剂清洗剂V</w:t>
                  </w:r>
                  <w:r>
                    <w:rPr>
                      <w:rFonts w:ascii="Times New Roman" w:hAnsi="Times New Roman"/>
                      <w:lang w:val="en-US" w:bidi="ar-SA"/>
                    </w:rPr>
                    <w:t>OC</w:t>
                  </w:r>
                  <w:r>
                    <w:rPr>
                      <w:rFonts w:hint="eastAsia" w:ascii="Times New Roman" w:hAnsi="Times New Roman"/>
                      <w:lang w:val="en-US" w:bidi="ar-SA"/>
                    </w:rPr>
                    <w:t>含量</w:t>
                  </w:r>
                  <w:r>
                    <w:rPr>
                      <w:rFonts w:ascii="Times New Roman" w:hAnsi="Times New Roman"/>
                      <w:lang w:val="en-US" w:bidi="ar-SA"/>
                    </w:rPr>
                    <w:t>≤900g/L</w:t>
                  </w:r>
                  <w:r>
                    <w:rPr>
                      <w:rFonts w:hint="eastAsia" w:ascii="Times New Roman" w:hAnsi="Times New Roman"/>
                      <w:lang w:val="en-US" w:bidi="ar-SA"/>
                    </w:rPr>
                    <w:t>；</w:t>
                  </w:r>
                </w:p>
                <w:p>
                  <w:pPr>
                    <w:widowControl/>
                    <w:autoSpaceDE/>
                    <w:autoSpaceDN/>
                    <w:jc w:val="both"/>
                    <w:rPr>
                      <w:rFonts w:ascii="Times New Roman" w:hAnsi="Times New Roman"/>
                      <w:lang w:val="en-US" w:bidi="ar-SA"/>
                    </w:rPr>
                  </w:pPr>
                  <w:r>
                    <w:rPr>
                      <w:rFonts w:hint="eastAsia" w:ascii="Times New Roman" w:hAnsi="Times New Roman"/>
                      <w:lang w:val="en-US" w:bidi="ar-SA"/>
                    </w:rPr>
                    <w:t>③</w:t>
                  </w:r>
                  <w:r>
                    <w:rPr>
                      <w:rFonts w:ascii="Times New Roman" w:hAnsi="Times New Roman"/>
                      <w:lang w:val="en-US" w:bidi="ar-SA"/>
                    </w:rPr>
                    <w:t>玻璃保护液符合《低挥发有机化合物含量涂料产品技术要求》（GB/T38597-2020）表1</w:t>
                  </w:r>
                  <w:r>
                    <w:rPr>
                      <w:rFonts w:hint="eastAsia" w:ascii="Times New Roman" w:hAnsi="Times New Roman"/>
                      <w:lang w:val="en-US" w:bidi="ar-SA"/>
                    </w:rPr>
                    <w:t>水性涂料中工业防护涂料中包装涂料的面漆</w:t>
                  </w:r>
                  <w:r>
                    <w:rPr>
                      <w:rFonts w:ascii="Times New Roman" w:hAnsi="Times New Roman"/>
                      <w:lang w:val="en-US" w:bidi="ar-SA"/>
                    </w:rPr>
                    <w:t>VOC含量</w:t>
                  </w:r>
                  <w:r>
                    <w:rPr>
                      <w:rFonts w:hint="eastAsia" w:ascii="Times New Roman" w:hAnsi="Times New Roman"/>
                      <w:lang w:val="en-US" w:bidi="ar-SA"/>
                    </w:rPr>
                    <w:t>的要求</w:t>
                  </w:r>
                  <w:r>
                    <w:rPr>
                      <w:rFonts w:ascii="Times New Roman" w:hAnsi="Times New Roman"/>
                      <w:lang w:val="en-US" w:bidi="ar-SA"/>
                    </w:rPr>
                    <w:t>≤270g/L。</w:t>
                  </w:r>
                </w:p>
              </w:tc>
            </w:tr>
            <w:bookmarkEnd w:id="38"/>
          </w:tbl>
          <w:p>
            <w:pPr>
              <w:spacing w:line="440" w:lineRule="exact"/>
              <w:ind w:firstLine="482" w:firstLineChars="200"/>
              <w:rPr>
                <w:rFonts w:ascii="Times New Roman" w:hAnsi="Times New Roman"/>
                <w:b/>
                <w:sz w:val="24"/>
              </w:rPr>
            </w:pPr>
            <w:r>
              <w:rPr>
                <w:rFonts w:ascii="Times New Roman" w:hAnsi="Times New Roman"/>
                <w:b/>
                <w:sz w:val="24"/>
              </w:rPr>
              <w:t>5、主要设备</w:t>
            </w:r>
          </w:p>
          <w:p>
            <w:pPr>
              <w:spacing w:line="440" w:lineRule="exact"/>
              <w:jc w:val="center"/>
              <w:rPr>
                <w:rFonts w:ascii="Times New Roman" w:hAnsi="Times New Roman"/>
                <w:b/>
                <w:szCs w:val="18"/>
              </w:rPr>
            </w:pPr>
            <w:r>
              <w:rPr>
                <w:rFonts w:ascii="Times New Roman" w:hAnsi="Times New Roman"/>
                <w:b/>
                <w:szCs w:val="18"/>
              </w:rPr>
              <w:t>表2-8项目主要生产设备一览表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191"/>
              <w:gridCol w:w="1493"/>
              <w:gridCol w:w="1088"/>
              <w:gridCol w:w="1702"/>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b/>
                      <w:bCs/>
                    </w:rPr>
                  </w:pPr>
                  <w:r>
                    <w:rPr>
                      <w:rFonts w:ascii="Times New Roman" w:hAnsi="Times New Roman"/>
                      <w:b/>
                      <w:bCs/>
                    </w:rPr>
                    <w:t>序号</w:t>
                  </w:r>
                </w:p>
              </w:tc>
              <w:tc>
                <w:tcPr>
                  <w:tcW w:w="2191" w:type="dxa"/>
                  <w:vAlign w:val="center"/>
                </w:tcPr>
                <w:p>
                  <w:pPr>
                    <w:jc w:val="center"/>
                    <w:rPr>
                      <w:rFonts w:ascii="Times New Roman" w:hAnsi="Times New Roman"/>
                      <w:b/>
                      <w:bCs/>
                    </w:rPr>
                  </w:pPr>
                  <w:r>
                    <w:rPr>
                      <w:rFonts w:ascii="Times New Roman" w:hAnsi="Times New Roman"/>
                      <w:b/>
                      <w:bCs/>
                    </w:rPr>
                    <w:t>生产设备名称</w:t>
                  </w:r>
                </w:p>
              </w:tc>
              <w:tc>
                <w:tcPr>
                  <w:tcW w:w="1493" w:type="dxa"/>
                  <w:vAlign w:val="center"/>
                </w:tcPr>
                <w:p>
                  <w:pPr>
                    <w:jc w:val="center"/>
                    <w:rPr>
                      <w:rFonts w:ascii="Times New Roman" w:hAnsi="Times New Roman"/>
                      <w:b/>
                      <w:bCs/>
                    </w:rPr>
                  </w:pPr>
                  <w:r>
                    <w:rPr>
                      <w:rFonts w:ascii="Times New Roman" w:hAnsi="Times New Roman"/>
                      <w:b/>
                      <w:bCs/>
                    </w:rPr>
                    <w:t>型号</w:t>
                  </w:r>
                </w:p>
              </w:tc>
              <w:tc>
                <w:tcPr>
                  <w:tcW w:w="1088" w:type="dxa"/>
                  <w:vAlign w:val="center"/>
                </w:tcPr>
                <w:p>
                  <w:pPr>
                    <w:jc w:val="center"/>
                    <w:rPr>
                      <w:rFonts w:ascii="Times New Roman" w:hAnsi="Times New Roman"/>
                      <w:b/>
                      <w:bCs/>
                    </w:rPr>
                  </w:pPr>
                  <w:r>
                    <w:rPr>
                      <w:rFonts w:ascii="Times New Roman" w:hAnsi="Times New Roman"/>
                      <w:b/>
                      <w:bCs/>
                    </w:rPr>
                    <w:t>数量</w:t>
                  </w:r>
                </w:p>
              </w:tc>
              <w:tc>
                <w:tcPr>
                  <w:tcW w:w="1702" w:type="dxa"/>
                  <w:vAlign w:val="center"/>
                </w:tcPr>
                <w:p>
                  <w:pPr>
                    <w:jc w:val="center"/>
                    <w:rPr>
                      <w:rFonts w:ascii="Times New Roman" w:hAnsi="Times New Roman"/>
                      <w:b/>
                      <w:bCs/>
                    </w:rPr>
                  </w:pPr>
                  <w:r>
                    <w:rPr>
                      <w:rFonts w:ascii="Times New Roman" w:hAnsi="Times New Roman"/>
                      <w:b/>
                      <w:bCs/>
                    </w:rPr>
                    <w:t>使用工序</w:t>
                  </w:r>
                </w:p>
              </w:tc>
              <w:tc>
                <w:tcPr>
                  <w:tcW w:w="1036" w:type="dxa"/>
                  <w:vAlign w:val="center"/>
                </w:tcPr>
                <w:p>
                  <w:pPr>
                    <w:jc w:val="center"/>
                    <w:rPr>
                      <w:rFonts w:ascii="Times New Roman" w:hAnsi="Times New Roman"/>
                      <w:b/>
                      <w:bCs/>
                    </w:rPr>
                  </w:pPr>
                  <w:r>
                    <w:rPr>
                      <w:rFonts w:ascii="Times New Roman" w:hAnsi="Times New Roman"/>
                      <w:b/>
                      <w:bCs/>
                    </w:rPr>
                    <w:t>使用能源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46" w:type="dxa"/>
                  <w:gridSpan w:val="6"/>
                  <w:vAlign w:val="center"/>
                </w:tcPr>
                <w:p>
                  <w:pPr>
                    <w:jc w:val="center"/>
                    <w:rPr>
                      <w:rFonts w:ascii="Times New Roman" w:hAnsi="Times New Roman"/>
                      <w:b/>
                      <w:bCs/>
                    </w:rPr>
                  </w:pPr>
                  <w:r>
                    <w:rPr>
                      <w:rFonts w:hint="eastAsia" w:ascii="Times New Roman" w:hAnsi="Times New Roman"/>
                      <w:b/>
                      <w:bCs/>
                    </w:rPr>
                    <w:t>1#厂房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1</w:t>
                  </w:r>
                </w:p>
              </w:tc>
              <w:tc>
                <w:tcPr>
                  <w:tcW w:w="2191" w:type="dxa"/>
                  <w:vAlign w:val="center"/>
                </w:tcPr>
                <w:p>
                  <w:pPr>
                    <w:widowControl/>
                    <w:jc w:val="center"/>
                    <w:textAlignment w:val="center"/>
                    <w:rPr>
                      <w:rFonts w:ascii="Times New Roman" w:hAnsi="Times New Roman"/>
                      <w:lang w:val="en-US" w:bidi="ar-SA"/>
                    </w:rPr>
                  </w:pPr>
                  <w:r>
                    <w:rPr>
                      <w:rFonts w:ascii="Times New Roman" w:hAnsi="Times New Roman"/>
                    </w:rPr>
                    <w:t>CNC开料机</w:t>
                  </w:r>
                </w:p>
              </w:tc>
              <w:tc>
                <w:tcPr>
                  <w:tcW w:w="1493" w:type="dxa"/>
                  <w:vAlign w:val="center"/>
                </w:tcPr>
                <w:p>
                  <w:pPr>
                    <w:widowControl/>
                    <w:jc w:val="center"/>
                    <w:textAlignment w:val="center"/>
                    <w:rPr>
                      <w:rFonts w:ascii="Times New Roman" w:hAnsi="Times New Roman"/>
                      <w:kern w:val="2"/>
                      <w:lang w:val="en-US" w:bidi="ar-SA"/>
                    </w:rPr>
                  </w:pPr>
                  <w:r>
                    <w:rPr>
                      <w:rFonts w:ascii="Times New Roman" w:hAnsi="Times New Roman"/>
                    </w:rPr>
                    <w:t>CNC-1500</w:t>
                  </w:r>
                </w:p>
              </w:tc>
              <w:tc>
                <w:tcPr>
                  <w:tcW w:w="1088" w:type="dxa"/>
                  <w:vAlign w:val="center"/>
                </w:tcPr>
                <w:p>
                  <w:pPr>
                    <w:jc w:val="center"/>
                    <w:rPr>
                      <w:rFonts w:ascii="Times New Roman" w:hAnsi="Times New Roman"/>
                      <w:kern w:val="2"/>
                      <w:lang w:val="en-US" w:bidi="ar-SA"/>
                    </w:rPr>
                  </w:pPr>
                  <w:r>
                    <w:rPr>
                      <w:rFonts w:ascii="Times New Roman" w:hAnsi="Times New Roman"/>
                      <w:kern w:val="2"/>
                      <w:lang w:val="en-US" w:bidi="ar-SA"/>
                    </w:rPr>
                    <w:t>2</w:t>
                  </w:r>
                </w:p>
              </w:tc>
              <w:tc>
                <w:tcPr>
                  <w:tcW w:w="1702" w:type="dxa"/>
                  <w:vAlign w:val="center"/>
                </w:tcPr>
                <w:p>
                  <w:pPr>
                    <w:jc w:val="center"/>
                    <w:rPr>
                      <w:rFonts w:ascii="Times New Roman" w:hAnsi="Times New Roman"/>
                      <w:lang w:val="en-US"/>
                    </w:rPr>
                  </w:pPr>
                  <w:r>
                    <w:rPr>
                      <w:rFonts w:ascii="Times New Roman" w:hAnsi="Times New Roman"/>
                      <w:lang w:val="en-US"/>
                    </w:rPr>
                    <w:t>开料</w:t>
                  </w:r>
                </w:p>
              </w:tc>
              <w:tc>
                <w:tcPr>
                  <w:tcW w:w="1036" w:type="dxa"/>
                  <w:vAlign w:val="center"/>
                </w:tcPr>
                <w:p>
                  <w:pPr>
                    <w:jc w:val="center"/>
                    <w:rPr>
                      <w:rFonts w:ascii="Times New Roman" w:hAnsi="Times New Roman"/>
                      <w:lang w:val="en-US"/>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2</w:t>
                  </w:r>
                </w:p>
              </w:tc>
              <w:tc>
                <w:tcPr>
                  <w:tcW w:w="2191" w:type="dxa"/>
                  <w:vAlign w:val="center"/>
                </w:tcPr>
                <w:p>
                  <w:pPr>
                    <w:widowControl/>
                    <w:jc w:val="center"/>
                    <w:textAlignment w:val="center"/>
                    <w:rPr>
                      <w:rFonts w:ascii="Times New Roman" w:hAnsi="Times New Roman"/>
                      <w:lang w:val="en-US" w:bidi="ar-SA"/>
                    </w:rPr>
                  </w:pPr>
                  <w:r>
                    <w:rPr>
                      <w:rFonts w:ascii="Times New Roman" w:hAnsi="Times New Roman"/>
                    </w:rPr>
                    <w:t>平整度测试台面（大理石）</w:t>
                  </w:r>
                </w:p>
              </w:tc>
              <w:tc>
                <w:tcPr>
                  <w:tcW w:w="1493" w:type="dxa"/>
                  <w:vAlign w:val="center"/>
                </w:tcPr>
                <w:p>
                  <w:pPr>
                    <w:widowControl/>
                    <w:jc w:val="center"/>
                    <w:textAlignment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1</w:t>
                  </w:r>
                </w:p>
              </w:tc>
              <w:tc>
                <w:tcPr>
                  <w:tcW w:w="1702" w:type="dxa"/>
                  <w:vAlign w:val="center"/>
                </w:tcPr>
                <w:p>
                  <w:pPr>
                    <w:jc w:val="center"/>
                    <w:rPr>
                      <w:rFonts w:ascii="Times New Roman" w:hAnsi="Times New Roman"/>
                      <w:lang w:val="en-US"/>
                    </w:rPr>
                  </w:pPr>
                  <w:r>
                    <w:rPr>
                      <w:rFonts w:ascii="Times New Roman" w:hAnsi="Times New Roman"/>
                      <w:lang w:val="en-US"/>
                    </w:rPr>
                    <w:t>检测</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p>
              </w:tc>
              <w:tc>
                <w:tcPr>
                  <w:tcW w:w="2191" w:type="dxa"/>
                  <w:vAlign w:val="center"/>
                </w:tcPr>
                <w:p>
                  <w:pPr>
                    <w:widowControl/>
                    <w:jc w:val="center"/>
                    <w:textAlignment w:val="center"/>
                    <w:rPr>
                      <w:rFonts w:ascii="Times New Roman" w:hAnsi="Times New Roman"/>
                      <w:lang w:val="en-US" w:bidi="ar-SA"/>
                    </w:rPr>
                  </w:pPr>
                  <w:r>
                    <w:rPr>
                      <w:rFonts w:ascii="Times New Roman" w:hAnsi="Times New Roman"/>
                    </w:rPr>
                    <w:t>空压机</w:t>
                  </w:r>
                </w:p>
              </w:tc>
              <w:tc>
                <w:tcPr>
                  <w:tcW w:w="1493" w:type="dxa"/>
                  <w:vAlign w:val="center"/>
                </w:tcPr>
                <w:p>
                  <w:pPr>
                    <w:widowControl/>
                    <w:jc w:val="center"/>
                    <w:textAlignment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1</w:t>
                  </w:r>
                </w:p>
              </w:tc>
              <w:tc>
                <w:tcPr>
                  <w:tcW w:w="1702" w:type="dxa"/>
                  <w:vAlign w:val="center"/>
                </w:tcPr>
                <w:p>
                  <w:pPr>
                    <w:jc w:val="center"/>
                    <w:rPr>
                      <w:rFonts w:ascii="Times New Roman" w:hAnsi="Times New Roman"/>
                      <w:lang w:val="en-US"/>
                    </w:rPr>
                  </w:pPr>
                  <w:r>
                    <w:rPr>
                      <w:rFonts w:hint="eastAsia" w:ascii="Times New Roman" w:hAnsi="Times New Roman"/>
                      <w:lang w:val="en-US"/>
                    </w:rPr>
                    <w:t>空压</w:t>
                  </w:r>
                </w:p>
              </w:tc>
              <w:tc>
                <w:tcPr>
                  <w:tcW w:w="1036"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4</w:t>
                  </w:r>
                </w:p>
              </w:tc>
              <w:tc>
                <w:tcPr>
                  <w:tcW w:w="2191" w:type="dxa"/>
                  <w:vAlign w:val="center"/>
                </w:tcPr>
                <w:p>
                  <w:pPr>
                    <w:widowControl/>
                    <w:jc w:val="center"/>
                    <w:textAlignment w:val="center"/>
                    <w:rPr>
                      <w:rFonts w:ascii="Times New Roman" w:hAnsi="Times New Roman"/>
                      <w:lang w:val="en-US" w:bidi="ar-SA"/>
                    </w:rPr>
                  </w:pPr>
                  <w:r>
                    <w:rPr>
                      <w:rFonts w:ascii="Times New Roman" w:hAnsi="Times New Roman"/>
                    </w:rPr>
                    <w:t>纯水机</w:t>
                  </w:r>
                </w:p>
              </w:tc>
              <w:tc>
                <w:tcPr>
                  <w:tcW w:w="1493" w:type="dxa"/>
                  <w:vAlign w:val="center"/>
                </w:tcPr>
                <w:p>
                  <w:pPr>
                    <w:widowControl/>
                    <w:jc w:val="center"/>
                    <w:textAlignment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1</w:t>
                  </w:r>
                </w:p>
              </w:tc>
              <w:tc>
                <w:tcPr>
                  <w:tcW w:w="1702" w:type="dxa"/>
                  <w:vAlign w:val="center"/>
                </w:tcPr>
                <w:p>
                  <w:pPr>
                    <w:jc w:val="center"/>
                    <w:rPr>
                      <w:rFonts w:ascii="Times New Roman" w:hAnsi="Times New Roman"/>
                      <w:lang w:val="en-US"/>
                    </w:rPr>
                  </w:pPr>
                  <w:r>
                    <w:rPr>
                      <w:rFonts w:ascii="Times New Roman" w:hAnsi="Times New Roman"/>
                      <w:lang w:val="en-US"/>
                    </w:rPr>
                    <w:t>纯水</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5</w:t>
                  </w:r>
                </w:p>
              </w:tc>
              <w:tc>
                <w:tcPr>
                  <w:tcW w:w="2191" w:type="dxa"/>
                  <w:vAlign w:val="center"/>
                </w:tcPr>
                <w:p>
                  <w:pPr>
                    <w:widowControl/>
                    <w:jc w:val="center"/>
                    <w:textAlignment w:val="center"/>
                    <w:rPr>
                      <w:rFonts w:ascii="Times New Roman" w:hAnsi="Times New Roman"/>
                      <w:lang w:val="en-US" w:bidi="ar"/>
                    </w:rPr>
                  </w:pPr>
                  <w:r>
                    <w:rPr>
                      <w:rFonts w:hint="eastAsia" w:ascii="Times New Roman" w:hAnsi="Times New Roman"/>
                      <w:lang w:val="en-US" w:bidi="ar"/>
                    </w:rPr>
                    <w:t>热弯机</w:t>
                  </w:r>
                </w:p>
              </w:tc>
              <w:tc>
                <w:tcPr>
                  <w:tcW w:w="1493" w:type="dxa"/>
                  <w:vAlign w:val="center"/>
                </w:tcPr>
                <w:p>
                  <w:pPr>
                    <w:jc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hint="eastAsia" w:ascii="Times New Roman" w:hAnsi="Times New Roman"/>
                      <w:kern w:val="2"/>
                      <w:lang w:val="en-US" w:bidi="ar-SA"/>
                    </w:rPr>
                    <w:t>2</w:t>
                  </w:r>
                </w:p>
              </w:tc>
              <w:tc>
                <w:tcPr>
                  <w:tcW w:w="1702" w:type="dxa"/>
                  <w:vAlign w:val="center"/>
                </w:tcPr>
                <w:p>
                  <w:pPr>
                    <w:jc w:val="center"/>
                    <w:rPr>
                      <w:rFonts w:ascii="Times New Roman" w:hAnsi="Times New Roman"/>
                      <w:lang w:val="en-US"/>
                    </w:rPr>
                  </w:pPr>
                  <w:r>
                    <w:rPr>
                      <w:rFonts w:hint="eastAsia" w:ascii="Times New Roman" w:hAnsi="Times New Roman"/>
                      <w:lang w:val="en-US"/>
                    </w:rPr>
                    <w:t>热弯</w:t>
                  </w:r>
                </w:p>
              </w:tc>
              <w:tc>
                <w:tcPr>
                  <w:tcW w:w="1036"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6</w:t>
                  </w:r>
                </w:p>
              </w:tc>
              <w:tc>
                <w:tcPr>
                  <w:tcW w:w="2191" w:type="dxa"/>
                  <w:vAlign w:val="center"/>
                </w:tcPr>
                <w:p>
                  <w:pPr>
                    <w:widowControl/>
                    <w:jc w:val="center"/>
                    <w:textAlignment w:val="center"/>
                    <w:rPr>
                      <w:rFonts w:ascii="Times New Roman" w:hAnsi="Times New Roman"/>
                      <w:lang w:val="en-US" w:bidi="ar-SA"/>
                    </w:rPr>
                  </w:pPr>
                  <w:r>
                    <w:rPr>
                      <w:rFonts w:ascii="Times New Roman" w:hAnsi="Times New Roman"/>
                    </w:rPr>
                    <w:t>印刷机</w:t>
                  </w:r>
                </w:p>
              </w:tc>
              <w:tc>
                <w:tcPr>
                  <w:tcW w:w="1493" w:type="dxa"/>
                  <w:vAlign w:val="center"/>
                </w:tcPr>
                <w:p>
                  <w:pPr>
                    <w:jc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2</w:t>
                  </w:r>
                  <w:r>
                    <w:rPr>
                      <w:rFonts w:ascii="Times New Roman" w:hAnsi="Times New Roman"/>
                    </w:rPr>
                    <w:t>0</w:t>
                  </w:r>
                </w:p>
              </w:tc>
              <w:tc>
                <w:tcPr>
                  <w:tcW w:w="1702" w:type="dxa"/>
                  <w:vAlign w:val="center"/>
                </w:tcPr>
                <w:p>
                  <w:pPr>
                    <w:jc w:val="center"/>
                    <w:rPr>
                      <w:rFonts w:ascii="Times New Roman" w:hAnsi="Times New Roman"/>
                      <w:lang w:val="en-US"/>
                    </w:rPr>
                  </w:pPr>
                  <w:r>
                    <w:rPr>
                      <w:rFonts w:ascii="Times New Roman" w:hAnsi="Times New Roman"/>
                      <w:lang w:val="en-US"/>
                    </w:rPr>
                    <w:t>丝印</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7</w:t>
                  </w:r>
                </w:p>
              </w:tc>
              <w:tc>
                <w:tcPr>
                  <w:tcW w:w="2191" w:type="dxa"/>
                  <w:vAlign w:val="center"/>
                </w:tcPr>
                <w:p>
                  <w:pPr>
                    <w:widowControl/>
                    <w:jc w:val="center"/>
                    <w:rPr>
                      <w:rFonts w:ascii="Times New Roman" w:hAnsi="Times New Roman"/>
                      <w:lang w:val="en-US" w:bidi="ar-SA"/>
                    </w:rPr>
                  </w:pPr>
                  <w:r>
                    <w:rPr>
                      <w:rFonts w:ascii="Times New Roman" w:hAnsi="Times New Roman"/>
                    </w:rPr>
                    <w:t>印刷线</w:t>
                  </w:r>
                </w:p>
              </w:tc>
              <w:tc>
                <w:tcPr>
                  <w:tcW w:w="1493" w:type="dxa"/>
                  <w:vAlign w:val="center"/>
                </w:tcPr>
                <w:p>
                  <w:pPr>
                    <w:jc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8</w:t>
                  </w:r>
                </w:p>
              </w:tc>
              <w:tc>
                <w:tcPr>
                  <w:tcW w:w="1702" w:type="dxa"/>
                  <w:vAlign w:val="center"/>
                </w:tcPr>
                <w:p>
                  <w:pPr>
                    <w:jc w:val="center"/>
                    <w:rPr>
                      <w:rFonts w:ascii="Times New Roman" w:hAnsi="Times New Roman"/>
                      <w:lang w:val="en-US"/>
                    </w:rPr>
                  </w:pPr>
                  <w:r>
                    <w:rPr>
                      <w:rFonts w:ascii="Times New Roman" w:hAnsi="Times New Roman"/>
                      <w:lang w:val="en-US"/>
                    </w:rPr>
                    <w:t>丝印</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8</w:t>
                  </w:r>
                </w:p>
              </w:tc>
              <w:tc>
                <w:tcPr>
                  <w:tcW w:w="2191" w:type="dxa"/>
                  <w:vAlign w:val="center"/>
                </w:tcPr>
                <w:p>
                  <w:pPr>
                    <w:widowControl/>
                    <w:jc w:val="center"/>
                    <w:rPr>
                      <w:rFonts w:ascii="Times New Roman" w:hAnsi="Times New Roman"/>
                      <w:lang w:val="en-US" w:bidi="ar-SA"/>
                    </w:rPr>
                  </w:pPr>
                  <w:r>
                    <w:rPr>
                      <w:rFonts w:ascii="Times New Roman" w:hAnsi="Times New Roman"/>
                    </w:rPr>
                    <w:t>EVA方式镀膜ERAF</w:t>
                  </w:r>
                </w:p>
              </w:tc>
              <w:tc>
                <w:tcPr>
                  <w:tcW w:w="1493" w:type="dxa"/>
                  <w:vAlign w:val="center"/>
                </w:tcPr>
                <w:p>
                  <w:pPr>
                    <w:jc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4</w:t>
                  </w:r>
                </w:p>
              </w:tc>
              <w:tc>
                <w:tcPr>
                  <w:tcW w:w="1702" w:type="dxa"/>
                  <w:vAlign w:val="center"/>
                </w:tcPr>
                <w:p>
                  <w:pPr>
                    <w:jc w:val="center"/>
                    <w:rPr>
                      <w:rFonts w:ascii="Times New Roman" w:hAnsi="Times New Roman"/>
                      <w:lang w:val="en-US"/>
                    </w:rPr>
                  </w:pPr>
                  <w:r>
                    <w:rPr>
                      <w:rFonts w:ascii="Times New Roman" w:hAnsi="Times New Roman"/>
                    </w:rPr>
                    <w:t>镀膜</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9</w:t>
                  </w:r>
                </w:p>
              </w:tc>
              <w:tc>
                <w:tcPr>
                  <w:tcW w:w="2191" w:type="dxa"/>
                  <w:vAlign w:val="center"/>
                </w:tcPr>
                <w:p>
                  <w:pPr>
                    <w:widowControl/>
                    <w:jc w:val="center"/>
                    <w:rPr>
                      <w:rFonts w:ascii="Times New Roman" w:hAnsi="Times New Roman"/>
                      <w:lang w:val="en-US" w:bidi="ar-SA"/>
                    </w:rPr>
                  </w:pPr>
                  <w:r>
                    <w:rPr>
                      <w:rFonts w:ascii="Times New Roman" w:hAnsi="Times New Roman"/>
                    </w:rPr>
                    <w:t>AG喷涂机</w:t>
                  </w:r>
                </w:p>
              </w:tc>
              <w:tc>
                <w:tcPr>
                  <w:tcW w:w="1493" w:type="dxa"/>
                  <w:vAlign w:val="center"/>
                </w:tcPr>
                <w:p>
                  <w:pPr>
                    <w:jc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3</w:t>
                  </w:r>
                </w:p>
              </w:tc>
              <w:tc>
                <w:tcPr>
                  <w:tcW w:w="1702" w:type="dxa"/>
                  <w:vAlign w:val="center"/>
                </w:tcPr>
                <w:p>
                  <w:pPr>
                    <w:jc w:val="center"/>
                    <w:rPr>
                      <w:rFonts w:ascii="Times New Roman" w:hAnsi="Times New Roman"/>
                      <w:lang w:val="en-US"/>
                    </w:rPr>
                  </w:pPr>
                  <w:r>
                    <w:rPr>
                      <w:rFonts w:ascii="Times New Roman" w:hAnsi="Times New Roman"/>
                    </w:rPr>
                    <w:t>镀膜</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1</w:t>
                  </w:r>
                  <w:r>
                    <w:rPr>
                      <w:rFonts w:ascii="Times New Roman" w:hAnsi="Times New Roman"/>
                    </w:rPr>
                    <w:t>0</w:t>
                  </w:r>
                </w:p>
              </w:tc>
              <w:tc>
                <w:tcPr>
                  <w:tcW w:w="2191" w:type="dxa"/>
                  <w:vAlign w:val="center"/>
                </w:tcPr>
                <w:p>
                  <w:pPr>
                    <w:widowControl/>
                    <w:jc w:val="center"/>
                    <w:rPr>
                      <w:rFonts w:ascii="Times New Roman" w:hAnsi="Times New Roman"/>
                      <w:lang w:val="en-US" w:bidi="ar-SA"/>
                    </w:rPr>
                  </w:pPr>
                  <w:r>
                    <w:rPr>
                      <w:rFonts w:ascii="Times New Roman" w:hAnsi="Times New Roman"/>
                    </w:rPr>
                    <w:t>AF喷涂机</w:t>
                  </w:r>
                </w:p>
              </w:tc>
              <w:tc>
                <w:tcPr>
                  <w:tcW w:w="1493" w:type="dxa"/>
                  <w:vAlign w:val="center"/>
                </w:tcPr>
                <w:p>
                  <w:pPr>
                    <w:jc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kern w:val="2"/>
                      <w:lang w:val="en-US" w:bidi="ar-SA"/>
                    </w:rPr>
                    <w:t>2</w:t>
                  </w:r>
                </w:p>
              </w:tc>
              <w:tc>
                <w:tcPr>
                  <w:tcW w:w="1702" w:type="dxa"/>
                  <w:vAlign w:val="center"/>
                </w:tcPr>
                <w:p>
                  <w:pPr>
                    <w:jc w:val="center"/>
                    <w:rPr>
                      <w:rFonts w:ascii="Times New Roman" w:hAnsi="Times New Roman"/>
                      <w:lang w:val="en-US"/>
                    </w:rPr>
                  </w:pPr>
                  <w:r>
                    <w:rPr>
                      <w:rFonts w:ascii="Times New Roman" w:hAnsi="Times New Roman"/>
                    </w:rPr>
                    <w:t>镀膜</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1</w:t>
                  </w:r>
                  <w:r>
                    <w:rPr>
                      <w:rFonts w:ascii="Times New Roman" w:hAnsi="Times New Roman"/>
                    </w:rPr>
                    <w:t>1</w:t>
                  </w:r>
                </w:p>
              </w:tc>
              <w:tc>
                <w:tcPr>
                  <w:tcW w:w="2191" w:type="dxa"/>
                  <w:vAlign w:val="center"/>
                </w:tcPr>
                <w:p>
                  <w:pPr>
                    <w:widowControl/>
                    <w:jc w:val="center"/>
                    <w:rPr>
                      <w:rFonts w:ascii="Times New Roman" w:hAnsi="Times New Roman"/>
                      <w:lang w:val="en-US" w:bidi="ar-SA"/>
                    </w:rPr>
                  </w:pPr>
                  <w:r>
                    <w:rPr>
                      <w:rFonts w:ascii="Times New Roman" w:hAnsi="Times New Roman"/>
                    </w:rPr>
                    <w:t>溅射方式镀膜ARAF</w:t>
                  </w:r>
                </w:p>
              </w:tc>
              <w:tc>
                <w:tcPr>
                  <w:tcW w:w="1493" w:type="dxa"/>
                  <w:vAlign w:val="center"/>
                </w:tcPr>
                <w:p>
                  <w:pPr>
                    <w:jc w:val="center"/>
                    <w:rPr>
                      <w:rFonts w:ascii="Times New Roman" w:hAnsi="Times New Roman"/>
                      <w:kern w:val="2"/>
                      <w:lang w:val="en-US" w:bidi="ar-SA"/>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4</w:t>
                  </w:r>
                </w:p>
              </w:tc>
              <w:tc>
                <w:tcPr>
                  <w:tcW w:w="1702" w:type="dxa"/>
                  <w:vAlign w:val="center"/>
                </w:tcPr>
                <w:p>
                  <w:pPr>
                    <w:jc w:val="center"/>
                    <w:rPr>
                      <w:rFonts w:ascii="Times New Roman" w:hAnsi="Times New Roman"/>
                      <w:lang w:val="en-US"/>
                    </w:rPr>
                  </w:pPr>
                  <w:r>
                    <w:rPr>
                      <w:rFonts w:ascii="Times New Roman" w:hAnsi="Times New Roman"/>
                    </w:rPr>
                    <w:t>镀膜</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1</w:t>
                  </w:r>
                  <w:r>
                    <w:rPr>
                      <w:rFonts w:ascii="Times New Roman" w:hAnsi="Times New Roman"/>
                    </w:rPr>
                    <w:t>2</w:t>
                  </w:r>
                </w:p>
              </w:tc>
              <w:tc>
                <w:tcPr>
                  <w:tcW w:w="2191" w:type="dxa"/>
                  <w:vAlign w:val="center"/>
                </w:tcPr>
                <w:p>
                  <w:pPr>
                    <w:widowControl/>
                    <w:jc w:val="center"/>
                    <w:rPr>
                      <w:rFonts w:ascii="Times New Roman" w:hAnsi="Times New Roman"/>
                      <w:lang w:val="en-US" w:bidi="ar-SA"/>
                    </w:rPr>
                  </w:pPr>
                  <w:r>
                    <w:rPr>
                      <w:rFonts w:ascii="Times New Roman" w:hAnsi="Times New Roman"/>
                    </w:rPr>
                    <w:t>烘箱</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8</w:t>
                  </w:r>
                </w:p>
              </w:tc>
              <w:tc>
                <w:tcPr>
                  <w:tcW w:w="1702" w:type="dxa"/>
                  <w:vAlign w:val="center"/>
                </w:tcPr>
                <w:p>
                  <w:pPr>
                    <w:jc w:val="center"/>
                    <w:rPr>
                      <w:rFonts w:ascii="Times New Roman" w:hAnsi="Times New Roman"/>
                    </w:rPr>
                  </w:pPr>
                  <w:r>
                    <w:rPr>
                      <w:rFonts w:ascii="Times New Roman" w:hAnsi="Times New Roman"/>
                      <w:lang w:val="en-US"/>
                    </w:rPr>
                    <w:t>预烤/固烤</w:t>
                  </w:r>
                </w:p>
              </w:tc>
              <w:tc>
                <w:tcPr>
                  <w:tcW w:w="1036"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1</w:t>
                  </w:r>
                  <w:r>
                    <w:rPr>
                      <w:rFonts w:ascii="Times New Roman" w:hAnsi="Times New Roman"/>
                    </w:rPr>
                    <w:t>3</w:t>
                  </w:r>
                </w:p>
              </w:tc>
              <w:tc>
                <w:tcPr>
                  <w:tcW w:w="2191" w:type="dxa"/>
                  <w:vAlign w:val="center"/>
                </w:tcPr>
                <w:p>
                  <w:pPr>
                    <w:widowControl/>
                    <w:jc w:val="center"/>
                    <w:rPr>
                      <w:rFonts w:ascii="Times New Roman" w:hAnsi="Times New Roman"/>
                    </w:rPr>
                  </w:pPr>
                  <w:r>
                    <w:rPr>
                      <w:rFonts w:ascii="Times New Roman" w:hAnsi="Times New Roman"/>
                    </w:rPr>
                    <w:t>烘烤炉</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lang w:val="en-US"/>
                    </w:rPr>
                  </w:pPr>
                  <w:r>
                    <w:rPr>
                      <w:rFonts w:ascii="Times New Roman" w:hAnsi="Times New Roman"/>
                      <w:lang w:val="en-US"/>
                    </w:rPr>
                    <w:t>5</w:t>
                  </w:r>
                </w:p>
              </w:tc>
              <w:tc>
                <w:tcPr>
                  <w:tcW w:w="1702" w:type="dxa"/>
                  <w:vAlign w:val="center"/>
                </w:tcPr>
                <w:p>
                  <w:pPr>
                    <w:jc w:val="center"/>
                    <w:rPr>
                      <w:rFonts w:ascii="Times New Roman" w:hAnsi="Times New Roman"/>
                      <w:lang w:val="en-US"/>
                    </w:rPr>
                  </w:pPr>
                  <w:r>
                    <w:rPr>
                      <w:rFonts w:ascii="Times New Roman" w:hAnsi="Times New Roman"/>
                      <w:lang w:val="en-US"/>
                    </w:rPr>
                    <w:t>预烤/固烤</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1</w:t>
                  </w:r>
                  <w:r>
                    <w:rPr>
                      <w:rFonts w:ascii="Times New Roman" w:hAnsi="Times New Roman"/>
                    </w:rPr>
                    <w:t>4</w:t>
                  </w:r>
                </w:p>
              </w:tc>
              <w:tc>
                <w:tcPr>
                  <w:tcW w:w="2191" w:type="dxa"/>
                  <w:vAlign w:val="center"/>
                </w:tcPr>
                <w:p>
                  <w:pPr>
                    <w:widowControl/>
                    <w:jc w:val="center"/>
                    <w:rPr>
                      <w:rFonts w:ascii="Times New Roman" w:hAnsi="Times New Roman"/>
                    </w:rPr>
                  </w:pPr>
                  <w:r>
                    <w:rPr>
                      <w:rFonts w:ascii="Times New Roman" w:hAnsi="Times New Roman"/>
                    </w:rPr>
                    <w:t>隧道炉</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lang w:val="en-US"/>
                    </w:rPr>
                  </w:pPr>
                  <w:r>
                    <w:rPr>
                      <w:rFonts w:ascii="Times New Roman" w:hAnsi="Times New Roman"/>
                    </w:rPr>
                    <w:t>2</w:t>
                  </w:r>
                </w:p>
              </w:tc>
              <w:tc>
                <w:tcPr>
                  <w:tcW w:w="1702" w:type="dxa"/>
                  <w:vAlign w:val="center"/>
                </w:tcPr>
                <w:p>
                  <w:pPr>
                    <w:jc w:val="center"/>
                    <w:rPr>
                      <w:rFonts w:ascii="Times New Roman" w:hAnsi="Times New Roman"/>
                      <w:lang w:val="en-US"/>
                    </w:rPr>
                  </w:pPr>
                  <w:r>
                    <w:rPr>
                      <w:rFonts w:ascii="Times New Roman" w:hAnsi="Times New Roman"/>
                      <w:lang w:val="en-US"/>
                    </w:rPr>
                    <w:t>预烤/固烤</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1</w:t>
                  </w:r>
                  <w:r>
                    <w:rPr>
                      <w:rFonts w:ascii="Times New Roman" w:hAnsi="Times New Roman"/>
                    </w:rPr>
                    <w:t>5</w:t>
                  </w:r>
                </w:p>
              </w:tc>
              <w:tc>
                <w:tcPr>
                  <w:tcW w:w="2191" w:type="dxa"/>
                  <w:vAlign w:val="center"/>
                </w:tcPr>
                <w:p>
                  <w:pPr>
                    <w:widowControl/>
                    <w:jc w:val="center"/>
                    <w:rPr>
                      <w:rFonts w:ascii="Times New Roman" w:hAnsi="Times New Roman"/>
                    </w:rPr>
                  </w:pPr>
                  <w:r>
                    <w:rPr>
                      <w:rFonts w:ascii="Times New Roman" w:hAnsi="Times New Roman"/>
                    </w:rPr>
                    <w:t>步进式隧道炉</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lang w:val="en-US"/>
                    </w:rPr>
                  </w:pPr>
                  <w:r>
                    <w:rPr>
                      <w:rFonts w:ascii="Times New Roman" w:hAnsi="Times New Roman"/>
                    </w:rPr>
                    <w:t>4</w:t>
                  </w:r>
                </w:p>
              </w:tc>
              <w:tc>
                <w:tcPr>
                  <w:tcW w:w="1702" w:type="dxa"/>
                  <w:vAlign w:val="center"/>
                </w:tcPr>
                <w:p>
                  <w:pPr>
                    <w:jc w:val="center"/>
                    <w:rPr>
                      <w:rFonts w:ascii="Times New Roman" w:hAnsi="Times New Roman"/>
                      <w:lang w:val="en-US"/>
                    </w:rPr>
                  </w:pPr>
                  <w:r>
                    <w:rPr>
                      <w:rFonts w:ascii="Times New Roman" w:hAnsi="Times New Roman"/>
                      <w:lang w:val="en-US"/>
                    </w:rPr>
                    <w:t>预烤/固烤</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1</w:t>
                  </w:r>
                  <w:r>
                    <w:rPr>
                      <w:rFonts w:ascii="Times New Roman" w:hAnsi="Times New Roman"/>
                    </w:rPr>
                    <w:t>6</w:t>
                  </w:r>
                </w:p>
              </w:tc>
              <w:tc>
                <w:tcPr>
                  <w:tcW w:w="2191" w:type="dxa"/>
                  <w:vAlign w:val="center"/>
                </w:tcPr>
                <w:p>
                  <w:pPr>
                    <w:widowControl/>
                    <w:jc w:val="center"/>
                    <w:rPr>
                      <w:rFonts w:ascii="Times New Roman" w:hAnsi="Times New Roman"/>
                      <w:lang w:val="en-US" w:bidi="ar-SA"/>
                    </w:rPr>
                  </w:pPr>
                  <w:r>
                    <w:rPr>
                      <w:rFonts w:ascii="Times New Roman" w:hAnsi="Times New Roman"/>
                    </w:rPr>
                    <w:t>贴膜机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2</w:t>
                  </w:r>
                </w:p>
              </w:tc>
              <w:tc>
                <w:tcPr>
                  <w:tcW w:w="1702" w:type="dxa"/>
                  <w:vAlign w:val="center"/>
                </w:tcPr>
                <w:p>
                  <w:pPr>
                    <w:jc w:val="center"/>
                    <w:rPr>
                      <w:rFonts w:ascii="Times New Roman" w:hAnsi="Times New Roman"/>
                    </w:rPr>
                  </w:pPr>
                  <w:r>
                    <w:rPr>
                      <w:rFonts w:ascii="Times New Roman" w:hAnsi="Times New Roman"/>
                      <w:lang w:val="en-US"/>
                    </w:rPr>
                    <w:t>组装</w:t>
                  </w:r>
                </w:p>
              </w:tc>
              <w:tc>
                <w:tcPr>
                  <w:tcW w:w="1036"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46" w:type="dxa"/>
                  <w:gridSpan w:val="6"/>
                  <w:vAlign w:val="center"/>
                </w:tcPr>
                <w:p>
                  <w:pPr>
                    <w:jc w:val="center"/>
                    <w:rPr>
                      <w:rFonts w:ascii="Times New Roman" w:hAnsi="Times New Roman"/>
                    </w:rPr>
                  </w:pPr>
                  <w:r>
                    <w:rPr>
                      <w:rFonts w:hint="eastAsia" w:ascii="Times New Roman" w:hAnsi="Times New Roman"/>
                    </w:rPr>
                    <w:t>2#</w:t>
                  </w:r>
                  <w:r>
                    <w:rPr>
                      <w:rFonts w:hint="eastAsia" w:ascii="Times New Roman" w:hAnsi="Times New Roman"/>
                      <w:b/>
                      <w:bCs/>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1</w:t>
                  </w:r>
                  <w:r>
                    <w:rPr>
                      <w:rFonts w:ascii="Times New Roman" w:hAnsi="Times New Roman"/>
                    </w:rPr>
                    <w:t>7</w:t>
                  </w:r>
                </w:p>
              </w:tc>
              <w:tc>
                <w:tcPr>
                  <w:tcW w:w="2191" w:type="dxa"/>
                  <w:vAlign w:val="center"/>
                </w:tcPr>
                <w:p>
                  <w:pPr>
                    <w:widowControl/>
                    <w:jc w:val="center"/>
                    <w:rPr>
                      <w:rFonts w:ascii="Times New Roman" w:hAnsi="Times New Roman"/>
                      <w:lang w:val="en-US" w:bidi="ar-SA"/>
                    </w:rPr>
                  </w:pPr>
                  <w:r>
                    <w:rPr>
                      <w:rFonts w:ascii="Times New Roman" w:hAnsi="Times New Roman"/>
                    </w:rPr>
                    <w:t>钢化炉</w:t>
                  </w:r>
                </w:p>
              </w:tc>
              <w:tc>
                <w:tcPr>
                  <w:tcW w:w="1493" w:type="dxa"/>
                  <w:vAlign w:val="center"/>
                </w:tcPr>
                <w:p>
                  <w:pPr>
                    <w:jc w:val="center"/>
                    <w:rPr>
                      <w:rFonts w:ascii="Times New Roman" w:hAnsi="Times New Roman"/>
                    </w:rPr>
                  </w:pPr>
                  <w:r>
                    <w:rPr>
                      <w:rFonts w:ascii="Times New Roman" w:hAnsi="Times New Roman"/>
                    </w:rPr>
                    <w:t>ZR-AC1100</w:t>
                  </w:r>
                </w:p>
              </w:tc>
              <w:tc>
                <w:tcPr>
                  <w:tcW w:w="1088" w:type="dxa"/>
                  <w:vAlign w:val="center"/>
                </w:tcPr>
                <w:p>
                  <w:pPr>
                    <w:jc w:val="center"/>
                    <w:rPr>
                      <w:rFonts w:ascii="Times New Roman" w:hAnsi="Times New Roman"/>
                      <w:kern w:val="2"/>
                      <w:lang w:val="en-US" w:bidi="ar-SA"/>
                    </w:rPr>
                  </w:pPr>
                  <w:r>
                    <w:rPr>
                      <w:rFonts w:ascii="Times New Roman" w:hAnsi="Times New Roman"/>
                      <w:lang w:val="en-US"/>
                    </w:rPr>
                    <w:t>3</w:t>
                  </w:r>
                </w:p>
              </w:tc>
              <w:tc>
                <w:tcPr>
                  <w:tcW w:w="1702" w:type="dxa"/>
                  <w:vAlign w:val="center"/>
                </w:tcPr>
                <w:p>
                  <w:pPr>
                    <w:jc w:val="center"/>
                    <w:rPr>
                      <w:rFonts w:ascii="Times New Roman" w:hAnsi="Times New Roman"/>
                    </w:rPr>
                  </w:pPr>
                  <w:r>
                    <w:rPr>
                      <w:rFonts w:ascii="Times New Roman" w:hAnsi="Times New Roman"/>
                      <w:lang w:val="en-US"/>
                    </w:rPr>
                    <w:t>钢化</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1</w:t>
                  </w:r>
                  <w:r>
                    <w:rPr>
                      <w:rFonts w:ascii="Times New Roman" w:hAnsi="Times New Roman"/>
                    </w:rPr>
                    <w:t>8</w:t>
                  </w:r>
                </w:p>
              </w:tc>
              <w:tc>
                <w:tcPr>
                  <w:tcW w:w="2191" w:type="dxa"/>
                  <w:vAlign w:val="center"/>
                </w:tcPr>
                <w:p>
                  <w:pPr>
                    <w:widowControl/>
                    <w:jc w:val="center"/>
                    <w:rPr>
                      <w:rFonts w:ascii="Times New Roman" w:hAnsi="Times New Roman"/>
                      <w:lang w:val="en-US" w:bidi="ar-SA"/>
                    </w:rPr>
                  </w:pPr>
                  <w:r>
                    <w:rPr>
                      <w:rFonts w:ascii="Times New Roman" w:hAnsi="Times New Roman"/>
                    </w:rPr>
                    <w:t>清洗机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hint="eastAsia" w:ascii="Times New Roman" w:hAnsi="Times New Roman"/>
                      <w:kern w:val="2"/>
                      <w:lang w:val="en-US" w:bidi="ar-SA"/>
                    </w:rPr>
                    <w:t>1</w:t>
                  </w:r>
                </w:p>
              </w:tc>
              <w:tc>
                <w:tcPr>
                  <w:tcW w:w="1702" w:type="dxa"/>
                  <w:vAlign w:val="center"/>
                </w:tcPr>
                <w:p>
                  <w:pPr>
                    <w:jc w:val="center"/>
                    <w:rPr>
                      <w:rFonts w:ascii="Times New Roman" w:hAnsi="Times New Roman"/>
                      <w:lang w:val="en-US"/>
                    </w:rPr>
                  </w:pPr>
                  <w:r>
                    <w:rPr>
                      <w:rFonts w:ascii="Times New Roman" w:hAnsi="Times New Roman"/>
                      <w:lang w:val="en-US"/>
                    </w:rPr>
                    <w:t>清洗</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1</w:t>
                  </w:r>
                  <w:r>
                    <w:rPr>
                      <w:rFonts w:ascii="Times New Roman" w:hAnsi="Times New Roman"/>
                    </w:rPr>
                    <w:t>9</w:t>
                  </w:r>
                </w:p>
              </w:tc>
              <w:tc>
                <w:tcPr>
                  <w:tcW w:w="2191" w:type="dxa"/>
                  <w:vAlign w:val="center"/>
                </w:tcPr>
                <w:p>
                  <w:pPr>
                    <w:widowControl/>
                    <w:jc w:val="center"/>
                    <w:rPr>
                      <w:rFonts w:ascii="Times New Roman" w:hAnsi="Times New Roman"/>
                    </w:rPr>
                  </w:pPr>
                  <w:r>
                    <w:rPr>
                      <w:rFonts w:ascii="Times New Roman" w:hAnsi="Times New Roman"/>
                    </w:rPr>
                    <w:t>等离子清洗机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3</w:t>
                  </w:r>
                </w:p>
              </w:tc>
              <w:tc>
                <w:tcPr>
                  <w:tcW w:w="1702" w:type="dxa"/>
                  <w:vAlign w:val="center"/>
                </w:tcPr>
                <w:p>
                  <w:pPr>
                    <w:jc w:val="center"/>
                    <w:rPr>
                      <w:rFonts w:ascii="Times New Roman" w:hAnsi="Times New Roman"/>
                      <w:lang w:val="en-US"/>
                    </w:rPr>
                  </w:pPr>
                  <w:r>
                    <w:rPr>
                      <w:rFonts w:ascii="Times New Roman" w:hAnsi="Times New Roman"/>
                    </w:rPr>
                    <w:t>等离子</w:t>
                  </w:r>
                  <w:r>
                    <w:rPr>
                      <w:rFonts w:ascii="Times New Roman" w:hAnsi="Times New Roman"/>
                      <w:lang w:val="en-US"/>
                    </w:rPr>
                    <w:t>清洗</w:t>
                  </w:r>
                  <w:r>
                    <w:rPr>
                      <w:rFonts w:ascii="Times New Roman" w:hAnsi="Times New Roman"/>
                    </w:rPr>
                    <w:t>机</w:t>
                  </w:r>
                </w:p>
              </w:tc>
              <w:tc>
                <w:tcPr>
                  <w:tcW w:w="1036" w:type="dxa"/>
                  <w:vAlign w:val="center"/>
                </w:tcPr>
                <w:p>
                  <w:pPr>
                    <w:jc w:val="center"/>
                    <w:rPr>
                      <w:rFonts w:ascii="Times New Roman" w:hAnsi="Times New Roman"/>
                      <w:lang w:val="en-US"/>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ascii="Times New Roman" w:hAnsi="Times New Roman"/>
                    </w:rPr>
                    <w:t>20</w:t>
                  </w:r>
                </w:p>
              </w:tc>
              <w:tc>
                <w:tcPr>
                  <w:tcW w:w="2191" w:type="dxa"/>
                  <w:vAlign w:val="center"/>
                </w:tcPr>
                <w:p>
                  <w:pPr>
                    <w:widowControl/>
                    <w:jc w:val="center"/>
                    <w:rPr>
                      <w:rFonts w:ascii="Times New Roman" w:hAnsi="Times New Roman"/>
                    </w:rPr>
                  </w:pPr>
                  <w:bookmarkStart w:id="39" w:name="_Hlk112157891"/>
                  <w:r>
                    <w:rPr>
                      <w:rFonts w:ascii="Times New Roman" w:hAnsi="Times New Roman"/>
                    </w:rPr>
                    <w:t>和科达清洗机</w:t>
                  </w:r>
                  <w:bookmarkEnd w:id="39"/>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lang w:val="en-US"/>
                    </w:rPr>
                  </w:pPr>
                  <w:r>
                    <w:rPr>
                      <w:rFonts w:ascii="Times New Roman" w:hAnsi="Times New Roman"/>
                      <w:lang w:val="en-US"/>
                    </w:rPr>
                    <w:t>4</w:t>
                  </w:r>
                </w:p>
              </w:tc>
              <w:tc>
                <w:tcPr>
                  <w:tcW w:w="1702" w:type="dxa"/>
                  <w:vAlign w:val="center"/>
                </w:tcPr>
                <w:p>
                  <w:pPr>
                    <w:jc w:val="center"/>
                    <w:rPr>
                      <w:rFonts w:ascii="Times New Roman" w:hAnsi="Times New Roman"/>
                    </w:rPr>
                  </w:pPr>
                  <w:r>
                    <w:rPr>
                      <w:rFonts w:ascii="Times New Roman" w:hAnsi="Times New Roman"/>
                      <w:lang w:val="en-US"/>
                    </w:rPr>
                    <w:t>清洗</w:t>
                  </w:r>
                </w:p>
              </w:tc>
              <w:tc>
                <w:tcPr>
                  <w:tcW w:w="1036" w:type="dxa"/>
                  <w:vAlign w:val="center"/>
                </w:tcPr>
                <w:p>
                  <w:pPr>
                    <w:jc w:val="center"/>
                    <w:rPr>
                      <w:rFonts w:ascii="Times New Roman" w:hAnsi="Times New Roman"/>
                      <w:lang w:val="en-US"/>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1</w:t>
                  </w:r>
                </w:p>
              </w:tc>
              <w:tc>
                <w:tcPr>
                  <w:tcW w:w="2191" w:type="dxa"/>
                  <w:vAlign w:val="center"/>
                </w:tcPr>
                <w:p>
                  <w:pPr>
                    <w:widowControl/>
                    <w:jc w:val="center"/>
                    <w:rPr>
                      <w:rFonts w:ascii="Times New Roman" w:hAnsi="Times New Roman"/>
                      <w:lang w:val="en-US" w:bidi="ar-SA"/>
                    </w:rPr>
                  </w:pPr>
                  <w:r>
                    <w:rPr>
                      <w:rFonts w:ascii="Times New Roman" w:hAnsi="Times New Roman"/>
                    </w:rPr>
                    <w:t>应力测试仪</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2</w:t>
                  </w:r>
                </w:p>
              </w:tc>
              <w:tc>
                <w:tcPr>
                  <w:tcW w:w="1702" w:type="dxa"/>
                  <w:vAlign w:val="center"/>
                </w:tcPr>
                <w:p>
                  <w:pPr>
                    <w:jc w:val="center"/>
                    <w:rPr>
                      <w:rFonts w:ascii="Times New Roman" w:hAnsi="Times New Roman"/>
                    </w:rPr>
                  </w:pPr>
                  <w:r>
                    <w:rPr>
                      <w:rFonts w:ascii="Times New Roman" w:hAnsi="Times New Roman"/>
                      <w:lang w:val="en-US"/>
                    </w:rPr>
                    <w:t>检测</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2</w:t>
                  </w:r>
                </w:p>
              </w:tc>
              <w:tc>
                <w:tcPr>
                  <w:tcW w:w="2191" w:type="dxa"/>
                  <w:vAlign w:val="center"/>
                </w:tcPr>
                <w:p>
                  <w:pPr>
                    <w:widowControl/>
                    <w:jc w:val="center"/>
                    <w:rPr>
                      <w:rFonts w:ascii="Times New Roman" w:hAnsi="Times New Roman"/>
                      <w:lang w:val="en-US" w:bidi="ar-SA"/>
                    </w:rPr>
                  </w:pPr>
                  <w:r>
                    <w:rPr>
                      <w:rFonts w:ascii="Times New Roman" w:hAnsi="Times New Roman"/>
                    </w:rPr>
                    <w:t>高度规</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3</w:t>
                  </w:r>
                </w:p>
              </w:tc>
              <w:tc>
                <w:tcPr>
                  <w:tcW w:w="1702" w:type="dxa"/>
                  <w:vAlign w:val="center"/>
                </w:tcPr>
                <w:p>
                  <w:pPr>
                    <w:jc w:val="center"/>
                    <w:rPr>
                      <w:rFonts w:ascii="Times New Roman" w:hAnsi="Times New Roman"/>
                    </w:rPr>
                  </w:pPr>
                  <w:r>
                    <w:rPr>
                      <w:rFonts w:ascii="Times New Roman" w:hAnsi="Times New Roman"/>
                      <w:lang w:val="en-US"/>
                    </w:rPr>
                    <w:t>检测</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3</w:t>
                  </w:r>
                </w:p>
              </w:tc>
              <w:tc>
                <w:tcPr>
                  <w:tcW w:w="2191" w:type="dxa"/>
                  <w:vAlign w:val="center"/>
                </w:tcPr>
                <w:p>
                  <w:pPr>
                    <w:widowControl/>
                    <w:jc w:val="center"/>
                    <w:rPr>
                      <w:rFonts w:ascii="Times New Roman" w:hAnsi="Times New Roman"/>
                      <w:lang w:val="en-US" w:bidi="ar-SA"/>
                    </w:rPr>
                  </w:pPr>
                  <w:r>
                    <w:rPr>
                      <w:rFonts w:ascii="Times New Roman" w:hAnsi="Times New Roman"/>
                    </w:rPr>
                    <w:t>透过率测试仪</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3</w:t>
                  </w:r>
                </w:p>
              </w:tc>
              <w:tc>
                <w:tcPr>
                  <w:tcW w:w="1702" w:type="dxa"/>
                  <w:vAlign w:val="center"/>
                </w:tcPr>
                <w:p>
                  <w:pPr>
                    <w:jc w:val="center"/>
                    <w:rPr>
                      <w:rFonts w:ascii="Times New Roman" w:hAnsi="Times New Roman"/>
                    </w:rPr>
                  </w:pPr>
                  <w:r>
                    <w:rPr>
                      <w:rFonts w:ascii="Times New Roman" w:hAnsi="Times New Roman"/>
                      <w:lang w:val="en-US"/>
                    </w:rPr>
                    <w:t>检测</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46" w:type="dxa"/>
                  <w:gridSpan w:val="6"/>
                  <w:vAlign w:val="center"/>
                </w:tcPr>
                <w:p>
                  <w:pPr>
                    <w:jc w:val="center"/>
                    <w:rPr>
                      <w:rFonts w:ascii="Times New Roman" w:hAnsi="Times New Roman"/>
                    </w:rPr>
                  </w:pPr>
                  <w:r>
                    <w:rPr>
                      <w:rFonts w:hint="eastAsia" w:ascii="Times New Roman" w:hAnsi="Times New Roman"/>
                    </w:rPr>
                    <w:t>3#</w:t>
                  </w:r>
                  <w:r>
                    <w:rPr>
                      <w:rFonts w:hint="eastAsia" w:ascii="Times New Roman" w:hAnsi="Times New Roman"/>
                      <w:b/>
                      <w:bCs/>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4</w:t>
                  </w:r>
                </w:p>
              </w:tc>
              <w:tc>
                <w:tcPr>
                  <w:tcW w:w="2191" w:type="dxa"/>
                  <w:vAlign w:val="center"/>
                </w:tcPr>
                <w:p>
                  <w:pPr>
                    <w:widowControl/>
                    <w:jc w:val="center"/>
                    <w:rPr>
                      <w:rFonts w:ascii="Times New Roman" w:hAnsi="Times New Roman"/>
                      <w:lang w:val="en-US" w:bidi="ar-SA"/>
                    </w:rPr>
                  </w:pPr>
                  <w:r>
                    <w:rPr>
                      <w:rFonts w:ascii="Times New Roman" w:hAnsi="Times New Roman"/>
                    </w:rPr>
                    <w:t>冷干机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2</w:t>
                  </w:r>
                </w:p>
              </w:tc>
              <w:tc>
                <w:tcPr>
                  <w:tcW w:w="1702" w:type="dxa"/>
                  <w:vAlign w:val="center"/>
                </w:tcPr>
                <w:p>
                  <w:pPr>
                    <w:jc w:val="center"/>
                    <w:rPr>
                      <w:rFonts w:ascii="Times New Roman" w:hAnsi="Times New Roman"/>
                    </w:rPr>
                  </w:pPr>
                  <w:r>
                    <w:rPr>
                      <w:rFonts w:ascii="Times New Roman" w:hAnsi="Times New Roman"/>
                      <w:lang w:val="en-US"/>
                    </w:rPr>
                    <w:t>空压</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5</w:t>
                  </w:r>
                </w:p>
              </w:tc>
              <w:tc>
                <w:tcPr>
                  <w:tcW w:w="2191" w:type="dxa"/>
                  <w:vAlign w:val="center"/>
                </w:tcPr>
                <w:p>
                  <w:pPr>
                    <w:widowControl/>
                    <w:jc w:val="center"/>
                    <w:rPr>
                      <w:rFonts w:ascii="Times New Roman" w:hAnsi="Times New Roman"/>
                      <w:lang w:val="en-US" w:bidi="ar-SA"/>
                    </w:rPr>
                  </w:pPr>
                  <w:r>
                    <w:rPr>
                      <w:rFonts w:ascii="Times New Roman" w:hAnsi="Times New Roman"/>
                    </w:rPr>
                    <w:t>贴膜机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6</w:t>
                  </w:r>
                </w:p>
              </w:tc>
              <w:tc>
                <w:tcPr>
                  <w:tcW w:w="1702" w:type="dxa"/>
                  <w:vAlign w:val="center"/>
                </w:tcPr>
                <w:p>
                  <w:pPr>
                    <w:jc w:val="center"/>
                    <w:rPr>
                      <w:rFonts w:ascii="Times New Roman" w:hAnsi="Times New Roman"/>
                    </w:rPr>
                  </w:pPr>
                  <w:r>
                    <w:rPr>
                      <w:rFonts w:ascii="Times New Roman" w:hAnsi="Times New Roman"/>
                      <w:lang w:val="en-US"/>
                    </w:rPr>
                    <w:t>组装</w:t>
                  </w:r>
                </w:p>
              </w:tc>
              <w:tc>
                <w:tcPr>
                  <w:tcW w:w="1036"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6</w:t>
                  </w:r>
                </w:p>
              </w:tc>
              <w:tc>
                <w:tcPr>
                  <w:tcW w:w="2191" w:type="dxa"/>
                  <w:vAlign w:val="center"/>
                </w:tcPr>
                <w:p>
                  <w:pPr>
                    <w:widowControl/>
                    <w:jc w:val="center"/>
                    <w:rPr>
                      <w:rFonts w:ascii="Times New Roman" w:hAnsi="Times New Roman"/>
                    </w:rPr>
                  </w:pPr>
                  <w:r>
                    <w:rPr>
                      <w:rFonts w:ascii="Times New Roman" w:hAnsi="Times New Roman"/>
                    </w:rPr>
                    <w:t>水滴角测试仪</w:t>
                  </w:r>
                </w:p>
              </w:tc>
              <w:tc>
                <w:tcPr>
                  <w:tcW w:w="1493" w:type="dxa"/>
                  <w:vAlign w:val="center"/>
                </w:tcPr>
                <w:p>
                  <w:pPr>
                    <w:jc w:val="center"/>
                    <w:rPr>
                      <w:rFonts w:ascii="Times New Roman" w:hAnsi="Times New Roman"/>
                    </w:rPr>
                  </w:pPr>
                  <w:r>
                    <w:rPr>
                      <w:rFonts w:ascii="Times New Roman" w:hAnsi="Times New Roman"/>
                    </w:rPr>
                    <w:t>SDC-100</w:t>
                  </w:r>
                </w:p>
              </w:tc>
              <w:tc>
                <w:tcPr>
                  <w:tcW w:w="1088" w:type="dxa"/>
                  <w:vAlign w:val="center"/>
                </w:tcPr>
                <w:p>
                  <w:pPr>
                    <w:jc w:val="center"/>
                    <w:rPr>
                      <w:rFonts w:ascii="Times New Roman" w:hAnsi="Times New Roman"/>
                    </w:rPr>
                  </w:pPr>
                  <w:r>
                    <w:rPr>
                      <w:rFonts w:ascii="Times New Roman" w:hAnsi="Times New Roman"/>
                      <w:lang w:val="en-US"/>
                    </w:rPr>
                    <w:t>2</w:t>
                  </w:r>
                </w:p>
              </w:tc>
              <w:tc>
                <w:tcPr>
                  <w:tcW w:w="1702" w:type="dxa"/>
                  <w:vAlign w:val="center"/>
                </w:tcPr>
                <w:p>
                  <w:pPr>
                    <w:jc w:val="center"/>
                    <w:rPr>
                      <w:rFonts w:ascii="Times New Roman" w:hAnsi="Times New Roman"/>
                      <w:lang w:val="en-US"/>
                    </w:rPr>
                  </w:pPr>
                  <w:r>
                    <w:rPr>
                      <w:rFonts w:ascii="Times New Roman" w:hAnsi="Times New Roman"/>
                      <w:lang w:val="en-US"/>
                    </w:rPr>
                    <w:t>检测</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7</w:t>
                  </w:r>
                </w:p>
              </w:tc>
              <w:tc>
                <w:tcPr>
                  <w:tcW w:w="2191" w:type="dxa"/>
                  <w:vAlign w:val="center"/>
                </w:tcPr>
                <w:p>
                  <w:pPr>
                    <w:widowControl/>
                    <w:jc w:val="center"/>
                    <w:rPr>
                      <w:rFonts w:ascii="Times New Roman" w:hAnsi="Times New Roman"/>
                    </w:rPr>
                  </w:pPr>
                  <w:r>
                    <w:rPr>
                      <w:rFonts w:ascii="Times New Roman" w:hAnsi="Times New Roman"/>
                    </w:rPr>
                    <w:t>耐摩擦测试仪</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rPr>
                  </w:pPr>
                  <w:r>
                    <w:rPr>
                      <w:rFonts w:ascii="Times New Roman" w:hAnsi="Times New Roman"/>
                      <w:lang w:val="en-US"/>
                    </w:rPr>
                    <w:t>2</w:t>
                  </w:r>
                </w:p>
              </w:tc>
              <w:tc>
                <w:tcPr>
                  <w:tcW w:w="1702" w:type="dxa"/>
                  <w:vAlign w:val="center"/>
                </w:tcPr>
                <w:p>
                  <w:pPr>
                    <w:jc w:val="center"/>
                    <w:rPr>
                      <w:rFonts w:ascii="Times New Roman" w:hAnsi="Times New Roman"/>
                      <w:lang w:val="en-US"/>
                    </w:rPr>
                  </w:pPr>
                  <w:r>
                    <w:rPr>
                      <w:rFonts w:ascii="Times New Roman" w:hAnsi="Times New Roman"/>
                      <w:lang w:val="en-US"/>
                    </w:rPr>
                    <w:t>检测</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8</w:t>
                  </w:r>
                </w:p>
              </w:tc>
              <w:tc>
                <w:tcPr>
                  <w:tcW w:w="2191" w:type="dxa"/>
                  <w:vAlign w:val="center"/>
                </w:tcPr>
                <w:p>
                  <w:pPr>
                    <w:widowControl/>
                    <w:jc w:val="center"/>
                    <w:rPr>
                      <w:rFonts w:ascii="Times New Roman" w:hAnsi="Times New Roman"/>
                    </w:rPr>
                  </w:pPr>
                  <w:r>
                    <w:rPr>
                      <w:rFonts w:ascii="Times New Roman" w:hAnsi="Times New Roman"/>
                    </w:rPr>
                    <w:t>恒温恒湿机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rPr>
                  </w:pPr>
                  <w:r>
                    <w:rPr>
                      <w:rFonts w:ascii="Times New Roman" w:hAnsi="Times New Roman"/>
                    </w:rPr>
                    <w:t>1</w:t>
                  </w:r>
                </w:p>
              </w:tc>
              <w:tc>
                <w:tcPr>
                  <w:tcW w:w="1702" w:type="dxa"/>
                  <w:vAlign w:val="center"/>
                </w:tcPr>
                <w:p>
                  <w:pPr>
                    <w:jc w:val="center"/>
                    <w:rPr>
                      <w:rFonts w:ascii="Times New Roman" w:hAnsi="Times New Roman"/>
                      <w:lang w:val="en-US"/>
                    </w:rPr>
                  </w:pPr>
                  <w:r>
                    <w:rPr>
                      <w:rFonts w:ascii="Times New Roman" w:hAnsi="Times New Roman"/>
                      <w:lang w:val="en-US"/>
                    </w:rPr>
                    <w:t>检测</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46" w:type="dxa"/>
                  <w:gridSpan w:val="6"/>
                  <w:vAlign w:val="center"/>
                </w:tcPr>
                <w:p>
                  <w:pPr>
                    <w:jc w:val="center"/>
                    <w:rPr>
                      <w:rFonts w:ascii="Times New Roman" w:hAnsi="Times New Roman"/>
                    </w:rPr>
                  </w:pPr>
                  <w:r>
                    <w:rPr>
                      <w:rFonts w:hint="eastAsia" w:ascii="Times New Roman" w:hAnsi="Times New Roman"/>
                    </w:rPr>
                    <w:t>4#</w:t>
                  </w:r>
                  <w:r>
                    <w:rPr>
                      <w:rFonts w:hint="eastAsia" w:ascii="Times New Roman" w:hAnsi="Times New Roman"/>
                      <w:b/>
                      <w:bCs/>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adjustRightInd w:val="0"/>
                    <w:snapToGrid w:val="0"/>
                    <w:jc w:val="center"/>
                    <w:rPr>
                      <w:rFonts w:ascii="Times New Roman" w:hAnsi="Times New Roman"/>
                    </w:rPr>
                  </w:pPr>
                  <w:r>
                    <w:rPr>
                      <w:rFonts w:hint="eastAsia" w:ascii="Times New Roman" w:hAnsi="Times New Roman"/>
                    </w:rPr>
                    <w:t>2</w:t>
                  </w:r>
                  <w:r>
                    <w:rPr>
                      <w:rFonts w:ascii="Times New Roman" w:hAnsi="Times New Roman"/>
                    </w:rPr>
                    <w:t>9</w:t>
                  </w:r>
                </w:p>
              </w:tc>
              <w:tc>
                <w:tcPr>
                  <w:tcW w:w="2191" w:type="dxa"/>
                  <w:vAlign w:val="center"/>
                </w:tcPr>
                <w:p>
                  <w:pPr>
                    <w:widowControl/>
                    <w:jc w:val="center"/>
                    <w:rPr>
                      <w:rFonts w:ascii="Times New Roman" w:hAnsi="Times New Roman"/>
                      <w:lang w:val="en-US" w:bidi="ar-SA"/>
                    </w:rPr>
                  </w:pPr>
                  <w:r>
                    <w:rPr>
                      <w:rFonts w:ascii="Times New Roman" w:hAnsi="Times New Roman"/>
                    </w:rPr>
                    <w:t>喷油机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2</w:t>
                  </w:r>
                </w:p>
              </w:tc>
              <w:tc>
                <w:tcPr>
                  <w:tcW w:w="1702" w:type="dxa"/>
                  <w:vAlign w:val="center"/>
                </w:tcPr>
                <w:p>
                  <w:pPr>
                    <w:jc w:val="center"/>
                    <w:rPr>
                      <w:rFonts w:ascii="Times New Roman" w:hAnsi="Times New Roman"/>
                    </w:rPr>
                  </w:pPr>
                  <w:r>
                    <w:rPr>
                      <w:rFonts w:ascii="Times New Roman" w:hAnsi="Times New Roman"/>
                      <w:lang w:val="en-US"/>
                    </w:rPr>
                    <w:t>喷油</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0</w:t>
                  </w:r>
                </w:p>
              </w:tc>
              <w:tc>
                <w:tcPr>
                  <w:tcW w:w="2191" w:type="dxa"/>
                  <w:vAlign w:val="center"/>
                </w:tcPr>
                <w:p>
                  <w:pPr>
                    <w:widowControl/>
                    <w:jc w:val="center"/>
                    <w:rPr>
                      <w:rFonts w:ascii="Times New Roman" w:hAnsi="Times New Roman"/>
                      <w:lang w:val="en-US" w:bidi="ar-SA"/>
                    </w:rPr>
                  </w:pPr>
                  <w:r>
                    <w:rPr>
                      <w:rFonts w:ascii="Times New Roman" w:hAnsi="Times New Roman"/>
                      <w:lang w:bidi="ar"/>
                    </w:rPr>
                    <w:t>CNC</w:t>
                  </w:r>
                  <w:r>
                    <w:rPr>
                      <w:rFonts w:hint="eastAsia" w:ascii="Times New Roman" w:hAnsi="Times New Roman"/>
                      <w:lang w:bidi="ar"/>
                    </w:rPr>
                    <w:t>精雕机</w:t>
                  </w:r>
                </w:p>
              </w:tc>
              <w:tc>
                <w:tcPr>
                  <w:tcW w:w="1493" w:type="dxa"/>
                  <w:vAlign w:val="center"/>
                </w:tcPr>
                <w:p>
                  <w:pPr>
                    <w:jc w:val="center"/>
                    <w:rPr>
                      <w:rFonts w:ascii="Times New Roman" w:hAnsi="Times New Roman"/>
                    </w:rPr>
                  </w:pPr>
                  <w:r>
                    <w:rPr>
                      <w:rFonts w:ascii="Times New Roman" w:hAnsi="Times New Roman"/>
                    </w:rPr>
                    <w:t>KX600B-11</w:t>
                  </w:r>
                </w:p>
              </w:tc>
              <w:tc>
                <w:tcPr>
                  <w:tcW w:w="1088" w:type="dxa"/>
                  <w:vAlign w:val="center"/>
                </w:tcPr>
                <w:p>
                  <w:pPr>
                    <w:jc w:val="center"/>
                    <w:rPr>
                      <w:rFonts w:ascii="Times New Roman" w:hAnsi="Times New Roman"/>
                      <w:kern w:val="2"/>
                      <w:lang w:val="en-US" w:bidi="ar-SA"/>
                    </w:rPr>
                  </w:pPr>
                  <w:r>
                    <w:rPr>
                      <w:rFonts w:ascii="Times New Roman" w:hAnsi="Times New Roman"/>
                      <w:lang w:val="en-US"/>
                    </w:rPr>
                    <w:t>40</w:t>
                  </w:r>
                </w:p>
              </w:tc>
              <w:tc>
                <w:tcPr>
                  <w:tcW w:w="1702" w:type="dxa"/>
                  <w:vAlign w:val="center"/>
                </w:tcPr>
                <w:p>
                  <w:pPr>
                    <w:jc w:val="center"/>
                    <w:rPr>
                      <w:rFonts w:ascii="Times New Roman" w:hAnsi="Times New Roman"/>
                      <w:lang w:val="en-US"/>
                    </w:rPr>
                  </w:pPr>
                  <w:r>
                    <w:rPr>
                      <w:rFonts w:ascii="Times New Roman" w:hAnsi="Times New Roman"/>
                      <w:lang w:bidi="ar"/>
                    </w:rPr>
                    <w:t>CNC</w:t>
                  </w:r>
                  <w:r>
                    <w:rPr>
                      <w:rFonts w:ascii="Times New Roman" w:hAnsi="Times New Roman"/>
                      <w:lang w:val="en-US"/>
                    </w:rPr>
                    <w:t>精雕</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1</w:t>
                  </w:r>
                </w:p>
              </w:tc>
              <w:tc>
                <w:tcPr>
                  <w:tcW w:w="2191" w:type="dxa"/>
                  <w:vAlign w:val="center"/>
                </w:tcPr>
                <w:p>
                  <w:pPr>
                    <w:widowControl/>
                    <w:jc w:val="center"/>
                    <w:rPr>
                      <w:rFonts w:ascii="Times New Roman" w:hAnsi="Times New Roman"/>
                      <w:lang w:val="en-US" w:bidi="ar-SA"/>
                    </w:rPr>
                  </w:pPr>
                  <w:r>
                    <w:rPr>
                      <w:rFonts w:ascii="Times New Roman" w:hAnsi="Times New Roman"/>
                    </w:rPr>
                    <w:t>CNC开料机</w:t>
                  </w:r>
                </w:p>
              </w:tc>
              <w:tc>
                <w:tcPr>
                  <w:tcW w:w="1493" w:type="dxa"/>
                  <w:vAlign w:val="center"/>
                </w:tcPr>
                <w:p>
                  <w:pPr>
                    <w:jc w:val="center"/>
                    <w:rPr>
                      <w:rFonts w:ascii="Times New Roman" w:hAnsi="Times New Roman"/>
                    </w:rPr>
                  </w:pPr>
                  <w:r>
                    <w:rPr>
                      <w:rFonts w:ascii="Times New Roman" w:hAnsi="Times New Roman"/>
                    </w:rPr>
                    <w:t>CNC-1500</w:t>
                  </w:r>
                </w:p>
              </w:tc>
              <w:tc>
                <w:tcPr>
                  <w:tcW w:w="1088" w:type="dxa"/>
                  <w:vAlign w:val="center"/>
                </w:tcPr>
                <w:p>
                  <w:pPr>
                    <w:jc w:val="center"/>
                    <w:rPr>
                      <w:rFonts w:ascii="Times New Roman" w:hAnsi="Times New Roman"/>
                      <w:kern w:val="2"/>
                      <w:lang w:val="en-US" w:bidi="ar-SA"/>
                    </w:rPr>
                  </w:pPr>
                  <w:r>
                    <w:rPr>
                      <w:rFonts w:hint="eastAsia" w:ascii="Times New Roman" w:hAnsi="Times New Roman"/>
                      <w:kern w:val="2"/>
                      <w:lang w:val="en-US" w:bidi="ar-SA"/>
                    </w:rPr>
                    <w:t>1</w:t>
                  </w:r>
                </w:p>
              </w:tc>
              <w:tc>
                <w:tcPr>
                  <w:tcW w:w="1702" w:type="dxa"/>
                  <w:vAlign w:val="center"/>
                </w:tcPr>
                <w:p>
                  <w:pPr>
                    <w:jc w:val="center"/>
                    <w:rPr>
                      <w:rFonts w:ascii="Times New Roman" w:hAnsi="Times New Roman"/>
                      <w:lang w:val="en-US"/>
                    </w:rPr>
                  </w:pPr>
                  <w:r>
                    <w:rPr>
                      <w:rFonts w:ascii="Times New Roman" w:hAnsi="Times New Roman"/>
                      <w:lang w:val="en-US"/>
                    </w:rPr>
                    <w:t>开料</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2</w:t>
                  </w:r>
                </w:p>
              </w:tc>
              <w:tc>
                <w:tcPr>
                  <w:tcW w:w="2191" w:type="dxa"/>
                  <w:vAlign w:val="center"/>
                </w:tcPr>
                <w:p>
                  <w:pPr>
                    <w:widowControl/>
                    <w:jc w:val="center"/>
                    <w:rPr>
                      <w:rFonts w:ascii="Times New Roman" w:hAnsi="Times New Roman"/>
                      <w:lang w:val="en-US" w:bidi="ar-SA"/>
                    </w:rPr>
                  </w:pPr>
                  <w:r>
                    <w:rPr>
                      <w:rFonts w:ascii="Times New Roman" w:hAnsi="Times New Roman"/>
                    </w:rPr>
                    <w:t>量侧仪</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2</w:t>
                  </w:r>
                </w:p>
              </w:tc>
              <w:tc>
                <w:tcPr>
                  <w:tcW w:w="1702" w:type="dxa"/>
                  <w:vAlign w:val="center"/>
                </w:tcPr>
                <w:p>
                  <w:pPr>
                    <w:jc w:val="center"/>
                    <w:rPr>
                      <w:rFonts w:ascii="Times New Roman" w:hAnsi="Times New Roman"/>
                      <w:lang w:val="en-US"/>
                    </w:rPr>
                  </w:pPr>
                  <w:r>
                    <w:rPr>
                      <w:rFonts w:ascii="Times New Roman" w:hAnsi="Times New Roman"/>
                      <w:lang w:val="en-US"/>
                    </w:rPr>
                    <w:t>测量</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3</w:t>
                  </w:r>
                </w:p>
              </w:tc>
              <w:tc>
                <w:tcPr>
                  <w:tcW w:w="2191" w:type="dxa"/>
                  <w:vAlign w:val="center"/>
                </w:tcPr>
                <w:p>
                  <w:pPr>
                    <w:widowControl/>
                    <w:jc w:val="center"/>
                    <w:rPr>
                      <w:rFonts w:ascii="Times New Roman" w:hAnsi="Times New Roman"/>
                      <w:lang w:val="en-US" w:bidi="ar-SA"/>
                    </w:rPr>
                  </w:pPr>
                  <w:r>
                    <w:rPr>
                      <w:rFonts w:ascii="Times New Roman" w:hAnsi="Times New Roman"/>
                    </w:rPr>
                    <w:t>落球测试仪</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2</w:t>
                  </w:r>
                </w:p>
              </w:tc>
              <w:tc>
                <w:tcPr>
                  <w:tcW w:w="1702" w:type="dxa"/>
                  <w:vAlign w:val="center"/>
                </w:tcPr>
                <w:p>
                  <w:pPr>
                    <w:jc w:val="center"/>
                    <w:rPr>
                      <w:rFonts w:ascii="Times New Roman" w:hAnsi="Times New Roman"/>
                    </w:rPr>
                  </w:pPr>
                  <w:r>
                    <w:rPr>
                      <w:rFonts w:ascii="Times New Roman" w:hAnsi="Times New Roman"/>
                      <w:lang w:val="en-US"/>
                    </w:rPr>
                    <w:t>检测</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4</w:t>
                  </w:r>
                </w:p>
              </w:tc>
              <w:tc>
                <w:tcPr>
                  <w:tcW w:w="2191" w:type="dxa"/>
                  <w:vAlign w:val="center"/>
                </w:tcPr>
                <w:p>
                  <w:pPr>
                    <w:widowControl/>
                    <w:jc w:val="center"/>
                    <w:rPr>
                      <w:rFonts w:ascii="Times New Roman" w:hAnsi="Times New Roman"/>
                      <w:lang w:val="en-US" w:bidi="ar-SA"/>
                    </w:rPr>
                  </w:pPr>
                  <w:r>
                    <w:rPr>
                      <w:rFonts w:ascii="Times New Roman" w:hAnsi="Times New Roman"/>
                    </w:rPr>
                    <w:t>纯水机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1</w:t>
                  </w:r>
                </w:p>
              </w:tc>
              <w:tc>
                <w:tcPr>
                  <w:tcW w:w="1702" w:type="dxa"/>
                  <w:vAlign w:val="center"/>
                </w:tcPr>
                <w:p>
                  <w:pPr>
                    <w:jc w:val="center"/>
                    <w:rPr>
                      <w:rFonts w:ascii="Times New Roman" w:hAnsi="Times New Roman"/>
                    </w:rPr>
                  </w:pPr>
                  <w:r>
                    <w:rPr>
                      <w:rFonts w:ascii="Times New Roman" w:hAnsi="Times New Roman"/>
                      <w:lang w:val="en-US"/>
                    </w:rPr>
                    <w:t>纯水</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46" w:type="dxa"/>
                  <w:gridSpan w:val="6"/>
                  <w:vAlign w:val="center"/>
                </w:tcPr>
                <w:p>
                  <w:pPr>
                    <w:jc w:val="center"/>
                    <w:rPr>
                      <w:rFonts w:ascii="Times New Roman" w:hAnsi="Times New Roman"/>
                    </w:rPr>
                  </w:pPr>
                  <w:r>
                    <w:rPr>
                      <w:rFonts w:hint="eastAsia" w:ascii="Times New Roman" w:hAnsi="Times New Roman"/>
                    </w:rPr>
                    <w:t>5#</w:t>
                  </w:r>
                  <w:r>
                    <w:rPr>
                      <w:rFonts w:hint="eastAsia" w:ascii="Times New Roman" w:hAnsi="Times New Roman"/>
                      <w:b/>
                      <w:bCs/>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5</w:t>
                  </w:r>
                </w:p>
              </w:tc>
              <w:tc>
                <w:tcPr>
                  <w:tcW w:w="2191" w:type="dxa"/>
                  <w:vAlign w:val="center"/>
                </w:tcPr>
                <w:p>
                  <w:pPr>
                    <w:widowControl/>
                    <w:jc w:val="center"/>
                    <w:rPr>
                      <w:rFonts w:ascii="Times New Roman" w:hAnsi="Times New Roman"/>
                      <w:lang w:val="en-US" w:bidi="ar-SA"/>
                    </w:rPr>
                  </w:pPr>
                  <w:r>
                    <w:rPr>
                      <w:rFonts w:ascii="Times New Roman" w:hAnsi="Times New Roman"/>
                    </w:rPr>
                    <w:t>钢化炉</w:t>
                  </w:r>
                </w:p>
              </w:tc>
              <w:tc>
                <w:tcPr>
                  <w:tcW w:w="1493" w:type="dxa"/>
                  <w:vAlign w:val="center"/>
                </w:tcPr>
                <w:p>
                  <w:pPr>
                    <w:jc w:val="center"/>
                    <w:rPr>
                      <w:rFonts w:ascii="Times New Roman" w:hAnsi="Times New Roman"/>
                    </w:rPr>
                  </w:pPr>
                  <w:r>
                    <w:rPr>
                      <w:rFonts w:ascii="Times New Roman" w:hAnsi="Times New Roman"/>
                    </w:rPr>
                    <w:t>ZR-AC1100</w:t>
                  </w:r>
                </w:p>
              </w:tc>
              <w:tc>
                <w:tcPr>
                  <w:tcW w:w="1088" w:type="dxa"/>
                  <w:vAlign w:val="center"/>
                </w:tcPr>
                <w:p>
                  <w:pPr>
                    <w:jc w:val="center"/>
                    <w:rPr>
                      <w:rFonts w:ascii="Times New Roman" w:hAnsi="Times New Roman"/>
                      <w:kern w:val="2"/>
                      <w:lang w:val="en-US" w:bidi="ar-SA"/>
                    </w:rPr>
                  </w:pPr>
                  <w:r>
                    <w:rPr>
                      <w:rFonts w:ascii="Times New Roman" w:hAnsi="Times New Roman"/>
                      <w:lang w:val="en-US"/>
                    </w:rPr>
                    <w:t>2</w:t>
                  </w:r>
                </w:p>
              </w:tc>
              <w:tc>
                <w:tcPr>
                  <w:tcW w:w="1702" w:type="dxa"/>
                  <w:vAlign w:val="center"/>
                </w:tcPr>
                <w:p>
                  <w:pPr>
                    <w:jc w:val="center"/>
                    <w:rPr>
                      <w:rFonts w:ascii="Times New Roman" w:hAnsi="Times New Roman"/>
                    </w:rPr>
                  </w:pPr>
                  <w:r>
                    <w:rPr>
                      <w:rFonts w:ascii="Times New Roman" w:hAnsi="Times New Roman"/>
                      <w:lang w:val="en-US"/>
                    </w:rPr>
                    <w:t>钢化</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6</w:t>
                  </w:r>
                </w:p>
              </w:tc>
              <w:tc>
                <w:tcPr>
                  <w:tcW w:w="2191" w:type="dxa"/>
                  <w:vAlign w:val="center"/>
                </w:tcPr>
                <w:p>
                  <w:pPr>
                    <w:widowControl/>
                    <w:jc w:val="center"/>
                    <w:rPr>
                      <w:rFonts w:ascii="Times New Roman" w:hAnsi="Times New Roman"/>
                      <w:lang w:val="en-US" w:bidi="ar-SA"/>
                    </w:rPr>
                  </w:pPr>
                  <w:r>
                    <w:rPr>
                      <w:rFonts w:ascii="Times New Roman" w:hAnsi="Times New Roman"/>
                    </w:rPr>
                    <w:t>清洗机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hint="eastAsia" w:ascii="Times New Roman" w:hAnsi="Times New Roman"/>
                      <w:kern w:val="2"/>
                      <w:lang w:val="en-US" w:bidi="ar-SA"/>
                    </w:rPr>
                    <w:t>1</w:t>
                  </w:r>
                </w:p>
              </w:tc>
              <w:tc>
                <w:tcPr>
                  <w:tcW w:w="1702" w:type="dxa"/>
                  <w:vAlign w:val="center"/>
                </w:tcPr>
                <w:p>
                  <w:pPr>
                    <w:jc w:val="center"/>
                    <w:rPr>
                      <w:rFonts w:ascii="Times New Roman" w:hAnsi="Times New Roman"/>
                    </w:rPr>
                  </w:pPr>
                  <w:r>
                    <w:rPr>
                      <w:rFonts w:ascii="Times New Roman" w:hAnsi="Times New Roman"/>
                      <w:lang w:val="en-US"/>
                    </w:rPr>
                    <w:t>清洗</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7</w:t>
                  </w:r>
                </w:p>
              </w:tc>
              <w:tc>
                <w:tcPr>
                  <w:tcW w:w="2191" w:type="dxa"/>
                  <w:vAlign w:val="center"/>
                </w:tcPr>
                <w:p>
                  <w:pPr>
                    <w:widowControl/>
                    <w:jc w:val="center"/>
                    <w:rPr>
                      <w:rFonts w:ascii="Times New Roman" w:hAnsi="Times New Roman"/>
                    </w:rPr>
                  </w:pPr>
                  <w:r>
                    <w:rPr>
                      <w:rFonts w:ascii="Times New Roman" w:hAnsi="Times New Roman"/>
                    </w:rPr>
                    <w:t>和科达清洗机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2</w:t>
                  </w:r>
                </w:p>
              </w:tc>
              <w:tc>
                <w:tcPr>
                  <w:tcW w:w="1702" w:type="dxa"/>
                  <w:vAlign w:val="center"/>
                </w:tcPr>
                <w:p>
                  <w:pPr>
                    <w:jc w:val="center"/>
                    <w:rPr>
                      <w:rFonts w:ascii="Times New Roman" w:hAnsi="Times New Roman"/>
                      <w:lang w:val="en-US"/>
                    </w:rPr>
                  </w:pPr>
                  <w:r>
                    <w:rPr>
                      <w:rFonts w:ascii="Times New Roman" w:hAnsi="Times New Roman"/>
                      <w:lang w:val="en-US"/>
                    </w:rPr>
                    <w:t>清洗</w:t>
                  </w:r>
                </w:p>
              </w:tc>
              <w:tc>
                <w:tcPr>
                  <w:tcW w:w="1036" w:type="dxa"/>
                  <w:vAlign w:val="center"/>
                </w:tcPr>
                <w:p>
                  <w:pPr>
                    <w:jc w:val="center"/>
                    <w:rPr>
                      <w:rFonts w:ascii="Times New Roman" w:hAnsi="Times New Roman"/>
                      <w:lang w:val="en-US"/>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8</w:t>
                  </w:r>
                </w:p>
              </w:tc>
              <w:tc>
                <w:tcPr>
                  <w:tcW w:w="2191" w:type="dxa"/>
                  <w:vAlign w:val="center"/>
                </w:tcPr>
                <w:p>
                  <w:pPr>
                    <w:widowControl/>
                    <w:jc w:val="center"/>
                    <w:rPr>
                      <w:rFonts w:ascii="Times New Roman" w:hAnsi="Times New Roman"/>
                    </w:rPr>
                  </w:pPr>
                  <w:r>
                    <w:rPr>
                      <w:rFonts w:ascii="Times New Roman" w:hAnsi="Times New Roman"/>
                    </w:rPr>
                    <w:t>等离子清洗机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2</w:t>
                  </w:r>
                </w:p>
              </w:tc>
              <w:tc>
                <w:tcPr>
                  <w:tcW w:w="1702" w:type="dxa"/>
                  <w:vAlign w:val="center"/>
                </w:tcPr>
                <w:p>
                  <w:pPr>
                    <w:jc w:val="center"/>
                    <w:rPr>
                      <w:rFonts w:ascii="Times New Roman" w:hAnsi="Times New Roman"/>
                      <w:lang w:val="en-US"/>
                    </w:rPr>
                  </w:pPr>
                  <w:r>
                    <w:rPr>
                      <w:rFonts w:ascii="Times New Roman" w:hAnsi="Times New Roman"/>
                    </w:rPr>
                    <w:t>等离子</w:t>
                  </w:r>
                  <w:r>
                    <w:rPr>
                      <w:rFonts w:ascii="Times New Roman" w:hAnsi="Times New Roman"/>
                      <w:lang w:val="en-US"/>
                    </w:rPr>
                    <w:t>清洗</w:t>
                  </w:r>
                  <w:r>
                    <w:rPr>
                      <w:rFonts w:ascii="Times New Roman" w:hAnsi="Times New Roman"/>
                    </w:rPr>
                    <w:t>机</w:t>
                  </w:r>
                </w:p>
              </w:tc>
              <w:tc>
                <w:tcPr>
                  <w:tcW w:w="1036" w:type="dxa"/>
                  <w:vAlign w:val="center"/>
                </w:tcPr>
                <w:p>
                  <w:pPr>
                    <w:jc w:val="center"/>
                    <w:rPr>
                      <w:rFonts w:ascii="Times New Roman" w:hAnsi="Times New Roman"/>
                      <w:lang w:val="en-US"/>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9</w:t>
                  </w:r>
                </w:p>
              </w:tc>
              <w:tc>
                <w:tcPr>
                  <w:tcW w:w="2191" w:type="dxa"/>
                  <w:vAlign w:val="center"/>
                </w:tcPr>
                <w:p>
                  <w:pPr>
                    <w:widowControl/>
                    <w:jc w:val="center"/>
                    <w:rPr>
                      <w:rFonts w:ascii="Times New Roman" w:hAnsi="Times New Roman"/>
                      <w:lang w:val="en-US" w:bidi="ar-SA"/>
                    </w:rPr>
                  </w:pPr>
                  <w:r>
                    <w:rPr>
                      <w:rFonts w:ascii="Times New Roman" w:hAnsi="Times New Roman"/>
                    </w:rPr>
                    <w:t>贴膜机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3</w:t>
                  </w:r>
                </w:p>
              </w:tc>
              <w:tc>
                <w:tcPr>
                  <w:tcW w:w="1702" w:type="dxa"/>
                  <w:vAlign w:val="center"/>
                </w:tcPr>
                <w:p>
                  <w:pPr>
                    <w:jc w:val="center"/>
                    <w:rPr>
                      <w:rFonts w:ascii="Times New Roman" w:hAnsi="Times New Roman"/>
                    </w:rPr>
                  </w:pPr>
                  <w:r>
                    <w:rPr>
                      <w:rFonts w:ascii="Times New Roman" w:hAnsi="Times New Roman"/>
                      <w:lang w:val="en-US"/>
                    </w:rPr>
                    <w:t>组装</w:t>
                  </w:r>
                </w:p>
              </w:tc>
              <w:tc>
                <w:tcPr>
                  <w:tcW w:w="1036"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4</w:t>
                  </w:r>
                  <w:r>
                    <w:rPr>
                      <w:rFonts w:ascii="Times New Roman" w:hAnsi="Times New Roman"/>
                    </w:rPr>
                    <w:t>0</w:t>
                  </w:r>
                </w:p>
              </w:tc>
              <w:tc>
                <w:tcPr>
                  <w:tcW w:w="2191" w:type="dxa"/>
                  <w:vAlign w:val="center"/>
                </w:tcPr>
                <w:p>
                  <w:pPr>
                    <w:widowControl/>
                    <w:jc w:val="center"/>
                    <w:rPr>
                      <w:rFonts w:ascii="Times New Roman" w:hAnsi="Times New Roman"/>
                      <w:lang w:val="en-US" w:bidi="ar-SA"/>
                    </w:rPr>
                  </w:pPr>
                  <w:r>
                    <w:rPr>
                      <w:rFonts w:ascii="Times New Roman" w:hAnsi="Times New Roman"/>
                    </w:rPr>
                    <w:t>空压机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1</w:t>
                  </w:r>
                </w:p>
              </w:tc>
              <w:tc>
                <w:tcPr>
                  <w:tcW w:w="1702" w:type="dxa"/>
                  <w:vAlign w:val="center"/>
                </w:tcPr>
                <w:p>
                  <w:pPr>
                    <w:jc w:val="center"/>
                    <w:rPr>
                      <w:rFonts w:ascii="Times New Roman" w:hAnsi="Times New Roman"/>
                      <w:lang w:val="en-US"/>
                    </w:rPr>
                  </w:pPr>
                  <w:r>
                    <w:rPr>
                      <w:rFonts w:ascii="Times New Roman" w:hAnsi="Times New Roman"/>
                      <w:lang w:val="en-US"/>
                    </w:rPr>
                    <w:t>空压</w:t>
                  </w:r>
                </w:p>
              </w:tc>
              <w:tc>
                <w:tcPr>
                  <w:tcW w:w="1036"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4</w:t>
                  </w:r>
                  <w:r>
                    <w:rPr>
                      <w:rFonts w:ascii="Times New Roman" w:hAnsi="Times New Roman"/>
                    </w:rPr>
                    <w:t>1</w:t>
                  </w:r>
                </w:p>
              </w:tc>
              <w:tc>
                <w:tcPr>
                  <w:tcW w:w="2191" w:type="dxa"/>
                  <w:vAlign w:val="center"/>
                </w:tcPr>
                <w:p>
                  <w:pPr>
                    <w:widowControl/>
                    <w:jc w:val="center"/>
                    <w:rPr>
                      <w:rFonts w:ascii="Times New Roman" w:hAnsi="Times New Roman"/>
                      <w:lang w:val="en-US" w:bidi="ar-SA"/>
                    </w:rPr>
                  </w:pPr>
                  <w:r>
                    <w:rPr>
                      <w:rFonts w:ascii="Times New Roman" w:hAnsi="Times New Roman"/>
                    </w:rPr>
                    <w:t>纯水机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1</w:t>
                  </w:r>
                </w:p>
              </w:tc>
              <w:tc>
                <w:tcPr>
                  <w:tcW w:w="1702" w:type="dxa"/>
                  <w:vAlign w:val="center"/>
                </w:tcPr>
                <w:p>
                  <w:pPr>
                    <w:jc w:val="center"/>
                    <w:rPr>
                      <w:rFonts w:ascii="Times New Roman" w:hAnsi="Times New Roman"/>
                    </w:rPr>
                  </w:pPr>
                  <w:r>
                    <w:rPr>
                      <w:rFonts w:ascii="Times New Roman" w:hAnsi="Times New Roman"/>
                      <w:lang w:val="en-US"/>
                    </w:rPr>
                    <w:t>纯水</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46" w:type="dxa"/>
                  <w:gridSpan w:val="6"/>
                  <w:vAlign w:val="center"/>
                </w:tcPr>
                <w:p>
                  <w:pPr>
                    <w:jc w:val="center"/>
                    <w:rPr>
                      <w:rFonts w:ascii="Times New Roman" w:hAnsi="Times New Roman"/>
                    </w:rPr>
                  </w:pPr>
                  <w:r>
                    <w:rPr>
                      <w:rFonts w:hint="eastAsia" w:ascii="Times New Roman" w:hAnsi="Times New Roman"/>
                    </w:rPr>
                    <w:t>6#</w:t>
                  </w:r>
                  <w:r>
                    <w:rPr>
                      <w:rFonts w:hint="eastAsia" w:ascii="Times New Roman" w:hAnsi="Times New Roman"/>
                      <w:b/>
                      <w:bCs/>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4</w:t>
                  </w:r>
                  <w:r>
                    <w:rPr>
                      <w:rFonts w:ascii="Times New Roman" w:hAnsi="Times New Roman"/>
                    </w:rPr>
                    <w:t>2</w:t>
                  </w:r>
                </w:p>
              </w:tc>
              <w:tc>
                <w:tcPr>
                  <w:tcW w:w="2191" w:type="dxa"/>
                  <w:vAlign w:val="center"/>
                </w:tcPr>
                <w:p>
                  <w:pPr>
                    <w:widowControl/>
                    <w:jc w:val="center"/>
                    <w:rPr>
                      <w:rFonts w:ascii="Times New Roman" w:hAnsi="Times New Roman"/>
                      <w:lang w:val="en-US" w:bidi="ar-SA"/>
                    </w:rPr>
                  </w:pPr>
                  <w:r>
                    <w:rPr>
                      <w:rFonts w:ascii="Times New Roman" w:hAnsi="Times New Roman"/>
                    </w:rPr>
                    <w:t>CNC开料机</w:t>
                  </w:r>
                </w:p>
              </w:tc>
              <w:tc>
                <w:tcPr>
                  <w:tcW w:w="1493" w:type="dxa"/>
                  <w:vAlign w:val="center"/>
                </w:tcPr>
                <w:p>
                  <w:pPr>
                    <w:jc w:val="center"/>
                    <w:rPr>
                      <w:rFonts w:ascii="Times New Roman" w:hAnsi="Times New Roman"/>
                    </w:rPr>
                  </w:pPr>
                  <w:r>
                    <w:rPr>
                      <w:rFonts w:ascii="Times New Roman" w:hAnsi="Times New Roman"/>
                    </w:rPr>
                    <w:t>CNC-1500</w:t>
                  </w:r>
                </w:p>
              </w:tc>
              <w:tc>
                <w:tcPr>
                  <w:tcW w:w="1088" w:type="dxa"/>
                  <w:vAlign w:val="center"/>
                </w:tcPr>
                <w:p>
                  <w:pPr>
                    <w:jc w:val="center"/>
                    <w:rPr>
                      <w:rFonts w:ascii="Times New Roman" w:hAnsi="Times New Roman"/>
                      <w:kern w:val="2"/>
                      <w:lang w:val="en-US" w:bidi="ar-SA"/>
                    </w:rPr>
                  </w:pPr>
                  <w:r>
                    <w:rPr>
                      <w:rFonts w:hint="eastAsia" w:ascii="Times New Roman" w:hAnsi="Times New Roman"/>
                      <w:kern w:val="2"/>
                      <w:lang w:val="en-US" w:bidi="ar-SA"/>
                    </w:rPr>
                    <w:t>1</w:t>
                  </w:r>
                </w:p>
              </w:tc>
              <w:tc>
                <w:tcPr>
                  <w:tcW w:w="1702" w:type="dxa"/>
                  <w:vAlign w:val="center"/>
                </w:tcPr>
                <w:p>
                  <w:pPr>
                    <w:jc w:val="center"/>
                    <w:rPr>
                      <w:rFonts w:ascii="Times New Roman" w:hAnsi="Times New Roman"/>
                      <w:lang w:val="en-US"/>
                    </w:rPr>
                  </w:pPr>
                  <w:r>
                    <w:rPr>
                      <w:rFonts w:ascii="Times New Roman" w:hAnsi="Times New Roman"/>
                      <w:lang w:val="en-US"/>
                    </w:rPr>
                    <w:t>开料</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4</w:t>
                  </w:r>
                  <w:r>
                    <w:rPr>
                      <w:rFonts w:ascii="Times New Roman" w:hAnsi="Times New Roman"/>
                    </w:rPr>
                    <w:t>3</w:t>
                  </w:r>
                </w:p>
              </w:tc>
              <w:tc>
                <w:tcPr>
                  <w:tcW w:w="2191" w:type="dxa"/>
                  <w:vAlign w:val="center"/>
                </w:tcPr>
                <w:p>
                  <w:pPr>
                    <w:widowControl/>
                    <w:jc w:val="center"/>
                    <w:rPr>
                      <w:rFonts w:ascii="Times New Roman" w:hAnsi="Times New Roman"/>
                      <w:lang w:val="en-US" w:bidi="ar-SA"/>
                    </w:rPr>
                  </w:pPr>
                  <w:r>
                    <w:rPr>
                      <w:rFonts w:ascii="Times New Roman" w:hAnsi="Times New Roman"/>
                    </w:rPr>
                    <w:t>平磨机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rPr>
                    <w:t>10</w:t>
                  </w:r>
                </w:p>
              </w:tc>
              <w:tc>
                <w:tcPr>
                  <w:tcW w:w="1702" w:type="dxa"/>
                  <w:vAlign w:val="center"/>
                </w:tcPr>
                <w:p>
                  <w:pPr>
                    <w:jc w:val="center"/>
                    <w:rPr>
                      <w:rFonts w:ascii="Times New Roman" w:hAnsi="Times New Roman"/>
                      <w:lang w:val="en-US"/>
                    </w:rPr>
                  </w:pPr>
                  <w:r>
                    <w:rPr>
                      <w:rFonts w:ascii="Times New Roman" w:hAnsi="Times New Roman"/>
                      <w:lang w:val="en-US"/>
                    </w:rPr>
                    <w:t>扫光平磨</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4</w:t>
                  </w:r>
                  <w:r>
                    <w:rPr>
                      <w:rFonts w:ascii="Times New Roman" w:hAnsi="Times New Roman"/>
                    </w:rPr>
                    <w:t>4</w:t>
                  </w:r>
                </w:p>
              </w:tc>
              <w:tc>
                <w:tcPr>
                  <w:tcW w:w="2191" w:type="dxa"/>
                  <w:vAlign w:val="center"/>
                </w:tcPr>
                <w:p>
                  <w:pPr>
                    <w:widowControl/>
                    <w:jc w:val="center"/>
                    <w:rPr>
                      <w:rFonts w:ascii="Times New Roman" w:hAnsi="Times New Roman"/>
                      <w:lang w:val="en-US" w:bidi="ar-SA"/>
                    </w:rPr>
                  </w:pPr>
                  <w:r>
                    <w:rPr>
                      <w:rFonts w:hint="eastAsia" w:ascii="Times New Roman" w:hAnsi="Times New Roman"/>
                      <w:lang w:val="en-US" w:bidi="ar-SA"/>
                    </w:rPr>
                    <w:t>热弯机</w:t>
                  </w:r>
                </w:p>
              </w:tc>
              <w:tc>
                <w:tcPr>
                  <w:tcW w:w="1493" w:type="dxa"/>
                  <w:vAlign w:val="center"/>
                </w:tcPr>
                <w:p>
                  <w:pPr>
                    <w:jc w:val="center"/>
                    <w:rPr>
                      <w:rFonts w:ascii="Times New Roman" w:hAnsi="Times New Roman"/>
                    </w:rPr>
                  </w:pPr>
                </w:p>
              </w:tc>
              <w:tc>
                <w:tcPr>
                  <w:tcW w:w="1088" w:type="dxa"/>
                  <w:vAlign w:val="center"/>
                </w:tcPr>
                <w:p>
                  <w:pPr>
                    <w:jc w:val="center"/>
                    <w:rPr>
                      <w:rFonts w:ascii="Times New Roman" w:hAnsi="Times New Roman"/>
                      <w:kern w:val="2"/>
                      <w:lang w:val="en-US" w:bidi="ar-SA"/>
                    </w:rPr>
                  </w:pPr>
                  <w:r>
                    <w:rPr>
                      <w:rFonts w:hint="eastAsia" w:ascii="Times New Roman" w:hAnsi="Times New Roman"/>
                      <w:kern w:val="2"/>
                      <w:lang w:val="en-US" w:bidi="ar-SA"/>
                    </w:rPr>
                    <w:t>1</w:t>
                  </w:r>
                </w:p>
              </w:tc>
              <w:tc>
                <w:tcPr>
                  <w:tcW w:w="1702" w:type="dxa"/>
                  <w:vAlign w:val="center"/>
                </w:tcPr>
                <w:p>
                  <w:pPr>
                    <w:jc w:val="center"/>
                    <w:rPr>
                      <w:rFonts w:ascii="Times New Roman" w:hAnsi="Times New Roman"/>
                      <w:lang w:val="en-US"/>
                    </w:rPr>
                  </w:pPr>
                  <w:r>
                    <w:rPr>
                      <w:rFonts w:hint="eastAsia" w:ascii="Times New Roman" w:hAnsi="Times New Roman"/>
                      <w:lang w:val="en-US"/>
                    </w:rPr>
                    <w:t>热弯</w:t>
                  </w:r>
                </w:p>
              </w:tc>
              <w:tc>
                <w:tcPr>
                  <w:tcW w:w="1036" w:type="dxa"/>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4</w:t>
                  </w:r>
                  <w:r>
                    <w:rPr>
                      <w:rFonts w:ascii="Times New Roman" w:hAnsi="Times New Roman"/>
                    </w:rPr>
                    <w:t>5</w:t>
                  </w:r>
                </w:p>
              </w:tc>
              <w:tc>
                <w:tcPr>
                  <w:tcW w:w="2191" w:type="dxa"/>
                  <w:vAlign w:val="center"/>
                </w:tcPr>
                <w:p>
                  <w:pPr>
                    <w:widowControl/>
                    <w:jc w:val="center"/>
                    <w:rPr>
                      <w:rFonts w:ascii="Times New Roman" w:hAnsi="Times New Roman"/>
                      <w:lang w:val="en-US" w:bidi="ar-SA"/>
                    </w:rPr>
                  </w:pPr>
                  <w:r>
                    <w:rPr>
                      <w:rFonts w:ascii="Times New Roman" w:hAnsi="Times New Roman"/>
                    </w:rPr>
                    <w:t>清洗机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hint="eastAsia" w:ascii="Times New Roman" w:hAnsi="Times New Roman"/>
                      <w:kern w:val="2"/>
                      <w:lang w:val="en-US" w:bidi="ar-SA"/>
                    </w:rPr>
                    <w:t>1</w:t>
                  </w:r>
                </w:p>
              </w:tc>
              <w:tc>
                <w:tcPr>
                  <w:tcW w:w="1702" w:type="dxa"/>
                  <w:vAlign w:val="center"/>
                </w:tcPr>
                <w:p>
                  <w:pPr>
                    <w:jc w:val="center"/>
                    <w:rPr>
                      <w:rFonts w:ascii="Times New Roman" w:hAnsi="Times New Roman"/>
                      <w:lang w:val="en-US"/>
                    </w:rPr>
                  </w:pPr>
                  <w:r>
                    <w:rPr>
                      <w:rFonts w:ascii="Times New Roman" w:hAnsi="Times New Roman"/>
                      <w:lang w:val="en-US"/>
                    </w:rPr>
                    <w:t>清洗</w:t>
                  </w:r>
                </w:p>
              </w:tc>
              <w:tc>
                <w:tcPr>
                  <w:tcW w:w="1036" w:type="dxa"/>
                  <w:vAlign w:val="center"/>
                </w:tcPr>
                <w:p>
                  <w:pPr>
                    <w:jc w:val="center"/>
                    <w:rPr>
                      <w:rFonts w:ascii="Times New Roman" w:hAnsi="Times New Roman"/>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4</w:t>
                  </w:r>
                  <w:r>
                    <w:rPr>
                      <w:rFonts w:ascii="Times New Roman" w:hAnsi="Times New Roman"/>
                    </w:rPr>
                    <w:t>6</w:t>
                  </w:r>
                </w:p>
              </w:tc>
              <w:tc>
                <w:tcPr>
                  <w:tcW w:w="2191" w:type="dxa"/>
                  <w:vAlign w:val="center"/>
                </w:tcPr>
                <w:p>
                  <w:pPr>
                    <w:widowControl/>
                    <w:jc w:val="center"/>
                    <w:rPr>
                      <w:rFonts w:ascii="Times New Roman" w:hAnsi="Times New Roman"/>
                    </w:rPr>
                  </w:pPr>
                  <w:r>
                    <w:rPr>
                      <w:rFonts w:ascii="Times New Roman" w:hAnsi="Times New Roman"/>
                    </w:rPr>
                    <w:t>和科达清洗机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2</w:t>
                  </w:r>
                </w:p>
              </w:tc>
              <w:tc>
                <w:tcPr>
                  <w:tcW w:w="1702" w:type="dxa"/>
                  <w:vAlign w:val="center"/>
                </w:tcPr>
                <w:p>
                  <w:pPr>
                    <w:jc w:val="center"/>
                    <w:rPr>
                      <w:rFonts w:ascii="Times New Roman" w:hAnsi="Times New Roman"/>
                      <w:lang w:val="en-US"/>
                    </w:rPr>
                  </w:pPr>
                  <w:r>
                    <w:rPr>
                      <w:rFonts w:ascii="Times New Roman" w:hAnsi="Times New Roman"/>
                      <w:lang w:val="en-US"/>
                    </w:rPr>
                    <w:t>清洗</w:t>
                  </w:r>
                </w:p>
              </w:tc>
              <w:tc>
                <w:tcPr>
                  <w:tcW w:w="1036" w:type="dxa"/>
                  <w:vAlign w:val="center"/>
                </w:tcPr>
                <w:p>
                  <w:pPr>
                    <w:jc w:val="center"/>
                    <w:rPr>
                      <w:rFonts w:ascii="Times New Roman" w:hAnsi="Times New Roman"/>
                      <w:lang w:val="en-US"/>
                    </w:rPr>
                  </w:pPr>
                  <w:r>
                    <w:rPr>
                      <w:rFonts w:ascii="Times New Roman" w:hAnsi="Times New Roman"/>
                      <w:lang w:val="en-US"/>
                    </w:rPr>
                    <w:t>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pPr>
                    <w:jc w:val="center"/>
                    <w:rPr>
                      <w:rFonts w:ascii="Times New Roman" w:hAnsi="Times New Roman"/>
                    </w:rPr>
                  </w:pPr>
                  <w:r>
                    <w:rPr>
                      <w:rFonts w:hint="eastAsia" w:ascii="Times New Roman" w:hAnsi="Times New Roman"/>
                    </w:rPr>
                    <w:t>4</w:t>
                  </w:r>
                  <w:r>
                    <w:rPr>
                      <w:rFonts w:ascii="Times New Roman" w:hAnsi="Times New Roman"/>
                    </w:rPr>
                    <w:t>7</w:t>
                  </w:r>
                </w:p>
              </w:tc>
              <w:tc>
                <w:tcPr>
                  <w:tcW w:w="2191" w:type="dxa"/>
                  <w:vAlign w:val="center"/>
                </w:tcPr>
                <w:p>
                  <w:pPr>
                    <w:widowControl/>
                    <w:jc w:val="center"/>
                    <w:rPr>
                      <w:rFonts w:ascii="Times New Roman" w:hAnsi="Times New Roman"/>
                      <w:lang w:val="en-US" w:bidi="ar-SA"/>
                    </w:rPr>
                  </w:pPr>
                  <w:r>
                    <w:rPr>
                      <w:rFonts w:ascii="Times New Roman" w:hAnsi="Times New Roman"/>
                    </w:rPr>
                    <w:t>冷干机</w:t>
                  </w:r>
                </w:p>
              </w:tc>
              <w:tc>
                <w:tcPr>
                  <w:tcW w:w="1493" w:type="dxa"/>
                  <w:vAlign w:val="center"/>
                </w:tcPr>
                <w:p>
                  <w:pPr>
                    <w:jc w:val="center"/>
                    <w:rPr>
                      <w:rFonts w:ascii="Times New Roman" w:hAnsi="Times New Roman"/>
                    </w:rPr>
                  </w:pPr>
                  <w:r>
                    <w:rPr>
                      <w:rFonts w:ascii="Times New Roman" w:hAnsi="Times New Roman"/>
                    </w:rPr>
                    <w:t>/</w:t>
                  </w:r>
                </w:p>
              </w:tc>
              <w:tc>
                <w:tcPr>
                  <w:tcW w:w="1088" w:type="dxa"/>
                  <w:vAlign w:val="center"/>
                </w:tcPr>
                <w:p>
                  <w:pPr>
                    <w:jc w:val="center"/>
                    <w:rPr>
                      <w:rFonts w:ascii="Times New Roman" w:hAnsi="Times New Roman"/>
                      <w:kern w:val="2"/>
                      <w:lang w:val="en-US" w:bidi="ar-SA"/>
                    </w:rPr>
                  </w:pPr>
                  <w:r>
                    <w:rPr>
                      <w:rFonts w:ascii="Times New Roman" w:hAnsi="Times New Roman"/>
                      <w:lang w:val="en-US"/>
                    </w:rPr>
                    <w:t>1</w:t>
                  </w:r>
                </w:p>
              </w:tc>
              <w:tc>
                <w:tcPr>
                  <w:tcW w:w="1702" w:type="dxa"/>
                  <w:vAlign w:val="center"/>
                </w:tcPr>
                <w:p>
                  <w:pPr>
                    <w:jc w:val="center"/>
                    <w:rPr>
                      <w:rFonts w:ascii="Times New Roman" w:hAnsi="Times New Roman"/>
                      <w:lang w:val="en-US"/>
                    </w:rPr>
                  </w:pPr>
                  <w:r>
                    <w:rPr>
                      <w:rFonts w:ascii="Times New Roman" w:hAnsi="Times New Roman"/>
                      <w:lang w:val="en-US"/>
                    </w:rPr>
                    <w:t>空压</w:t>
                  </w:r>
                </w:p>
              </w:tc>
              <w:tc>
                <w:tcPr>
                  <w:tcW w:w="1036" w:type="dxa"/>
                  <w:vAlign w:val="center"/>
                </w:tcPr>
                <w:p>
                  <w:pPr>
                    <w:jc w:val="center"/>
                    <w:rPr>
                      <w:rFonts w:ascii="Times New Roman" w:hAnsi="Times New Roman"/>
                    </w:rPr>
                  </w:pPr>
                  <w:r>
                    <w:rPr>
                      <w:rFonts w:ascii="Times New Roman" w:hAnsi="Times New Roman"/>
                      <w:lang w:val="en-US"/>
                    </w:rPr>
                    <w:t>电</w:t>
                  </w:r>
                </w:p>
              </w:tc>
            </w:tr>
          </w:tbl>
          <w:p>
            <w:pPr>
              <w:pStyle w:val="4"/>
              <w:spacing w:before="0" w:line="440" w:lineRule="exact"/>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6、总平面布置</w:t>
            </w:r>
          </w:p>
          <w:p>
            <w:pPr>
              <w:adjustRightInd w:val="0"/>
              <w:snapToGrid w:val="0"/>
              <w:spacing w:line="360" w:lineRule="auto"/>
              <w:ind w:firstLine="480" w:firstLineChars="200"/>
              <w:jc w:val="both"/>
              <w:rPr>
                <w:rFonts w:ascii="Times New Roman" w:hAnsi="Times New Roman"/>
                <w:bCs/>
                <w:sz w:val="24"/>
              </w:rPr>
            </w:pPr>
            <w:r>
              <w:rPr>
                <w:rFonts w:ascii="Times New Roman" w:hAnsi="Times New Roman"/>
                <w:bCs/>
                <w:sz w:val="24"/>
              </w:rPr>
              <w:t>本项目选址于安徽凤台经济开发区桂集产业园，土地类型为工业用地。在桂集孵化器产业园租赁凤台经济开发区60000m</w:t>
            </w:r>
            <w:r>
              <w:rPr>
                <w:rFonts w:ascii="Times New Roman" w:hAnsi="Times New Roman"/>
                <w:bCs/>
                <w:sz w:val="24"/>
                <w:vertAlign w:val="superscript"/>
              </w:rPr>
              <w:t>2</w:t>
            </w:r>
            <w:r>
              <w:rPr>
                <w:rFonts w:ascii="Times New Roman" w:hAnsi="Times New Roman"/>
                <w:bCs/>
                <w:sz w:val="24"/>
              </w:rPr>
              <w:t>标准化厂房进行生产。</w:t>
            </w:r>
          </w:p>
          <w:p>
            <w:pPr>
              <w:spacing w:line="360" w:lineRule="auto"/>
              <w:ind w:firstLine="480" w:firstLineChars="200"/>
              <w:jc w:val="both"/>
              <w:rPr>
                <w:rFonts w:ascii="Times New Roman" w:hAnsi="Times New Roman"/>
                <w:sz w:val="24"/>
                <w:lang w:bidi="ar"/>
              </w:rPr>
            </w:pPr>
            <w:bookmarkStart w:id="40" w:name="_Hlk112682423"/>
            <w:r>
              <w:rPr>
                <w:rFonts w:ascii="Times New Roman" w:hAnsi="Times New Roman"/>
                <w:sz w:val="24"/>
                <w:szCs w:val="24"/>
                <w:lang w:bidi="ar"/>
              </w:rPr>
              <w:t>本项目租用已建成的1#、2#、3#、4#、5#、6#、7#（以上均为四层），研发中心和食堂（六层）、宿舍楼（七层）厂房，均位于锦绣路与淮界路交叉口西南侧。项目内部按照项目生产流程逐次分区布置，1#第一层布置为来料区、开料车间、CNC车间，第二层为热弯、清洗车间，第三层为丝印、镀膜、清洗、检验车间，第四层为组装、检验车间；2#第一层布置钢化车间，第二</w:t>
            </w:r>
            <w:r>
              <w:rPr>
                <w:rFonts w:hint="eastAsia" w:ascii="Times New Roman" w:hAnsi="Times New Roman"/>
                <w:sz w:val="24"/>
                <w:szCs w:val="24"/>
                <w:lang w:bidi="ar"/>
              </w:rPr>
              <w:t>、三</w:t>
            </w:r>
            <w:r>
              <w:rPr>
                <w:rFonts w:ascii="Times New Roman" w:hAnsi="Times New Roman"/>
                <w:sz w:val="24"/>
                <w:szCs w:val="24"/>
                <w:lang w:bidi="ar"/>
              </w:rPr>
              <w:t>层为清洗、检验车间；3#第一层为模切车间，第二</w:t>
            </w:r>
            <w:r>
              <w:rPr>
                <w:rFonts w:hint="eastAsia" w:ascii="Times New Roman" w:hAnsi="Times New Roman"/>
                <w:sz w:val="24"/>
                <w:szCs w:val="24"/>
                <w:lang w:bidi="ar"/>
              </w:rPr>
              <w:t>、三</w:t>
            </w:r>
            <w:r>
              <w:rPr>
                <w:rFonts w:ascii="Times New Roman" w:hAnsi="Times New Roman"/>
                <w:sz w:val="24"/>
                <w:szCs w:val="24"/>
                <w:lang w:bidi="ar"/>
              </w:rPr>
              <w:t>层为包装车间；4#第一层为喷涂、开料、CNC车间，第二</w:t>
            </w:r>
            <w:r>
              <w:rPr>
                <w:rFonts w:ascii="Times New Roman" w:hAnsi="Times New Roman"/>
                <w:sz w:val="24"/>
                <w:szCs w:val="24"/>
              </w:rPr>
              <w:t>层为研发中心，</w:t>
            </w:r>
            <w:r>
              <w:rPr>
                <w:rFonts w:ascii="Times New Roman" w:hAnsi="Times New Roman"/>
                <w:sz w:val="24"/>
                <w:szCs w:val="24"/>
                <w:lang w:bidi="ar"/>
              </w:rPr>
              <w:t>第三层为热弯、清洗车间，第</w:t>
            </w:r>
            <w:r>
              <w:rPr>
                <w:rFonts w:ascii="Times New Roman" w:hAnsi="Times New Roman"/>
                <w:sz w:val="24"/>
                <w:szCs w:val="24"/>
              </w:rPr>
              <w:t>四层为成品仓库</w:t>
            </w:r>
            <w:r>
              <w:rPr>
                <w:rFonts w:ascii="Times New Roman" w:hAnsi="Times New Roman"/>
                <w:sz w:val="24"/>
                <w:szCs w:val="24"/>
                <w:lang w:bidi="ar"/>
              </w:rPr>
              <w:t>；5#第一层为钢化车间，第二</w:t>
            </w:r>
            <w:r>
              <w:rPr>
                <w:rFonts w:hint="eastAsia" w:ascii="Times New Roman" w:hAnsi="Times New Roman"/>
                <w:sz w:val="24"/>
                <w:szCs w:val="24"/>
                <w:lang w:bidi="ar"/>
              </w:rPr>
              <w:t>、三</w:t>
            </w:r>
            <w:r>
              <w:rPr>
                <w:rFonts w:ascii="Times New Roman" w:hAnsi="Times New Roman"/>
                <w:sz w:val="24"/>
                <w:szCs w:val="24"/>
                <w:lang w:bidi="ar"/>
              </w:rPr>
              <w:t>层为清洗车间，第</w:t>
            </w:r>
            <w:r>
              <w:rPr>
                <w:rFonts w:ascii="Times New Roman" w:hAnsi="Times New Roman"/>
                <w:sz w:val="24"/>
                <w:szCs w:val="24"/>
              </w:rPr>
              <w:t>四层为成品仓库</w:t>
            </w:r>
            <w:r>
              <w:rPr>
                <w:rFonts w:ascii="Times New Roman" w:hAnsi="Times New Roman"/>
                <w:sz w:val="24"/>
                <w:szCs w:val="24"/>
                <w:lang w:bidi="ar"/>
              </w:rPr>
              <w:t>；6#第一层为</w:t>
            </w:r>
            <w:r>
              <w:rPr>
                <w:rFonts w:hint="eastAsia" w:ascii="Times New Roman" w:hAnsi="Times New Roman"/>
                <w:sz w:val="24"/>
                <w:szCs w:val="24"/>
                <w:lang w:bidi="ar"/>
              </w:rPr>
              <w:t>开料、磨边车间以及一般固废暂存间和危废暂存间</w:t>
            </w:r>
            <w:r>
              <w:rPr>
                <w:rFonts w:ascii="Times New Roman" w:hAnsi="Times New Roman"/>
                <w:sz w:val="24"/>
                <w:szCs w:val="24"/>
                <w:lang w:bidi="ar"/>
              </w:rPr>
              <w:t>，第二层为热弯车间，第三</w:t>
            </w:r>
            <w:r>
              <w:rPr>
                <w:rFonts w:hint="eastAsia" w:ascii="Times New Roman" w:hAnsi="Times New Roman"/>
                <w:sz w:val="24"/>
                <w:szCs w:val="24"/>
                <w:lang w:bidi="ar"/>
              </w:rPr>
              <w:t>层为清洗、脱泡车间，第</w:t>
            </w:r>
            <w:r>
              <w:rPr>
                <w:rFonts w:ascii="Times New Roman" w:hAnsi="Times New Roman"/>
                <w:sz w:val="24"/>
                <w:szCs w:val="24"/>
              </w:rPr>
              <w:t>四层为</w:t>
            </w:r>
            <w:r>
              <w:rPr>
                <w:rFonts w:hint="eastAsia" w:ascii="Times New Roman" w:hAnsi="Times New Roman"/>
                <w:sz w:val="24"/>
                <w:szCs w:val="24"/>
              </w:rPr>
              <w:t>打包车间</w:t>
            </w:r>
            <w:r>
              <w:rPr>
                <w:rFonts w:ascii="Times New Roman" w:hAnsi="Times New Roman"/>
                <w:sz w:val="24"/>
                <w:szCs w:val="24"/>
                <w:lang w:bidi="ar"/>
              </w:rPr>
              <w:t>；7#第一层为化学品仓库、原材料仓库，第二</w:t>
            </w:r>
            <w:r>
              <w:rPr>
                <w:rFonts w:hint="eastAsia" w:ascii="Times New Roman" w:hAnsi="Times New Roman"/>
                <w:sz w:val="24"/>
                <w:szCs w:val="24"/>
                <w:lang w:bidi="ar"/>
              </w:rPr>
              <w:t>、三</w:t>
            </w:r>
            <w:r>
              <w:rPr>
                <w:rFonts w:ascii="Times New Roman" w:hAnsi="Times New Roman"/>
                <w:sz w:val="24"/>
                <w:szCs w:val="24"/>
                <w:lang w:bidi="ar"/>
              </w:rPr>
              <w:t>层为</w:t>
            </w:r>
            <w:r>
              <w:rPr>
                <w:rFonts w:hint="eastAsia" w:ascii="Times New Roman" w:hAnsi="Times New Roman"/>
                <w:sz w:val="24"/>
                <w:szCs w:val="24"/>
                <w:lang w:bidi="ar"/>
              </w:rPr>
              <w:t>成品</w:t>
            </w:r>
            <w:r>
              <w:rPr>
                <w:rFonts w:ascii="Times New Roman" w:hAnsi="Times New Roman"/>
                <w:sz w:val="24"/>
                <w:szCs w:val="24"/>
                <w:lang w:bidi="ar"/>
              </w:rPr>
              <w:t>仓库，第</w:t>
            </w:r>
            <w:r>
              <w:rPr>
                <w:rFonts w:ascii="Times New Roman" w:hAnsi="Times New Roman"/>
                <w:sz w:val="24"/>
                <w:szCs w:val="24"/>
              </w:rPr>
              <w:t>四层为</w:t>
            </w:r>
            <w:r>
              <w:rPr>
                <w:rFonts w:hint="eastAsia" w:ascii="Times New Roman" w:hAnsi="Times New Roman"/>
                <w:sz w:val="24"/>
                <w:szCs w:val="24"/>
              </w:rPr>
              <w:t>辅料</w:t>
            </w:r>
            <w:r>
              <w:rPr>
                <w:rFonts w:ascii="Times New Roman" w:hAnsi="Times New Roman"/>
                <w:sz w:val="24"/>
                <w:szCs w:val="24"/>
              </w:rPr>
              <w:t>仓库；研发中心第一二层为食堂，第四至六层为办公区；</w:t>
            </w:r>
            <w:bookmarkEnd w:id="40"/>
            <w:r>
              <w:rPr>
                <w:rFonts w:ascii="Times New Roman" w:hAnsi="Times New Roman"/>
                <w:sz w:val="24"/>
                <w:lang w:bidi="ar"/>
              </w:rPr>
              <w:t>地埋式隔油池+化粪池设置在厂区入口西侧，园区污水处理站（三级絮凝沉淀池）设置在厂区入口东侧，详见附图2。</w:t>
            </w:r>
          </w:p>
          <w:p>
            <w:pPr>
              <w:pStyle w:val="13"/>
              <w:spacing w:line="360" w:lineRule="auto"/>
              <w:ind w:firstLine="480" w:firstLineChars="200"/>
              <w:jc w:val="both"/>
              <w:rPr>
                <w:rFonts w:ascii="Times New Roman" w:hAnsi="Times New Roman"/>
              </w:rPr>
            </w:pPr>
            <w:r>
              <w:rPr>
                <w:rFonts w:ascii="Times New Roman" w:hAnsi="Times New Roman"/>
                <w:sz w:val="24"/>
                <w:lang w:bidi="ar"/>
              </w:rPr>
              <w:t>项目总平面布置以有利于生产、方便生活、便于管理、布置紧凑、节约用地，厂容整洁及符合防火、卫生、绿化、环保等规范为原则，同时考虑当地主导风向和各种水、电管线的最佳入厂位置，以便于减少污染，利于生产，使总体设计更趋合理。项目所在区水、电供应有保障，交通便利；项目平面布局较合理。项目平面布置详见附图2。</w:t>
            </w:r>
          </w:p>
          <w:p>
            <w:pPr>
              <w:adjustRightInd w:val="0"/>
              <w:snapToGrid w:val="0"/>
              <w:spacing w:line="360" w:lineRule="auto"/>
              <w:ind w:firstLine="480" w:firstLineChars="200"/>
              <w:jc w:val="both"/>
              <w:rPr>
                <w:rFonts w:ascii="Times New Roman" w:hAnsi="Times New Roman"/>
                <w:bCs/>
                <w:sz w:val="24"/>
              </w:rPr>
            </w:pPr>
            <w:r>
              <w:rPr>
                <w:rFonts w:ascii="Times New Roman" w:hAnsi="Times New Roman"/>
                <w:bCs/>
                <w:sz w:val="24"/>
              </w:rPr>
              <w:t>项目整体为西南朝向，周边环境情况为：东南侧为空地，西南侧为上海洁诺德塑胶包装安徽智造基地，西北侧为安徽瑞高科技有限公司，东北侧为凤台县阳春白雪面粉有限公司（待拆）。</w:t>
            </w:r>
          </w:p>
          <w:tbl>
            <w:tblPr>
              <w:tblStyle w:val="43"/>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6"/>
              <w:gridCol w:w="4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7" w:type="dxa"/>
                  <w:shd w:val="clear" w:color="auto" w:fill="auto"/>
                </w:tcPr>
                <w:p>
                  <w:pPr>
                    <w:jc w:val="center"/>
                    <w:rPr>
                      <w:rFonts w:ascii="Times New Roman" w:hAnsi="Times New Roman"/>
                    </w:rPr>
                  </w:pPr>
                  <w:r>
                    <w:rPr>
                      <w:rFonts w:ascii="Times New Roman" w:hAnsi="Times New Roman"/>
                      <w:lang w:val="en-US" w:bidi="ar-SA"/>
                    </w:rPr>
                    <w:drawing>
                      <wp:inline distT="0" distB="0" distL="0" distR="0">
                        <wp:extent cx="3163570" cy="1581785"/>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63570" cy="1581785"/>
                                </a:xfrm>
                                <a:prstGeom prst="rect">
                                  <a:avLst/>
                                </a:prstGeom>
                                <a:noFill/>
                                <a:ln>
                                  <a:noFill/>
                                </a:ln>
                              </pic:spPr>
                            </pic:pic>
                          </a:graphicData>
                        </a:graphic>
                      </wp:inline>
                    </w:drawing>
                  </w:r>
                </w:p>
              </w:tc>
              <w:tc>
                <w:tcPr>
                  <w:tcW w:w="5064" w:type="dxa"/>
                  <w:shd w:val="clear" w:color="auto" w:fill="auto"/>
                </w:tcPr>
                <w:p>
                  <w:pPr>
                    <w:jc w:val="center"/>
                    <w:rPr>
                      <w:rFonts w:ascii="Times New Roman" w:hAnsi="Times New Roman"/>
                    </w:rPr>
                  </w:pPr>
                  <w:r>
                    <w:rPr>
                      <w:rFonts w:ascii="Times New Roman" w:hAnsi="Times New Roman"/>
                      <w:lang w:val="en-US" w:bidi="ar-SA"/>
                    </w:rPr>
                    <w:drawing>
                      <wp:inline distT="0" distB="0" distL="0" distR="0">
                        <wp:extent cx="3081655" cy="15913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81655" cy="1591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7" w:type="dxa"/>
                  <w:shd w:val="clear" w:color="auto" w:fill="auto"/>
                </w:tcPr>
                <w:p>
                  <w:pPr>
                    <w:jc w:val="center"/>
                    <w:rPr>
                      <w:rFonts w:ascii="Times New Roman" w:hAnsi="Times New Roman"/>
                    </w:rPr>
                  </w:pPr>
                  <w:r>
                    <w:rPr>
                      <w:rFonts w:ascii="Times New Roman" w:hAnsi="Times New Roman"/>
                    </w:rPr>
                    <w:t>东南</w:t>
                  </w:r>
                </w:p>
              </w:tc>
              <w:tc>
                <w:tcPr>
                  <w:tcW w:w="5064" w:type="dxa"/>
                  <w:shd w:val="clear" w:color="auto" w:fill="auto"/>
                </w:tcPr>
                <w:p>
                  <w:pPr>
                    <w:jc w:val="center"/>
                    <w:rPr>
                      <w:rFonts w:ascii="Times New Roman" w:hAnsi="Times New Roman"/>
                    </w:rPr>
                  </w:pPr>
                  <w:r>
                    <w:rPr>
                      <w:rFonts w:ascii="Times New Roman" w:hAnsi="Times New Roman"/>
                    </w:rPr>
                    <w:t>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7" w:type="dxa"/>
                  <w:shd w:val="clear" w:color="auto" w:fill="auto"/>
                </w:tcPr>
                <w:p>
                  <w:pPr>
                    <w:jc w:val="center"/>
                    <w:rPr>
                      <w:rFonts w:ascii="Times New Roman" w:hAnsi="Times New Roman"/>
                    </w:rPr>
                  </w:pPr>
                  <w:r>
                    <w:rPr>
                      <w:rFonts w:ascii="Times New Roman" w:hAnsi="Times New Roman"/>
                      <w:lang w:val="en-US" w:bidi="ar-SA"/>
                    </w:rPr>
                    <w:drawing>
                      <wp:inline distT="0" distB="0" distL="0" distR="0">
                        <wp:extent cx="3090545" cy="1545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90545" cy="1545590"/>
                                </a:xfrm>
                                <a:prstGeom prst="rect">
                                  <a:avLst/>
                                </a:prstGeom>
                                <a:noFill/>
                                <a:ln>
                                  <a:noFill/>
                                </a:ln>
                              </pic:spPr>
                            </pic:pic>
                          </a:graphicData>
                        </a:graphic>
                      </wp:inline>
                    </w:drawing>
                  </w:r>
                </w:p>
              </w:tc>
              <w:tc>
                <w:tcPr>
                  <w:tcW w:w="5064" w:type="dxa"/>
                  <w:shd w:val="clear" w:color="auto" w:fill="auto"/>
                </w:tcPr>
                <w:p>
                  <w:pPr>
                    <w:jc w:val="center"/>
                    <w:rPr>
                      <w:rFonts w:ascii="Times New Roman" w:hAnsi="Times New Roman"/>
                    </w:rPr>
                  </w:pPr>
                  <w:r>
                    <w:rPr>
                      <w:rFonts w:ascii="Times New Roman" w:hAnsi="Times New Roman"/>
                      <w:lang w:val="en-US" w:bidi="ar-SA"/>
                    </w:rPr>
                    <w:drawing>
                      <wp:inline distT="0" distB="0" distL="0" distR="0">
                        <wp:extent cx="3017520" cy="15087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17520" cy="1508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7" w:type="dxa"/>
                  <w:shd w:val="clear" w:color="auto" w:fill="auto"/>
                </w:tcPr>
                <w:p>
                  <w:pPr>
                    <w:jc w:val="center"/>
                    <w:rPr>
                      <w:rFonts w:ascii="Times New Roman" w:hAnsi="Times New Roman"/>
                    </w:rPr>
                  </w:pPr>
                  <w:r>
                    <w:rPr>
                      <w:rFonts w:ascii="Times New Roman" w:hAnsi="Times New Roman"/>
                    </w:rPr>
                    <w:t>西北</w:t>
                  </w:r>
                </w:p>
              </w:tc>
              <w:tc>
                <w:tcPr>
                  <w:tcW w:w="5064" w:type="dxa"/>
                  <w:shd w:val="clear" w:color="auto" w:fill="auto"/>
                </w:tcPr>
                <w:p>
                  <w:pPr>
                    <w:jc w:val="center"/>
                    <w:rPr>
                      <w:rFonts w:ascii="Times New Roman" w:hAnsi="Times New Roman"/>
                    </w:rPr>
                  </w:pPr>
                  <w:r>
                    <w:rPr>
                      <w:rFonts w:ascii="Times New Roman" w:hAnsi="Times New Roman"/>
                    </w:rPr>
                    <w:t>东北</w:t>
                  </w:r>
                </w:p>
              </w:tc>
            </w:tr>
          </w:tbl>
          <w:p>
            <w:pPr>
              <w:jc w:val="center"/>
              <w:rPr>
                <w:rFonts w:ascii="Times New Roman" w:hAnsi="Times New Roman"/>
                <w:b/>
                <w:bCs/>
              </w:rPr>
            </w:pPr>
            <w:r>
              <w:rPr>
                <w:rFonts w:ascii="Times New Roman" w:hAnsi="Times New Roman"/>
                <w:b/>
                <w:bCs/>
              </w:rPr>
              <w:t>图2-1  项目厂界情况</w:t>
            </w:r>
          </w:p>
          <w:p>
            <w:pPr>
              <w:snapToGrid w:val="0"/>
              <w:spacing w:line="440" w:lineRule="exact"/>
              <w:ind w:firstLine="482" w:firstLineChars="200"/>
              <w:rPr>
                <w:rFonts w:ascii="Times New Roman" w:hAnsi="Times New Roman"/>
                <w:b/>
                <w:bCs/>
                <w:sz w:val="24"/>
              </w:rPr>
            </w:pPr>
            <w:r>
              <w:rPr>
                <w:rFonts w:ascii="Times New Roman" w:hAnsi="Times New Roman"/>
                <w:b/>
                <w:bCs/>
                <w:sz w:val="24"/>
              </w:rPr>
              <w:t>7、劳动定员及班制</w:t>
            </w:r>
          </w:p>
          <w:p>
            <w:pPr>
              <w:adjustRightInd w:val="0"/>
              <w:snapToGrid w:val="0"/>
              <w:spacing w:line="440" w:lineRule="exact"/>
              <w:ind w:firstLine="480" w:firstLineChars="200"/>
              <w:jc w:val="both"/>
              <w:rPr>
                <w:rFonts w:ascii="Times New Roman" w:hAnsi="Times New Roman"/>
                <w:bCs/>
                <w:sz w:val="24"/>
              </w:rPr>
            </w:pPr>
            <w:r>
              <w:rPr>
                <w:rFonts w:ascii="Times New Roman" w:hAnsi="Times New Roman"/>
                <w:bCs/>
                <w:sz w:val="24"/>
              </w:rPr>
              <w:t>工作时数：全年工作日300天，每天10小时工作制。（年工作3000小时）</w:t>
            </w:r>
          </w:p>
          <w:p>
            <w:pPr>
              <w:snapToGrid w:val="0"/>
              <w:spacing w:line="440" w:lineRule="exact"/>
              <w:ind w:firstLine="480" w:firstLineChars="200"/>
              <w:rPr>
                <w:rFonts w:ascii="Times New Roman" w:hAnsi="Times New Roman"/>
                <w:bCs/>
                <w:sz w:val="24"/>
              </w:rPr>
            </w:pPr>
            <w:r>
              <w:rPr>
                <w:rFonts w:ascii="Times New Roman" w:hAnsi="Times New Roman"/>
                <w:bCs/>
                <w:sz w:val="24"/>
              </w:rPr>
              <w:t>职工人数：劳动定员500人，</w:t>
            </w:r>
            <w:r>
              <w:rPr>
                <w:rFonts w:ascii="Times New Roman" w:hAnsi="Times New Roman"/>
                <w:sz w:val="24"/>
              </w:rPr>
              <w:t>其中200人在厂区食宿</w:t>
            </w:r>
            <w:r>
              <w:rPr>
                <w:rFonts w:ascii="Times New Roman" w:hAnsi="Times New Roman"/>
                <w:bCs/>
                <w:sz w:val="24"/>
              </w:rPr>
              <w:t>。</w:t>
            </w:r>
          </w:p>
          <w:p>
            <w:pPr>
              <w:spacing w:line="440" w:lineRule="exact"/>
              <w:ind w:firstLine="482" w:firstLineChars="200"/>
              <w:rPr>
                <w:rFonts w:ascii="Times New Roman" w:hAnsi="Times New Roman"/>
                <w:b/>
                <w:sz w:val="24"/>
                <w:szCs w:val="24"/>
              </w:rPr>
            </w:pPr>
            <w:r>
              <w:rPr>
                <w:rFonts w:ascii="Times New Roman" w:hAnsi="Times New Roman"/>
                <w:b/>
                <w:sz w:val="24"/>
                <w:szCs w:val="24"/>
              </w:rPr>
              <w:t>8、项目用水情况</w:t>
            </w:r>
          </w:p>
          <w:p>
            <w:pPr>
              <w:spacing w:line="440" w:lineRule="exact"/>
              <w:ind w:firstLine="480" w:firstLineChars="200"/>
              <w:jc w:val="both"/>
              <w:rPr>
                <w:rFonts w:ascii="Times New Roman" w:hAnsi="Times New Roman"/>
                <w:sz w:val="24"/>
              </w:rPr>
            </w:pPr>
            <w:r>
              <w:rPr>
                <w:rFonts w:ascii="Times New Roman" w:hAnsi="Times New Roman"/>
                <w:sz w:val="24"/>
              </w:rPr>
              <w:t>项目用水包含职工生活用水、CNC精雕用水、纯水制备用水、扫光平磨用水、玻璃浸泡用水以及清洗用水。项目废水主要是员工生活污水、纯水制备系统排水、玻璃浸泡废水和清洗废水。</w:t>
            </w:r>
          </w:p>
          <w:p>
            <w:pPr>
              <w:spacing w:line="440" w:lineRule="exact"/>
              <w:ind w:firstLine="480" w:firstLineChars="200"/>
              <w:rPr>
                <w:rFonts w:ascii="Times New Roman" w:hAnsi="Times New Roman"/>
                <w:sz w:val="24"/>
              </w:rPr>
            </w:pPr>
            <w:r>
              <w:rPr>
                <w:rFonts w:ascii="Times New Roman" w:hAnsi="Times New Roman"/>
                <w:sz w:val="24"/>
              </w:rPr>
              <w:t>（1）生活污水</w:t>
            </w:r>
          </w:p>
          <w:p>
            <w:pPr>
              <w:pStyle w:val="111"/>
              <w:spacing w:line="440" w:lineRule="exact"/>
              <w:rPr>
                <w:rFonts w:ascii="Times New Roman" w:hAnsi="Times New Roman" w:eastAsia="宋体"/>
              </w:rPr>
            </w:pPr>
            <w:r>
              <w:rPr>
                <w:rFonts w:ascii="Times New Roman" w:hAnsi="Times New Roman" w:eastAsia="宋体"/>
              </w:rPr>
              <w:t>本项目劳动定员500人，其中200人在厂区食宿，年工作300天，根据《安徽省行业用水定额》（GB34/T679-2020），项目平均日用水定额按110L/人</w:t>
            </w:r>
            <w:r>
              <w:rPr>
                <w:rStyle w:val="112"/>
                <w:rFonts w:ascii="Times New Roman" w:hAnsi="Times New Roman" w:eastAsia="宋体"/>
                <w:color w:val="auto"/>
                <w:sz w:val="21"/>
                <w:szCs w:val="21"/>
              </w:rPr>
              <w:t>·</w:t>
            </w:r>
            <w:r>
              <w:rPr>
                <w:rFonts w:ascii="Times New Roman" w:hAnsi="Times New Roman" w:eastAsia="宋体"/>
              </w:rPr>
              <w:t>d计，则生活用水量为Q=200人×110L/人d=22t/d（6600t/a），产污系数按0.8计，则生活污水产生量为Q=200人×110L/人d×0.80=17.6t/d（5280t/a）。污水主要污染物因子为COD、NH</w:t>
            </w:r>
            <w:r>
              <w:rPr>
                <w:rFonts w:ascii="Times New Roman" w:hAnsi="Times New Roman" w:eastAsia="宋体"/>
                <w:vertAlign w:val="subscript"/>
              </w:rPr>
              <w:t>3</w:t>
            </w:r>
            <w:r>
              <w:rPr>
                <w:rFonts w:ascii="Times New Roman" w:hAnsi="Times New Roman" w:eastAsia="宋体"/>
              </w:rPr>
              <w:t>-N、SS。污染物浓度确定为COD：350mg/L，NH</w:t>
            </w:r>
            <w:r>
              <w:rPr>
                <w:rFonts w:ascii="Times New Roman" w:hAnsi="Times New Roman" w:eastAsia="宋体"/>
                <w:vertAlign w:val="subscript"/>
              </w:rPr>
              <w:t>3</w:t>
            </w:r>
            <w:r>
              <w:rPr>
                <w:rFonts w:ascii="Times New Roman" w:hAnsi="Times New Roman" w:eastAsia="宋体"/>
              </w:rPr>
              <w:t>-N：30mg/L，SS：200mg/L，TP：5mg/L，动植物油20mg/L。生活污水依托厂区新建隔油池+化粪池预处理。生活污水经厂区隔油池+化粪池处理后通过市政污水管网排入桂集镇污水处理厂处理，尾水入永幸河。</w:t>
            </w:r>
          </w:p>
          <w:p>
            <w:pPr>
              <w:pStyle w:val="111"/>
              <w:spacing w:line="440" w:lineRule="exact"/>
              <w:rPr>
                <w:rFonts w:ascii="Times New Roman" w:hAnsi="Times New Roman" w:eastAsia="宋体"/>
              </w:rPr>
            </w:pPr>
            <w:r>
              <w:rPr>
                <w:rFonts w:ascii="Times New Roman" w:hAnsi="Times New Roman" w:eastAsia="宋体"/>
              </w:rPr>
              <w:t>（2）CNC精雕用水</w:t>
            </w:r>
          </w:p>
          <w:p>
            <w:pPr>
              <w:pStyle w:val="111"/>
              <w:spacing w:line="440" w:lineRule="exact"/>
              <w:rPr>
                <w:rFonts w:ascii="Times New Roman" w:hAnsi="Times New Roman" w:eastAsia="宋体"/>
              </w:rPr>
            </w:pPr>
            <w:r>
              <w:rPr>
                <w:rFonts w:ascii="Times New Roman" w:hAnsi="Times New Roman" w:eastAsia="宋体"/>
              </w:rPr>
              <w:t>项目CNC精雕过程采用切削液混合液（切削液混合液为水：切削液为19：1）精雕，切削液混合液循环使用，项目每台CNC精雕机配套容纳切削液混合液的槽体容积为50L，项目共设有40台CNC精雕机，槽体容量共为2m</w:t>
            </w:r>
            <w:r>
              <w:rPr>
                <w:rFonts w:ascii="Times New Roman" w:hAnsi="Times New Roman" w:eastAsia="宋体"/>
                <w:vertAlign w:val="superscript"/>
              </w:rPr>
              <w:t>3</w:t>
            </w:r>
            <w:r>
              <w:rPr>
                <w:rFonts w:ascii="Times New Roman" w:hAnsi="Times New Roman" w:eastAsia="宋体"/>
              </w:rPr>
              <w:t>，切削液混合液使用过程中会有一定损耗，主要是水分蒸发和工件带走，只需定期补充蒸发量即可，损耗率按5%计，则补充损耗水量约2m</w:t>
            </w:r>
            <w:r>
              <w:rPr>
                <w:rFonts w:ascii="Times New Roman" w:hAnsi="Times New Roman" w:eastAsia="宋体"/>
                <w:vertAlign w:val="superscript"/>
              </w:rPr>
              <w:t>3</w:t>
            </w:r>
            <w:r>
              <w:rPr>
                <w:rFonts w:ascii="Times New Roman" w:hAnsi="Times New Roman" w:eastAsia="宋体"/>
              </w:rPr>
              <w:t>×5%×300d=30m</w:t>
            </w:r>
            <w:r>
              <w:rPr>
                <w:rFonts w:ascii="Times New Roman" w:hAnsi="Times New Roman" w:eastAsia="宋体"/>
                <w:vertAlign w:val="superscript"/>
              </w:rPr>
              <w:t>3</w:t>
            </w:r>
            <w:r>
              <w:rPr>
                <w:rFonts w:ascii="Times New Roman" w:hAnsi="Times New Roman" w:eastAsia="宋体"/>
              </w:rPr>
              <w:t>/a（0.1t/d）。为保证切削液混合液的使用效率，每3个月对CNC精雕机进行维护保养过程中，会对其切削液混合液全部进行更换，耗水量为4次×2m</w:t>
            </w:r>
            <w:r>
              <w:rPr>
                <w:rFonts w:ascii="Times New Roman" w:hAnsi="Times New Roman" w:eastAsia="宋体"/>
                <w:vertAlign w:val="superscript"/>
              </w:rPr>
              <w:t>3</w:t>
            </w:r>
            <w:r>
              <w:rPr>
                <w:rFonts w:ascii="Times New Roman" w:hAnsi="Times New Roman" w:eastAsia="宋体"/>
              </w:rPr>
              <w:t>=8m</w:t>
            </w:r>
            <w:r>
              <w:rPr>
                <w:rFonts w:ascii="Times New Roman" w:hAnsi="Times New Roman" w:eastAsia="宋体"/>
                <w:vertAlign w:val="superscript"/>
              </w:rPr>
              <w:t>3</w:t>
            </w:r>
            <w:r>
              <w:rPr>
                <w:rFonts w:ascii="Times New Roman" w:hAnsi="Times New Roman" w:eastAsia="宋体"/>
              </w:rPr>
              <w:t>/a，CNC精雕耗水量合计为38t/a，项目废切削液产生量为8t/a。</w:t>
            </w:r>
          </w:p>
          <w:p>
            <w:pPr>
              <w:pStyle w:val="111"/>
              <w:spacing w:line="440" w:lineRule="exact"/>
              <w:rPr>
                <w:rFonts w:ascii="Times New Roman" w:hAnsi="Times New Roman" w:eastAsia="宋体"/>
              </w:rPr>
            </w:pPr>
            <w:bookmarkStart w:id="41" w:name="_Hlk112157939"/>
            <w:r>
              <w:rPr>
                <w:rFonts w:ascii="Times New Roman" w:hAnsi="Times New Roman" w:eastAsia="宋体"/>
              </w:rPr>
              <w:t>（3）清洗用水</w:t>
            </w:r>
          </w:p>
          <w:p>
            <w:pPr>
              <w:pStyle w:val="111"/>
              <w:spacing w:line="440" w:lineRule="exact"/>
              <w:ind w:firstLineChars="0"/>
              <w:rPr>
                <w:rFonts w:ascii="Times New Roman" w:hAnsi="Times New Roman" w:eastAsia="宋体"/>
              </w:rPr>
            </w:pPr>
            <w:r>
              <w:rPr>
                <w:rFonts w:ascii="Times New Roman" w:hAnsi="Times New Roman" w:eastAsia="宋体"/>
              </w:rPr>
              <w:t>项目清洗工序包括超声波清洗工序、共设有16台超声清洗机，其中共含55个纯水槽、33个洗剂槽、11个喷淋槽。</w:t>
            </w:r>
          </w:p>
          <w:p>
            <w:pPr>
              <w:spacing w:line="440" w:lineRule="exact"/>
              <w:jc w:val="center"/>
              <w:rPr>
                <w:rFonts w:ascii="Times New Roman" w:hAnsi="Times New Roman"/>
                <w:b/>
                <w:bCs/>
              </w:rPr>
            </w:pPr>
            <w:r>
              <w:rPr>
                <w:rFonts w:ascii="Times New Roman" w:hAnsi="Times New Roman"/>
                <w:b/>
                <w:bCs/>
              </w:rPr>
              <w:t>表2-9项目清洗工序设备规格一览表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2585"/>
              <w:gridCol w:w="2585"/>
              <w:gridCol w:w="10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8"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水槽尺寸</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0.6m×0.6m×0.8m</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1.0m×1.0m×0.6m</w:t>
                  </w:r>
                </w:p>
              </w:tc>
              <w:tc>
                <w:tcPr>
                  <w:tcW w:w="621"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8"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水槽容积</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0.29m</w:t>
                  </w:r>
                  <w:r>
                    <w:rPr>
                      <w:rFonts w:ascii="Times New Roman" w:hAnsi="Times New Roman" w:cs="Times New Roman"/>
                      <w:bCs/>
                      <w:snapToGrid w:val="0"/>
                      <w:sz w:val="21"/>
                      <w:szCs w:val="21"/>
                      <w:vertAlign w:val="superscript"/>
                    </w:rPr>
                    <w:t>3</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0.6m</w:t>
                  </w:r>
                  <w:r>
                    <w:rPr>
                      <w:rFonts w:ascii="Times New Roman" w:hAnsi="Times New Roman" w:cs="Times New Roman"/>
                      <w:bCs/>
                      <w:snapToGrid w:val="0"/>
                      <w:sz w:val="21"/>
                      <w:szCs w:val="21"/>
                      <w:vertAlign w:val="superscript"/>
                    </w:rPr>
                    <w:t>3</w:t>
                  </w:r>
                </w:p>
              </w:tc>
              <w:tc>
                <w:tcPr>
                  <w:tcW w:w="621"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8"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蓄水量</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90%</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90%</w:t>
                  </w:r>
                </w:p>
              </w:tc>
              <w:tc>
                <w:tcPr>
                  <w:tcW w:w="621"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8"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单槽有效容积</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0.26m</w:t>
                  </w:r>
                  <w:r>
                    <w:rPr>
                      <w:rFonts w:ascii="Times New Roman" w:hAnsi="Times New Roman" w:cs="Times New Roman"/>
                      <w:bCs/>
                      <w:snapToGrid w:val="0"/>
                      <w:sz w:val="21"/>
                      <w:szCs w:val="21"/>
                      <w:vertAlign w:val="superscript"/>
                    </w:rPr>
                    <w:t>3</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0.54m</w:t>
                  </w:r>
                  <w:r>
                    <w:rPr>
                      <w:rFonts w:ascii="Times New Roman" w:hAnsi="Times New Roman" w:cs="Times New Roman"/>
                      <w:bCs/>
                      <w:snapToGrid w:val="0"/>
                      <w:sz w:val="21"/>
                      <w:szCs w:val="21"/>
                      <w:vertAlign w:val="superscript"/>
                    </w:rPr>
                    <w:t>3</w:t>
                  </w:r>
                </w:p>
              </w:tc>
              <w:tc>
                <w:tcPr>
                  <w:tcW w:w="621"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8"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纯水槽</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40个</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15个</w:t>
                  </w:r>
                </w:p>
              </w:tc>
              <w:tc>
                <w:tcPr>
                  <w:tcW w:w="621"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55个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8"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洗剂槽</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24个</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9个</w:t>
                  </w:r>
                </w:p>
              </w:tc>
              <w:tc>
                <w:tcPr>
                  <w:tcW w:w="621"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33个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8"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喷淋槽</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8个</w:t>
                  </w:r>
                </w:p>
              </w:tc>
              <w:tc>
                <w:tcPr>
                  <w:tcW w:w="1530"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3</w:t>
                  </w:r>
                </w:p>
              </w:tc>
              <w:tc>
                <w:tcPr>
                  <w:tcW w:w="621" w:type="pct"/>
                  <w:vAlign w:val="center"/>
                </w:tcPr>
                <w:p>
                  <w:pPr>
                    <w:pStyle w:val="15"/>
                    <w:jc w:val="center"/>
                    <w:rPr>
                      <w:rFonts w:ascii="Times New Roman" w:hAnsi="Times New Roman" w:cs="Times New Roman"/>
                      <w:bCs/>
                      <w:snapToGrid w:val="0"/>
                      <w:sz w:val="21"/>
                      <w:szCs w:val="21"/>
                    </w:rPr>
                  </w:pPr>
                  <w:r>
                    <w:rPr>
                      <w:rFonts w:ascii="Times New Roman" w:hAnsi="Times New Roman" w:cs="Times New Roman"/>
                      <w:bCs/>
                      <w:snapToGrid w:val="0"/>
                      <w:sz w:val="21"/>
                      <w:szCs w:val="21"/>
                    </w:rPr>
                    <w:t>11个</w:t>
                  </w:r>
                </w:p>
              </w:tc>
            </w:tr>
          </w:tbl>
          <w:p>
            <w:pPr>
              <w:pStyle w:val="111"/>
              <w:spacing w:line="440" w:lineRule="exact"/>
              <w:ind w:firstLineChars="0"/>
              <w:rPr>
                <w:rFonts w:ascii="Times New Roman" w:hAnsi="Times New Roman" w:eastAsia="宋体"/>
              </w:rPr>
            </w:pPr>
            <w:r>
              <w:rPr>
                <w:rFonts w:ascii="Times New Roman" w:hAnsi="Times New Roman" w:eastAsia="宋体"/>
              </w:rPr>
              <w:t>由上表可知，</w:t>
            </w:r>
          </w:p>
          <w:bookmarkEnd w:id="41"/>
          <w:p>
            <w:pPr>
              <w:pStyle w:val="111"/>
              <w:spacing w:line="440" w:lineRule="exact"/>
              <w:ind w:firstLineChars="0"/>
              <w:rPr>
                <w:rFonts w:ascii="Times New Roman" w:hAnsi="Times New Roman" w:eastAsia="宋体"/>
              </w:rPr>
            </w:pPr>
            <w:r>
              <w:rPr>
                <w:rFonts w:ascii="Times New Roman" w:hAnsi="Times New Roman" w:eastAsia="宋体"/>
              </w:rPr>
              <w:t>1）项目洗剂槽的总有效容积为：0.26m</w:t>
            </w:r>
            <w:r>
              <w:rPr>
                <w:rFonts w:ascii="Times New Roman" w:hAnsi="Times New Roman" w:eastAsia="宋体"/>
                <w:vertAlign w:val="superscript"/>
              </w:rPr>
              <w:t>3</w:t>
            </w:r>
            <w:r>
              <w:rPr>
                <w:rFonts w:ascii="Times New Roman" w:hAnsi="Times New Roman" w:eastAsia="宋体"/>
              </w:rPr>
              <w:t>/个×24个+0.54m</w:t>
            </w:r>
            <w:r>
              <w:rPr>
                <w:rFonts w:ascii="Times New Roman" w:hAnsi="Times New Roman" w:eastAsia="宋体"/>
                <w:vertAlign w:val="superscript"/>
              </w:rPr>
              <w:t>3</w:t>
            </w:r>
            <w:r>
              <w:rPr>
                <w:rFonts w:ascii="Times New Roman" w:hAnsi="Times New Roman" w:eastAsia="宋体"/>
              </w:rPr>
              <w:t>/个×9个=11.1m</w:t>
            </w:r>
            <w:r>
              <w:rPr>
                <w:rFonts w:ascii="Times New Roman" w:hAnsi="Times New Roman" w:eastAsia="宋体"/>
                <w:vertAlign w:val="superscript"/>
              </w:rPr>
              <w:t>3</w:t>
            </w:r>
            <w:r>
              <w:rPr>
                <w:rFonts w:ascii="Times New Roman" w:hAnsi="Times New Roman" w:eastAsia="宋体"/>
              </w:rPr>
              <w:t>，即洗剂槽的总蓄水量为11.1m</w:t>
            </w:r>
            <w:r>
              <w:rPr>
                <w:rFonts w:ascii="Times New Roman" w:hAnsi="Times New Roman" w:eastAsia="宋体"/>
                <w:vertAlign w:val="superscript"/>
              </w:rPr>
              <w:t>3</w:t>
            </w:r>
            <w:r>
              <w:rPr>
                <w:rFonts w:ascii="Times New Roman" w:hAnsi="Times New Roman" w:eastAsia="宋体"/>
              </w:rPr>
              <w:t>，洗剂槽的废水约每三天更换一次，年工作300d，则每次更换水量11.1m</w:t>
            </w:r>
            <w:r>
              <w:rPr>
                <w:rFonts w:ascii="Times New Roman" w:hAnsi="Times New Roman" w:eastAsia="宋体"/>
                <w:vertAlign w:val="superscript"/>
              </w:rPr>
              <w:t>3</w:t>
            </w:r>
            <w:r>
              <w:rPr>
                <w:rFonts w:ascii="Times New Roman" w:hAnsi="Times New Roman" w:eastAsia="宋体"/>
              </w:rPr>
              <w:t>，即1110m</w:t>
            </w:r>
            <w:r>
              <w:rPr>
                <w:rFonts w:ascii="Times New Roman" w:hAnsi="Times New Roman" w:eastAsia="宋体"/>
                <w:vertAlign w:val="superscript"/>
              </w:rPr>
              <w:t>3</w:t>
            </w:r>
            <w:r>
              <w:rPr>
                <w:rFonts w:ascii="Times New Roman" w:hAnsi="Times New Roman" w:eastAsia="宋体"/>
              </w:rPr>
              <w:t>/a。</w:t>
            </w:r>
          </w:p>
          <w:p>
            <w:pPr>
              <w:pStyle w:val="111"/>
              <w:spacing w:line="440" w:lineRule="exact"/>
              <w:ind w:firstLineChars="0"/>
              <w:rPr>
                <w:rFonts w:ascii="Times New Roman" w:hAnsi="Times New Roman" w:eastAsia="宋体"/>
              </w:rPr>
            </w:pPr>
            <w:r>
              <w:rPr>
                <w:rFonts w:ascii="Times New Roman" w:hAnsi="Times New Roman" w:eastAsia="宋体"/>
              </w:rPr>
              <w:t>2）项目纯水槽及喷淋槽的总有效容积为：0.26m</w:t>
            </w:r>
            <w:r>
              <w:rPr>
                <w:rFonts w:ascii="Times New Roman" w:hAnsi="Times New Roman" w:eastAsia="宋体"/>
                <w:vertAlign w:val="superscript"/>
              </w:rPr>
              <w:t>3</w:t>
            </w:r>
            <w:r>
              <w:rPr>
                <w:rFonts w:ascii="Times New Roman" w:hAnsi="Times New Roman" w:eastAsia="宋体"/>
              </w:rPr>
              <w:t>/个×48个+0.54m</w:t>
            </w:r>
            <w:r>
              <w:rPr>
                <w:rFonts w:ascii="Times New Roman" w:hAnsi="Times New Roman" w:eastAsia="宋体"/>
                <w:vertAlign w:val="superscript"/>
              </w:rPr>
              <w:t>3</w:t>
            </w:r>
            <w:r>
              <w:rPr>
                <w:rFonts w:ascii="Times New Roman" w:hAnsi="Times New Roman" w:eastAsia="宋体"/>
              </w:rPr>
              <w:t>/个×18个=23.16m</w:t>
            </w:r>
            <w:r>
              <w:rPr>
                <w:rFonts w:ascii="Times New Roman" w:hAnsi="Times New Roman" w:eastAsia="宋体"/>
                <w:vertAlign w:val="superscript"/>
              </w:rPr>
              <w:t>3</w:t>
            </w:r>
            <w:r>
              <w:rPr>
                <w:rFonts w:ascii="Times New Roman" w:hAnsi="Times New Roman" w:eastAsia="宋体"/>
              </w:rPr>
              <w:t>，即纯水槽及喷淋槽的蓄水量约为23.16m</w:t>
            </w:r>
            <w:r>
              <w:rPr>
                <w:rFonts w:ascii="Times New Roman" w:hAnsi="Times New Roman" w:eastAsia="宋体"/>
                <w:vertAlign w:val="superscript"/>
              </w:rPr>
              <w:t>3</w:t>
            </w:r>
            <w:r>
              <w:rPr>
                <w:rFonts w:ascii="Times New Roman" w:hAnsi="Times New Roman" w:eastAsia="宋体"/>
              </w:rPr>
              <w:t>，纯水槽及喷淋槽的废水每天更换1次，年工作300d，则每天更换水量23.16m</w:t>
            </w:r>
            <w:r>
              <w:rPr>
                <w:rFonts w:ascii="Times New Roman" w:hAnsi="Times New Roman" w:eastAsia="宋体"/>
                <w:vertAlign w:val="superscript"/>
              </w:rPr>
              <w:t>3</w:t>
            </w:r>
            <w:r>
              <w:rPr>
                <w:rFonts w:ascii="Times New Roman" w:hAnsi="Times New Roman" w:eastAsia="宋体"/>
              </w:rPr>
              <w:t>，即6948m</w:t>
            </w:r>
            <w:r>
              <w:rPr>
                <w:rFonts w:ascii="Times New Roman" w:hAnsi="Times New Roman" w:eastAsia="宋体"/>
                <w:vertAlign w:val="superscript"/>
              </w:rPr>
              <w:t>3</w:t>
            </w:r>
            <w:r>
              <w:rPr>
                <w:rFonts w:ascii="Times New Roman" w:hAnsi="Times New Roman" w:eastAsia="宋体"/>
              </w:rPr>
              <w:t>/a。</w:t>
            </w:r>
          </w:p>
          <w:p>
            <w:pPr>
              <w:pStyle w:val="111"/>
              <w:spacing w:line="440" w:lineRule="exact"/>
              <w:ind w:firstLineChars="0"/>
              <w:rPr>
                <w:rFonts w:ascii="Times New Roman" w:hAnsi="Times New Roman" w:eastAsia="宋体"/>
              </w:rPr>
            </w:pPr>
            <w:r>
              <w:rPr>
                <w:rFonts w:ascii="Times New Roman" w:hAnsi="Times New Roman" w:eastAsia="宋体"/>
              </w:rPr>
              <w:t>综上，本项目玻璃片清洗废水排放量为1110m</w:t>
            </w:r>
            <w:r>
              <w:rPr>
                <w:rFonts w:ascii="Times New Roman" w:hAnsi="Times New Roman" w:eastAsia="宋体"/>
                <w:vertAlign w:val="superscript"/>
              </w:rPr>
              <w:t>3</w:t>
            </w:r>
            <w:r>
              <w:rPr>
                <w:rFonts w:ascii="Times New Roman" w:hAnsi="Times New Roman" w:eastAsia="宋体"/>
              </w:rPr>
              <w:t>/a+6948m</w:t>
            </w:r>
            <w:r>
              <w:rPr>
                <w:rFonts w:ascii="Times New Roman" w:hAnsi="Times New Roman" w:eastAsia="宋体"/>
                <w:vertAlign w:val="superscript"/>
              </w:rPr>
              <w:t>3</w:t>
            </w:r>
            <w:r>
              <w:rPr>
                <w:rFonts w:ascii="Times New Roman" w:hAnsi="Times New Roman" w:eastAsia="宋体"/>
              </w:rPr>
              <w:t>/a=8058t/a（26.86t/d），玻璃片清洗废水经容积为30m</w:t>
            </w:r>
            <w:r>
              <w:rPr>
                <w:rFonts w:ascii="Times New Roman" w:hAnsi="Times New Roman" w:eastAsia="宋体"/>
                <w:vertAlign w:val="superscript"/>
              </w:rPr>
              <w:t>3</w:t>
            </w:r>
            <w:r>
              <w:rPr>
                <w:rFonts w:ascii="Times New Roman" w:hAnsi="Times New Roman" w:eastAsia="宋体"/>
              </w:rPr>
              <w:t>/d的三级絮凝沉淀池处理之后进入市政污水管网，类比同类型项目验收检测数据，本项目废水进水浓度为COD：292mg/L、BOD</w:t>
            </w:r>
            <w:r>
              <w:rPr>
                <w:rFonts w:ascii="Times New Roman" w:hAnsi="Times New Roman" w:eastAsia="宋体"/>
                <w:vertAlign w:val="subscript"/>
              </w:rPr>
              <w:t>5</w:t>
            </w:r>
            <w:r>
              <w:rPr>
                <w:rFonts w:ascii="Times New Roman" w:hAnsi="Times New Roman" w:eastAsia="宋体"/>
              </w:rPr>
              <w:t>：55.3mg/L、SS：212mg/L、NH</w:t>
            </w:r>
            <w:r>
              <w:rPr>
                <w:rFonts w:ascii="Times New Roman" w:hAnsi="Times New Roman" w:eastAsia="宋体"/>
                <w:vertAlign w:val="subscript"/>
              </w:rPr>
              <w:t>3</w:t>
            </w:r>
            <w:r>
              <w:rPr>
                <w:rFonts w:ascii="Times New Roman" w:hAnsi="Times New Roman" w:eastAsia="宋体"/>
              </w:rPr>
              <w:t>-N：17.4mg/L、LAS：30mg/L。</w:t>
            </w:r>
          </w:p>
          <w:p>
            <w:pPr>
              <w:pStyle w:val="2"/>
              <w:spacing w:after="0" w:line="440" w:lineRule="exact"/>
              <w:ind w:left="0" w:leftChars="0" w:firstLine="480"/>
              <w:jc w:val="both"/>
              <w:rPr>
                <w:rFonts w:ascii="Times New Roman" w:hAnsi="Times New Roman"/>
                <w:sz w:val="24"/>
              </w:rPr>
            </w:pPr>
            <w:r>
              <w:rPr>
                <w:rFonts w:ascii="Times New Roman" w:hAnsi="Times New Roman"/>
                <w:sz w:val="24"/>
              </w:rPr>
              <w:t>（4）扫光平磨用水</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本项目有玻璃盖板抛光使用介质抛光粉，其主要成分为氧化铈（VK-CE01）、氧化铝（VK-L30F）、氧化硅（VK-SP50F）、氧化铁、氧化锆（VK-R30F），项目年使用抛光粉0.5t，根据建设单位提供资料，将抛光粉配制成悬浊液需用水12t/a，因附着工件带走等因素损耗数水量，抛光工序的废水损耗为1%，年产生废悬浊液11.88t，经沉淀后回收利用，不外排。</w:t>
            </w:r>
          </w:p>
          <w:p>
            <w:pPr>
              <w:pStyle w:val="2"/>
              <w:spacing w:after="0" w:line="440" w:lineRule="exact"/>
              <w:ind w:left="0" w:leftChars="0" w:firstLine="480"/>
              <w:jc w:val="both"/>
              <w:rPr>
                <w:rFonts w:ascii="Times New Roman" w:hAnsi="Times New Roman"/>
                <w:sz w:val="24"/>
              </w:rPr>
            </w:pPr>
            <w:r>
              <w:rPr>
                <w:rFonts w:ascii="Times New Roman" w:hAnsi="Times New Roman"/>
                <w:sz w:val="24"/>
              </w:rPr>
              <w:t>（5）玻璃浸泡用水</w:t>
            </w:r>
          </w:p>
          <w:p>
            <w:pPr>
              <w:pStyle w:val="2"/>
              <w:spacing w:after="0" w:line="440" w:lineRule="exact"/>
              <w:ind w:left="0" w:leftChars="0" w:firstLine="480"/>
              <w:jc w:val="both"/>
              <w:rPr>
                <w:rFonts w:ascii="Times New Roman" w:hAnsi="Times New Roman"/>
                <w:sz w:val="24"/>
              </w:rPr>
            </w:pPr>
            <w:r>
              <w:rPr>
                <w:rFonts w:ascii="Times New Roman" w:hAnsi="Times New Roman"/>
                <w:sz w:val="24"/>
              </w:rPr>
              <w:t>本项目玻璃抛光后需将加工后的玻璃需放入浸泡槽（胶框）中浸泡，来保持玻璃的湿度，避免在后续工序中把玻璃刮伤。浸泡用水为自来水，不加入任何化学药剂。浸泡过程产生一定量的浸泡废水。项目设有30个浸泡水槽（胶框），浸泡水槽的容积为0.02m</w:t>
            </w:r>
            <w:r>
              <w:rPr>
                <w:rFonts w:ascii="Times New Roman" w:hAnsi="Times New Roman"/>
                <w:sz w:val="24"/>
                <w:vertAlign w:val="superscript"/>
              </w:rPr>
              <w:t>3</w:t>
            </w:r>
            <w:r>
              <w:rPr>
                <w:rFonts w:ascii="Times New Roman" w:hAnsi="Times New Roman"/>
                <w:sz w:val="24"/>
              </w:rPr>
              <w:t>，每个浸泡槽用水量约0.02t，根据建设单位提供资料，该浸泡水槽中废水每天更换二次，年更换600次，则浸泡槽年更换水量为0.02t×30个×600次=360m</w:t>
            </w:r>
            <w:r>
              <w:rPr>
                <w:rFonts w:ascii="Times New Roman" w:hAnsi="Times New Roman"/>
                <w:sz w:val="24"/>
                <w:vertAlign w:val="superscript"/>
              </w:rPr>
              <w:t>3</w:t>
            </w:r>
            <w:r>
              <w:rPr>
                <w:rFonts w:ascii="Times New Roman" w:hAnsi="Times New Roman"/>
                <w:sz w:val="24"/>
              </w:rPr>
              <w:t>/a，因附着工件带走等因素每天每个浸泡槽损耗10%，则浸泡工序补充水量0.02t×30个×10%×300d=18m</w:t>
            </w:r>
            <w:r>
              <w:rPr>
                <w:rFonts w:ascii="Times New Roman" w:hAnsi="Times New Roman"/>
                <w:sz w:val="24"/>
                <w:vertAlign w:val="superscript"/>
              </w:rPr>
              <w:t>3</w:t>
            </w:r>
            <w:r>
              <w:rPr>
                <w:rFonts w:ascii="Times New Roman" w:hAnsi="Times New Roman"/>
                <w:sz w:val="24"/>
              </w:rPr>
              <w:t>/a（0.06m</w:t>
            </w:r>
            <w:r>
              <w:rPr>
                <w:rFonts w:ascii="Times New Roman" w:hAnsi="Times New Roman"/>
                <w:sz w:val="24"/>
                <w:vertAlign w:val="superscript"/>
              </w:rPr>
              <w:t>3</w:t>
            </w:r>
            <w:r>
              <w:rPr>
                <w:rFonts w:ascii="Times New Roman" w:hAnsi="Times New Roman"/>
                <w:sz w:val="24"/>
              </w:rPr>
              <w:t>/d），项目玻璃浸泡总用水量为378m</w:t>
            </w:r>
            <w:r>
              <w:rPr>
                <w:rFonts w:ascii="Times New Roman" w:hAnsi="Times New Roman"/>
                <w:sz w:val="24"/>
                <w:vertAlign w:val="superscript"/>
              </w:rPr>
              <w:t>3</w:t>
            </w:r>
            <w:r>
              <w:rPr>
                <w:rFonts w:ascii="Times New Roman" w:hAnsi="Times New Roman"/>
                <w:sz w:val="24"/>
              </w:rPr>
              <w:t>/a（1.26m</w:t>
            </w:r>
            <w:r>
              <w:rPr>
                <w:rFonts w:ascii="Times New Roman" w:hAnsi="Times New Roman"/>
                <w:sz w:val="24"/>
                <w:vertAlign w:val="superscript"/>
              </w:rPr>
              <w:t>3</w:t>
            </w:r>
            <w:r>
              <w:rPr>
                <w:rFonts w:ascii="Times New Roman" w:hAnsi="Times New Roman"/>
                <w:sz w:val="24"/>
              </w:rPr>
              <w:t>/d），浸泡槽废水量按更换用水量90%计，则玻璃浸泡工序废水排放为378× 90%=340.2m</w:t>
            </w:r>
            <w:r>
              <w:rPr>
                <w:rFonts w:ascii="Times New Roman" w:hAnsi="Times New Roman"/>
                <w:sz w:val="24"/>
                <w:vertAlign w:val="superscript"/>
              </w:rPr>
              <w:t>3</w:t>
            </w:r>
            <w:r>
              <w:rPr>
                <w:rFonts w:ascii="Times New Roman" w:hAnsi="Times New Roman"/>
                <w:sz w:val="24"/>
              </w:rPr>
              <w:t>/a，为间接性排放，主要污染物为SS（200mg/L）。</w:t>
            </w:r>
          </w:p>
          <w:p>
            <w:pPr>
              <w:tabs>
                <w:tab w:val="left" w:pos="1260"/>
              </w:tabs>
              <w:adjustRightInd w:val="0"/>
              <w:spacing w:line="440" w:lineRule="exact"/>
              <w:ind w:firstLine="477" w:firstLineChars="199"/>
              <w:textAlignment w:val="baseline"/>
              <w:rPr>
                <w:rFonts w:ascii="Times New Roman" w:hAnsi="Times New Roman"/>
                <w:sz w:val="24"/>
                <w:szCs w:val="24"/>
              </w:rPr>
            </w:pPr>
            <w:r>
              <w:rPr>
                <w:rFonts w:ascii="Times New Roman" w:hAnsi="Times New Roman"/>
                <w:sz w:val="24"/>
                <w:szCs w:val="24"/>
              </w:rPr>
              <w:t>（6）纯水制备用水</w:t>
            </w:r>
          </w:p>
          <w:p>
            <w:pPr>
              <w:tabs>
                <w:tab w:val="left" w:pos="1275"/>
              </w:tabs>
              <w:spacing w:line="440" w:lineRule="exact"/>
              <w:ind w:firstLine="480"/>
              <w:jc w:val="both"/>
              <w:rPr>
                <w:rFonts w:ascii="Times New Roman" w:hAnsi="Times New Roman"/>
                <w:sz w:val="24"/>
                <w:szCs w:val="24"/>
              </w:rPr>
            </w:pPr>
            <w:r>
              <w:rPr>
                <w:rFonts w:ascii="Times New Roman" w:hAnsi="Times New Roman"/>
                <w:sz w:val="24"/>
                <w:szCs w:val="24"/>
              </w:rPr>
              <w:t>根据企业提供资料，项目配套纯水制备装置3套，纯水制备率55%，本项目所需纯水为</w:t>
            </w:r>
            <w:r>
              <w:rPr>
                <w:rStyle w:val="112"/>
                <w:rFonts w:ascii="Times New Roman" w:hAnsi="Times New Roman"/>
                <w:color w:val="auto"/>
                <w:sz w:val="24"/>
                <w:szCs w:val="24"/>
              </w:rPr>
              <w:t>CNC精雕切削液用水+清洗用水+扫光平磨用水=38+</w:t>
            </w:r>
            <w:r>
              <w:rPr>
                <w:rFonts w:ascii="Times New Roman" w:hAnsi="Times New Roman"/>
                <w:sz w:val="24"/>
                <w:szCs w:val="24"/>
              </w:rPr>
              <w:t>8058</w:t>
            </w:r>
            <w:r>
              <w:rPr>
                <w:rStyle w:val="112"/>
                <w:rFonts w:ascii="Times New Roman" w:hAnsi="Times New Roman"/>
                <w:color w:val="auto"/>
                <w:sz w:val="24"/>
                <w:szCs w:val="24"/>
              </w:rPr>
              <w:t>+12=</w:t>
            </w:r>
            <w:r>
              <w:rPr>
                <w:rFonts w:ascii="Times New Roman" w:hAnsi="Times New Roman"/>
                <w:sz w:val="24"/>
                <w:szCs w:val="24"/>
              </w:rPr>
              <w:t>8108t/a，故纯水制备系统自来水用水量约为14741.82t/a（49.14t/d），则年产纯水制备浓水约为6633.82t/a（18.45t/d），主要污染因子为COD、SS，浓度分别为30mg/L、60mg/L，浓水进入市政污水管网。</w:t>
            </w:r>
          </w:p>
          <w:p>
            <w:pPr>
              <w:pStyle w:val="228"/>
              <w:adjustRightInd w:val="0"/>
              <w:snapToGrid w:val="0"/>
              <w:spacing w:line="360" w:lineRule="auto"/>
            </w:pPr>
            <w:r>
              <w:rPr>
                <w:rFonts w:hint="eastAsia"/>
              </w:rPr>
              <w:t>（</w:t>
            </w:r>
            <w:r>
              <w:t>7</w:t>
            </w:r>
            <w:r>
              <w:rPr>
                <w:rFonts w:hint="eastAsia"/>
              </w:rPr>
              <w:t>）</w:t>
            </w:r>
            <w:r>
              <w:t>绿化用水</w:t>
            </w:r>
          </w:p>
          <w:p>
            <w:pPr>
              <w:pStyle w:val="228"/>
              <w:adjustRightInd w:val="0"/>
              <w:snapToGrid w:val="0"/>
              <w:spacing w:line="360" w:lineRule="auto"/>
            </w:pPr>
            <w:r>
              <w:t>本项目建成后绿化面积为3000m</w:t>
            </w:r>
            <w:r>
              <w:rPr>
                <w:vertAlign w:val="superscript"/>
              </w:rPr>
              <w:t>2</w:t>
            </w:r>
            <w:r>
              <w:t>，其用水量按2L/（m</w:t>
            </w:r>
            <w:r>
              <w:rPr>
                <w:vertAlign w:val="superscript"/>
              </w:rPr>
              <w:t>2</w:t>
            </w:r>
            <w:r>
              <w:t>•周）计，共计用水量为1.04m</w:t>
            </w:r>
            <w:r>
              <w:rPr>
                <w:vertAlign w:val="superscript"/>
              </w:rPr>
              <w:t>3</w:t>
            </w:r>
            <w:r>
              <w:t>/d</w:t>
            </w:r>
            <w:r>
              <w:rPr>
                <w:rFonts w:hint="eastAsia"/>
              </w:rPr>
              <w:t>，</w:t>
            </w:r>
            <w:r>
              <w:t>312m</w:t>
            </w:r>
            <w:r>
              <w:rPr>
                <w:vertAlign w:val="superscript"/>
              </w:rPr>
              <w:t>3</w:t>
            </w:r>
            <w:r>
              <w:t>/a。</w:t>
            </w:r>
          </w:p>
          <w:p>
            <w:pPr>
              <w:spacing w:line="440" w:lineRule="exact"/>
              <w:ind w:firstLine="480"/>
              <w:jc w:val="both"/>
              <w:rPr>
                <w:rFonts w:ascii="Times New Roman" w:hAnsi="Times New Roman"/>
                <w:sz w:val="24"/>
                <w:szCs w:val="24"/>
              </w:rPr>
            </w:pPr>
            <w:r>
              <w:rPr>
                <w:rFonts w:ascii="Times New Roman" w:hAnsi="Times New Roman"/>
                <w:sz w:val="24"/>
                <w:szCs w:val="24"/>
              </w:rPr>
              <w:t>本项目废水各因子满足《污水综合排放标准》（GB8978-1996）表4中三级排放标准及污水处理厂接管标准要求，满足达标排放的要求。项目用排水情况见下表：</w:t>
            </w:r>
          </w:p>
          <w:p>
            <w:pPr>
              <w:pStyle w:val="96"/>
              <w:spacing w:line="440" w:lineRule="exact"/>
              <w:ind w:firstLine="0" w:firstLineChars="0"/>
              <w:jc w:val="center"/>
              <w:rPr>
                <w:b/>
                <w:bCs/>
                <w:sz w:val="21"/>
              </w:rPr>
            </w:pPr>
            <w:r>
              <w:rPr>
                <w:b/>
                <w:bCs/>
                <w:sz w:val="21"/>
              </w:rPr>
              <w:t>表2-10本项目废水产生及排放情况一览表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280"/>
              <w:gridCol w:w="1284"/>
              <w:gridCol w:w="1074"/>
              <w:gridCol w:w="1218"/>
              <w:gridCol w:w="1588"/>
              <w:gridCol w:w="15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vAlign w:val="center"/>
                </w:tcPr>
                <w:p>
                  <w:pPr>
                    <w:jc w:val="center"/>
                    <w:rPr>
                      <w:rFonts w:ascii="Times New Roman" w:hAnsi="Times New Roman"/>
                      <w:b/>
                      <w:bCs/>
                    </w:rPr>
                  </w:pPr>
                  <w:r>
                    <w:rPr>
                      <w:rFonts w:ascii="Times New Roman" w:hAnsi="Times New Roman"/>
                      <w:b/>
                      <w:bCs/>
                    </w:rPr>
                    <w:t>序号</w:t>
                  </w:r>
                </w:p>
              </w:tc>
              <w:tc>
                <w:tcPr>
                  <w:tcW w:w="1518" w:type="pct"/>
                  <w:gridSpan w:val="2"/>
                  <w:vAlign w:val="center"/>
                </w:tcPr>
                <w:p>
                  <w:pPr>
                    <w:jc w:val="center"/>
                    <w:rPr>
                      <w:rFonts w:ascii="Times New Roman" w:hAnsi="Times New Roman"/>
                      <w:b/>
                      <w:bCs/>
                    </w:rPr>
                  </w:pPr>
                  <w:r>
                    <w:rPr>
                      <w:rFonts w:ascii="Times New Roman" w:hAnsi="Times New Roman"/>
                      <w:b/>
                      <w:bCs/>
                    </w:rPr>
                    <w:t>用水项目</w:t>
                  </w:r>
                </w:p>
              </w:tc>
              <w:tc>
                <w:tcPr>
                  <w:tcW w:w="636" w:type="pct"/>
                  <w:vAlign w:val="center"/>
                </w:tcPr>
                <w:p>
                  <w:pPr>
                    <w:jc w:val="center"/>
                    <w:rPr>
                      <w:rFonts w:ascii="Times New Roman" w:hAnsi="Times New Roman"/>
                      <w:b/>
                      <w:bCs/>
                    </w:rPr>
                  </w:pPr>
                  <w:r>
                    <w:rPr>
                      <w:rFonts w:ascii="Times New Roman" w:hAnsi="Times New Roman"/>
                      <w:b/>
                      <w:bCs/>
                    </w:rPr>
                    <w:t>用水类型</w:t>
                  </w:r>
                </w:p>
              </w:tc>
              <w:tc>
                <w:tcPr>
                  <w:tcW w:w="721" w:type="pct"/>
                  <w:vAlign w:val="center"/>
                </w:tcPr>
                <w:p>
                  <w:pPr>
                    <w:jc w:val="center"/>
                    <w:rPr>
                      <w:rFonts w:ascii="Times New Roman" w:hAnsi="Times New Roman"/>
                      <w:b/>
                      <w:bCs/>
                    </w:rPr>
                  </w:pPr>
                  <w:r>
                    <w:rPr>
                      <w:rFonts w:ascii="Times New Roman" w:hAnsi="Times New Roman"/>
                      <w:b/>
                      <w:bCs/>
                    </w:rPr>
                    <w:t>纯水用量（t/a）</w:t>
                  </w:r>
                </w:p>
              </w:tc>
              <w:tc>
                <w:tcPr>
                  <w:tcW w:w="940" w:type="pct"/>
                  <w:vAlign w:val="center"/>
                </w:tcPr>
                <w:p>
                  <w:pPr>
                    <w:jc w:val="center"/>
                    <w:rPr>
                      <w:rFonts w:ascii="Times New Roman" w:hAnsi="Times New Roman"/>
                      <w:b/>
                      <w:bCs/>
                    </w:rPr>
                  </w:pPr>
                  <w:r>
                    <w:rPr>
                      <w:rFonts w:ascii="Times New Roman" w:hAnsi="Times New Roman"/>
                      <w:b/>
                      <w:bCs/>
                    </w:rPr>
                    <w:t>年用水量（t/a）</w:t>
                  </w:r>
                </w:p>
              </w:tc>
              <w:tc>
                <w:tcPr>
                  <w:tcW w:w="932" w:type="pct"/>
                  <w:vAlign w:val="center"/>
                </w:tcPr>
                <w:p>
                  <w:pPr>
                    <w:jc w:val="center"/>
                    <w:rPr>
                      <w:rFonts w:ascii="Times New Roman" w:hAnsi="Times New Roman"/>
                      <w:b/>
                      <w:bCs/>
                    </w:rPr>
                  </w:pPr>
                  <w:r>
                    <w:rPr>
                      <w:rFonts w:ascii="Times New Roman" w:hAnsi="Times New Roman"/>
                      <w:b/>
                      <w:bCs/>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vAlign w:val="center"/>
                </w:tcPr>
                <w:p>
                  <w:pPr>
                    <w:jc w:val="center"/>
                    <w:rPr>
                      <w:rFonts w:ascii="Times New Roman" w:hAnsi="Times New Roman"/>
                    </w:rPr>
                  </w:pPr>
                  <w:r>
                    <w:rPr>
                      <w:rFonts w:ascii="Times New Roman" w:hAnsi="Times New Roman"/>
                    </w:rPr>
                    <w:t>1</w:t>
                  </w:r>
                </w:p>
              </w:tc>
              <w:tc>
                <w:tcPr>
                  <w:tcW w:w="1518" w:type="pct"/>
                  <w:gridSpan w:val="2"/>
                  <w:vAlign w:val="center"/>
                </w:tcPr>
                <w:p>
                  <w:pPr>
                    <w:jc w:val="center"/>
                    <w:rPr>
                      <w:rFonts w:ascii="Times New Roman" w:hAnsi="Times New Roman"/>
                    </w:rPr>
                  </w:pPr>
                  <w:r>
                    <w:rPr>
                      <w:rFonts w:ascii="Times New Roman" w:hAnsi="Times New Roman"/>
                    </w:rPr>
                    <w:t>生活用水（110L/人</w:t>
                  </w:r>
                  <w:r>
                    <w:rPr>
                      <w:rStyle w:val="112"/>
                      <w:rFonts w:ascii="Times New Roman" w:hAnsi="Times New Roman"/>
                      <w:color w:val="auto"/>
                      <w:sz w:val="21"/>
                      <w:szCs w:val="21"/>
                    </w:rPr>
                    <w:t>·</w:t>
                  </w:r>
                  <w:r>
                    <w:rPr>
                      <w:rFonts w:ascii="Times New Roman" w:hAnsi="Times New Roman"/>
                    </w:rPr>
                    <w:t>d）</w:t>
                  </w:r>
                </w:p>
              </w:tc>
              <w:tc>
                <w:tcPr>
                  <w:tcW w:w="636" w:type="pct"/>
                  <w:vAlign w:val="center"/>
                </w:tcPr>
                <w:p>
                  <w:pPr>
                    <w:jc w:val="center"/>
                    <w:rPr>
                      <w:rFonts w:ascii="Times New Roman" w:hAnsi="Times New Roman"/>
                    </w:rPr>
                  </w:pPr>
                  <w:r>
                    <w:rPr>
                      <w:rFonts w:ascii="Times New Roman" w:hAnsi="Times New Roman"/>
                    </w:rPr>
                    <w:t>自来水</w:t>
                  </w:r>
                </w:p>
              </w:tc>
              <w:tc>
                <w:tcPr>
                  <w:tcW w:w="721" w:type="pct"/>
                  <w:vAlign w:val="center"/>
                </w:tcPr>
                <w:p>
                  <w:pPr>
                    <w:jc w:val="center"/>
                    <w:rPr>
                      <w:rFonts w:ascii="Times New Roman" w:hAnsi="Times New Roman"/>
                    </w:rPr>
                  </w:pPr>
                  <w:r>
                    <w:rPr>
                      <w:rFonts w:ascii="Times New Roman" w:hAnsi="Times New Roman"/>
                    </w:rPr>
                    <w:t>/</w:t>
                  </w:r>
                </w:p>
              </w:tc>
              <w:tc>
                <w:tcPr>
                  <w:tcW w:w="940" w:type="pct"/>
                  <w:vAlign w:val="center"/>
                </w:tcPr>
                <w:p>
                  <w:pPr>
                    <w:jc w:val="center"/>
                    <w:rPr>
                      <w:rFonts w:ascii="Times New Roman" w:hAnsi="Times New Roman"/>
                    </w:rPr>
                  </w:pPr>
                  <w:r>
                    <w:rPr>
                      <w:rFonts w:ascii="Times New Roman" w:hAnsi="Times New Roman"/>
                    </w:rPr>
                    <w:t>6600</w:t>
                  </w:r>
                </w:p>
              </w:tc>
              <w:tc>
                <w:tcPr>
                  <w:tcW w:w="932" w:type="pct"/>
                  <w:vAlign w:val="center"/>
                </w:tcPr>
                <w:p>
                  <w:pPr>
                    <w:jc w:val="center"/>
                    <w:rPr>
                      <w:rFonts w:ascii="Times New Roman" w:hAnsi="Times New Roman"/>
                    </w:rPr>
                  </w:pPr>
                  <w:r>
                    <w:rPr>
                      <w:rFonts w:ascii="Times New Roman" w:hAnsi="Times New Roman"/>
                    </w:rPr>
                    <w:t>5280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vAlign w:val="center"/>
                </w:tcPr>
                <w:p>
                  <w:pPr>
                    <w:jc w:val="center"/>
                    <w:rPr>
                      <w:rFonts w:ascii="Times New Roman" w:hAnsi="Times New Roman"/>
                    </w:rPr>
                  </w:pPr>
                  <w:r>
                    <w:rPr>
                      <w:rFonts w:ascii="Times New Roman" w:hAnsi="Times New Roman"/>
                    </w:rPr>
                    <w:t>2</w:t>
                  </w:r>
                </w:p>
              </w:tc>
              <w:tc>
                <w:tcPr>
                  <w:tcW w:w="758" w:type="pct"/>
                  <w:vMerge w:val="restart"/>
                  <w:vAlign w:val="center"/>
                </w:tcPr>
                <w:p>
                  <w:pPr>
                    <w:jc w:val="center"/>
                    <w:rPr>
                      <w:rFonts w:ascii="Times New Roman" w:hAnsi="Times New Roman"/>
                    </w:rPr>
                  </w:pPr>
                  <w:r>
                    <w:rPr>
                      <w:rFonts w:ascii="Times New Roman" w:hAnsi="Times New Roman"/>
                    </w:rPr>
                    <w:t>生产用水</w:t>
                  </w:r>
                </w:p>
              </w:tc>
              <w:tc>
                <w:tcPr>
                  <w:tcW w:w="760" w:type="pct"/>
                  <w:vAlign w:val="center"/>
                </w:tcPr>
                <w:p>
                  <w:pPr>
                    <w:tabs>
                      <w:tab w:val="left" w:pos="426"/>
                    </w:tabs>
                    <w:jc w:val="center"/>
                    <w:rPr>
                      <w:rFonts w:ascii="Times New Roman" w:hAnsi="Times New Roman"/>
                    </w:rPr>
                  </w:pPr>
                  <w:r>
                    <w:rPr>
                      <w:rStyle w:val="112"/>
                      <w:rFonts w:ascii="Times New Roman" w:hAnsi="Times New Roman"/>
                      <w:color w:val="auto"/>
                      <w:sz w:val="21"/>
                      <w:szCs w:val="21"/>
                    </w:rPr>
                    <w:t>CNC精雕（切削液用水）</w:t>
                  </w:r>
                </w:p>
              </w:tc>
              <w:tc>
                <w:tcPr>
                  <w:tcW w:w="636" w:type="pct"/>
                  <w:vMerge w:val="restart"/>
                  <w:vAlign w:val="center"/>
                </w:tcPr>
                <w:p>
                  <w:pPr>
                    <w:jc w:val="center"/>
                    <w:rPr>
                      <w:rFonts w:ascii="Times New Roman" w:hAnsi="Times New Roman"/>
                    </w:rPr>
                  </w:pPr>
                  <w:r>
                    <w:rPr>
                      <w:rFonts w:ascii="Times New Roman" w:hAnsi="Times New Roman"/>
                    </w:rPr>
                    <w:t>纯水</w:t>
                  </w:r>
                </w:p>
              </w:tc>
              <w:tc>
                <w:tcPr>
                  <w:tcW w:w="721" w:type="pct"/>
                  <w:vAlign w:val="center"/>
                </w:tcPr>
                <w:p>
                  <w:pPr>
                    <w:jc w:val="center"/>
                    <w:rPr>
                      <w:rFonts w:ascii="Times New Roman" w:hAnsi="Times New Roman"/>
                    </w:rPr>
                  </w:pPr>
                  <w:r>
                    <w:rPr>
                      <w:rFonts w:ascii="Times New Roman" w:hAnsi="Times New Roman"/>
                    </w:rPr>
                    <w:t>30</w:t>
                  </w:r>
                </w:p>
              </w:tc>
              <w:tc>
                <w:tcPr>
                  <w:tcW w:w="940" w:type="pct"/>
                  <w:vAlign w:val="center"/>
                </w:tcPr>
                <w:p>
                  <w:pPr>
                    <w:jc w:val="center"/>
                    <w:rPr>
                      <w:rFonts w:ascii="Times New Roman" w:hAnsi="Times New Roman"/>
                    </w:rPr>
                  </w:pPr>
                  <w:r>
                    <w:rPr>
                      <w:rFonts w:ascii="Times New Roman" w:hAnsi="Times New Roman"/>
                    </w:rPr>
                    <w:t>/</w:t>
                  </w:r>
                </w:p>
              </w:tc>
              <w:tc>
                <w:tcPr>
                  <w:tcW w:w="932" w:type="pct"/>
                  <w:vAlign w:val="center"/>
                </w:tcPr>
                <w:p>
                  <w:pPr>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vAlign w:val="center"/>
                </w:tcPr>
                <w:p>
                  <w:pPr>
                    <w:jc w:val="center"/>
                    <w:rPr>
                      <w:rFonts w:ascii="Times New Roman" w:hAnsi="Times New Roman"/>
                    </w:rPr>
                  </w:pPr>
                  <w:r>
                    <w:rPr>
                      <w:rFonts w:ascii="Times New Roman" w:hAnsi="Times New Roman"/>
                    </w:rPr>
                    <w:t>3</w:t>
                  </w:r>
                </w:p>
              </w:tc>
              <w:tc>
                <w:tcPr>
                  <w:tcW w:w="758" w:type="pct"/>
                  <w:vMerge w:val="continue"/>
                  <w:vAlign w:val="center"/>
                </w:tcPr>
                <w:p>
                  <w:pPr>
                    <w:jc w:val="center"/>
                    <w:rPr>
                      <w:rFonts w:ascii="Times New Roman" w:hAnsi="Times New Roman"/>
                    </w:rPr>
                  </w:pPr>
                </w:p>
              </w:tc>
              <w:tc>
                <w:tcPr>
                  <w:tcW w:w="760" w:type="pct"/>
                  <w:vAlign w:val="center"/>
                </w:tcPr>
                <w:p>
                  <w:pPr>
                    <w:jc w:val="center"/>
                    <w:rPr>
                      <w:rFonts w:ascii="Times New Roman" w:hAnsi="Times New Roman"/>
                    </w:rPr>
                  </w:pPr>
                  <w:r>
                    <w:rPr>
                      <w:rStyle w:val="112"/>
                      <w:rFonts w:ascii="Times New Roman" w:hAnsi="Times New Roman"/>
                      <w:color w:val="auto"/>
                      <w:sz w:val="21"/>
                      <w:szCs w:val="21"/>
                    </w:rPr>
                    <w:t>清洗用水</w:t>
                  </w:r>
                </w:p>
              </w:tc>
              <w:tc>
                <w:tcPr>
                  <w:tcW w:w="636" w:type="pct"/>
                  <w:vMerge w:val="continue"/>
                  <w:vAlign w:val="center"/>
                </w:tcPr>
                <w:p>
                  <w:pPr>
                    <w:jc w:val="center"/>
                    <w:rPr>
                      <w:rFonts w:ascii="Times New Roman" w:hAnsi="Times New Roman"/>
                    </w:rPr>
                  </w:pPr>
                </w:p>
              </w:tc>
              <w:tc>
                <w:tcPr>
                  <w:tcW w:w="721" w:type="pct"/>
                  <w:vAlign w:val="center"/>
                </w:tcPr>
                <w:p>
                  <w:pPr>
                    <w:jc w:val="center"/>
                    <w:rPr>
                      <w:rFonts w:ascii="Times New Roman" w:hAnsi="Times New Roman"/>
                    </w:rPr>
                  </w:pPr>
                  <w:r>
                    <w:rPr>
                      <w:rFonts w:ascii="Times New Roman" w:hAnsi="Times New Roman"/>
                    </w:rPr>
                    <w:t>8058</w:t>
                  </w:r>
                </w:p>
              </w:tc>
              <w:tc>
                <w:tcPr>
                  <w:tcW w:w="940" w:type="pct"/>
                  <w:vAlign w:val="center"/>
                </w:tcPr>
                <w:p>
                  <w:pPr>
                    <w:jc w:val="center"/>
                    <w:rPr>
                      <w:rFonts w:ascii="Times New Roman" w:hAnsi="Times New Roman"/>
                    </w:rPr>
                  </w:pPr>
                  <w:r>
                    <w:rPr>
                      <w:rFonts w:ascii="Times New Roman" w:hAnsi="Times New Roman"/>
                    </w:rPr>
                    <w:t>/</w:t>
                  </w:r>
                </w:p>
              </w:tc>
              <w:tc>
                <w:tcPr>
                  <w:tcW w:w="932" w:type="pct"/>
                  <w:vAlign w:val="center"/>
                </w:tcPr>
                <w:p>
                  <w:pPr>
                    <w:jc w:val="center"/>
                    <w:rPr>
                      <w:rFonts w:ascii="Times New Roman" w:hAnsi="Times New Roman"/>
                    </w:rPr>
                  </w:pPr>
                  <w:r>
                    <w:rPr>
                      <w:rFonts w:ascii="Times New Roman" w:hAnsi="Times New Roman"/>
                    </w:rPr>
                    <w:t>8058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vAlign w:val="center"/>
                </w:tcPr>
                <w:p>
                  <w:pPr>
                    <w:jc w:val="center"/>
                    <w:rPr>
                      <w:rFonts w:ascii="Times New Roman" w:hAnsi="Times New Roman"/>
                    </w:rPr>
                  </w:pPr>
                  <w:r>
                    <w:rPr>
                      <w:rFonts w:ascii="Times New Roman" w:hAnsi="Times New Roman"/>
                    </w:rPr>
                    <w:t>4</w:t>
                  </w:r>
                </w:p>
              </w:tc>
              <w:tc>
                <w:tcPr>
                  <w:tcW w:w="758" w:type="pct"/>
                  <w:vMerge w:val="continue"/>
                  <w:vAlign w:val="center"/>
                </w:tcPr>
                <w:p>
                  <w:pPr>
                    <w:jc w:val="center"/>
                    <w:rPr>
                      <w:rFonts w:ascii="Times New Roman" w:hAnsi="Times New Roman"/>
                    </w:rPr>
                  </w:pPr>
                </w:p>
              </w:tc>
              <w:tc>
                <w:tcPr>
                  <w:tcW w:w="760" w:type="pct"/>
                  <w:vAlign w:val="center"/>
                </w:tcPr>
                <w:p>
                  <w:pPr>
                    <w:jc w:val="center"/>
                    <w:rPr>
                      <w:rStyle w:val="112"/>
                      <w:rFonts w:ascii="Times New Roman" w:hAnsi="Times New Roman"/>
                      <w:color w:val="auto"/>
                      <w:sz w:val="21"/>
                      <w:szCs w:val="21"/>
                    </w:rPr>
                  </w:pPr>
                  <w:r>
                    <w:rPr>
                      <w:rStyle w:val="112"/>
                      <w:rFonts w:ascii="Times New Roman" w:hAnsi="Times New Roman"/>
                      <w:color w:val="auto"/>
                      <w:sz w:val="21"/>
                      <w:szCs w:val="21"/>
                    </w:rPr>
                    <w:t>扫光平磨用水</w:t>
                  </w:r>
                </w:p>
              </w:tc>
              <w:tc>
                <w:tcPr>
                  <w:tcW w:w="636" w:type="pct"/>
                  <w:vMerge w:val="continue"/>
                  <w:vAlign w:val="center"/>
                </w:tcPr>
                <w:p>
                  <w:pPr>
                    <w:jc w:val="center"/>
                    <w:rPr>
                      <w:rFonts w:ascii="Times New Roman" w:hAnsi="Times New Roman"/>
                    </w:rPr>
                  </w:pPr>
                </w:p>
              </w:tc>
              <w:tc>
                <w:tcPr>
                  <w:tcW w:w="721" w:type="pct"/>
                  <w:vAlign w:val="center"/>
                </w:tcPr>
                <w:p>
                  <w:pPr>
                    <w:jc w:val="center"/>
                    <w:rPr>
                      <w:rFonts w:ascii="Times New Roman" w:hAnsi="Times New Roman"/>
                    </w:rPr>
                  </w:pPr>
                  <w:r>
                    <w:rPr>
                      <w:rFonts w:ascii="Times New Roman" w:hAnsi="Times New Roman"/>
                    </w:rPr>
                    <w:t>12</w:t>
                  </w:r>
                </w:p>
              </w:tc>
              <w:tc>
                <w:tcPr>
                  <w:tcW w:w="940" w:type="pct"/>
                  <w:vAlign w:val="center"/>
                </w:tcPr>
                <w:p>
                  <w:pPr>
                    <w:jc w:val="center"/>
                    <w:rPr>
                      <w:rFonts w:ascii="Times New Roman" w:hAnsi="Times New Roman"/>
                    </w:rPr>
                  </w:pPr>
                  <w:r>
                    <w:rPr>
                      <w:rFonts w:ascii="Times New Roman" w:hAnsi="Times New Roman"/>
                    </w:rPr>
                    <w:t>/</w:t>
                  </w:r>
                </w:p>
              </w:tc>
              <w:tc>
                <w:tcPr>
                  <w:tcW w:w="932" w:type="pct"/>
                  <w:vAlign w:val="center"/>
                </w:tcPr>
                <w:p>
                  <w:pPr>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vAlign w:val="center"/>
                </w:tcPr>
                <w:p>
                  <w:pPr>
                    <w:jc w:val="center"/>
                    <w:rPr>
                      <w:rFonts w:ascii="Times New Roman" w:hAnsi="Times New Roman"/>
                    </w:rPr>
                  </w:pPr>
                  <w:r>
                    <w:rPr>
                      <w:rFonts w:ascii="Times New Roman" w:hAnsi="Times New Roman"/>
                    </w:rPr>
                    <w:t>5</w:t>
                  </w:r>
                </w:p>
              </w:tc>
              <w:tc>
                <w:tcPr>
                  <w:tcW w:w="758" w:type="pct"/>
                  <w:vMerge w:val="continue"/>
                  <w:vAlign w:val="center"/>
                </w:tcPr>
                <w:p>
                  <w:pPr>
                    <w:jc w:val="center"/>
                    <w:rPr>
                      <w:rFonts w:ascii="Times New Roman" w:hAnsi="Times New Roman"/>
                    </w:rPr>
                  </w:pPr>
                </w:p>
              </w:tc>
              <w:tc>
                <w:tcPr>
                  <w:tcW w:w="760" w:type="pct"/>
                  <w:vAlign w:val="center"/>
                </w:tcPr>
                <w:p>
                  <w:pPr>
                    <w:jc w:val="center"/>
                    <w:rPr>
                      <w:rStyle w:val="112"/>
                      <w:rFonts w:ascii="Times New Roman" w:hAnsi="Times New Roman"/>
                      <w:color w:val="auto"/>
                      <w:sz w:val="21"/>
                      <w:szCs w:val="21"/>
                    </w:rPr>
                  </w:pPr>
                  <w:r>
                    <w:rPr>
                      <w:rFonts w:ascii="Times New Roman" w:hAnsi="Times New Roman"/>
                    </w:rPr>
                    <w:t>玻璃浸泡用水</w:t>
                  </w:r>
                </w:p>
              </w:tc>
              <w:tc>
                <w:tcPr>
                  <w:tcW w:w="636" w:type="pct"/>
                  <w:vAlign w:val="center"/>
                </w:tcPr>
                <w:p>
                  <w:pPr>
                    <w:jc w:val="center"/>
                    <w:rPr>
                      <w:rFonts w:ascii="Times New Roman" w:hAnsi="Times New Roman"/>
                    </w:rPr>
                  </w:pPr>
                  <w:r>
                    <w:rPr>
                      <w:rFonts w:ascii="Times New Roman" w:hAnsi="Times New Roman"/>
                    </w:rPr>
                    <w:t>自来水</w:t>
                  </w:r>
                </w:p>
              </w:tc>
              <w:tc>
                <w:tcPr>
                  <w:tcW w:w="721" w:type="pct"/>
                  <w:vAlign w:val="center"/>
                </w:tcPr>
                <w:p>
                  <w:pPr>
                    <w:jc w:val="center"/>
                    <w:rPr>
                      <w:rFonts w:ascii="Times New Roman" w:hAnsi="Times New Roman"/>
                    </w:rPr>
                  </w:pPr>
                  <w:r>
                    <w:rPr>
                      <w:rFonts w:ascii="Times New Roman" w:hAnsi="Times New Roman"/>
                    </w:rPr>
                    <w:t>/</w:t>
                  </w:r>
                </w:p>
              </w:tc>
              <w:tc>
                <w:tcPr>
                  <w:tcW w:w="940" w:type="pct"/>
                  <w:vAlign w:val="center"/>
                </w:tcPr>
                <w:p>
                  <w:pPr>
                    <w:jc w:val="center"/>
                    <w:rPr>
                      <w:rFonts w:ascii="Times New Roman" w:hAnsi="Times New Roman"/>
                    </w:rPr>
                  </w:pPr>
                  <w:r>
                    <w:rPr>
                      <w:rFonts w:ascii="Times New Roman" w:hAnsi="Times New Roman"/>
                    </w:rPr>
                    <w:t>378</w:t>
                  </w:r>
                </w:p>
              </w:tc>
              <w:tc>
                <w:tcPr>
                  <w:tcW w:w="932" w:type="pct"/>
                  <w:vAlign w:val="center"/>
                </w:tcPr>
                <w:p>
                  <w:pPr>
                    <w:jc w:val="center"/>
                    <w:rPr>
                      <w:rFonts w:ascii="Times New Roman" w:hAnsi="Times New Roman"/>
                    </w:rPr>
                  </w:pPr>
                  <w:r>
                    <w:rPr>
                      <w:rFonts w:ascii="Times New Roman" w:hAnsi="Times New Roman"/>
                    </w:rPr>
                    <w:t>340.2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vAlign w:val="center"/>
                </w:tcPr>
                <w:p>
                  <w:pPr>
                    <w:jc w:val="center"/>
                    <w:rPr>
                      <w:rFonts w:ascii="Times New Roman" w:hAnsi="Times New Roman"/>
                    </w:rPr>
                  </w:pPr>
                  <w:r>
                    <w:rPr>
                      <w:rFonts w:ascii="Times New Roman" w:hAnsi="Times New Roman"/>
                    </w:rPr>
                    <w:t>6</w:t>
                  </w:r>
                </w:p>
              </w:tc>
              <w:tc>
                <w:tcPr>
                  <w:tcW w:w="1518" w:type="pct"/>
                  <w:gridSpan w:val="2"/>
                  <w:vAlign w:val="center"/>
                </w:tcPr>
                <w:p>
                  <w:pPr>
                    <w:jc w:val="center"/>
                    <w:rPr>
                      <w:rFonts w:ascii="Times New Roman" w:hAnsi="Times New Roman"/>
                    </w:rPr>
                  </w:pPr>
                  <w:r>
                    <w:rPr>
                      <w:rStyle w:val="112"/>
                      <w:rFonts w:ascii="Times New Roman" w:hAnsi="Times New Roman"/>
                      <w:color w:val="auto"/>
                      <w:sz w:val="21"/>
                      <w:szCs w:val="21"/>
                    </w:rPr>
                    <w:t>纯水制备损耗用水</w:t>
                  </w:r>
                </w:p>
              </w:tc>
              <w:tc>
                <w:tcPr>
                  <w:tcW w:w="636" w:type="pct"/>
                  <w:vAlign w:val="center"/>
                </w:tcPr>
                <w:p>
                  <w:pPr>
                    <w:jc w:val="center"/>
                    <w:rPr>
                      <w:rFonts w:ascii="Times New Roman" w:hAnsi="Times New Roman"/>
                    </w:rPr>
                  </w:pPr>
                  <w:r>
                    <w:rPr>
                      <w:rFonts w:ascii="Times New Roman" w:hAnsi="Times New Roman"/>
                    </w:rPr>
                    <w:t>自来水</w:t>
                  </w:r>
                </w:p>
              </w:tc>
              <w:tc>
                <w:tcPr>
                  <w:tcW w:w="721" w:type="pct"/>
                  <w:vAlign w:val="center"/>
                </w:tcPr>
                <w:p>
                  <w:pPr>
                    <w:jc w:val="center"/>
                    <w:rPr>
                      <w:rFonts w:ascii="Times New Roman" w:hAnsi="Times New Roman"/>
                    </w:rPr>
                  </w:pPr>
                  <w:r>
                    <w:rPr>
                      <w:rFonts w:ascii="Times New Roman" w:hAnsi="Times New Roman"/>
                    </w:rPr>
                    <w:t>/</w:t>
                  </w:r>
                </w:p>
              </w:tc>
              <w:tc>
                <w:tcPr>
                  <w:tcW w:w="940" w:type="pct"/>
                  <w:vAlign w:val="center"/>
                </w:tcPr>
                <w:p>
                  <w:pPr>
                    <w:jc w:val="center"/>
                    <w:rPr>
                      <w:rFonts w:ascii="Times New Roman" w:hAnsi="Times New Roman"/>
                    </w:rPr>
                  </w:pPr>
                  <w:r>
                    <w:rPr>
                      <w:rFonts w:ascii="Times New Roman" w:hAnsi="Times New Roman"/>
                    </w:rPr>
                    <w:t>14741.82</w:t>
                  </w:r>
                </w:p>
              </w:tc>
              <w:tc>
                <w:tcPr>
                  <w:tcW w:w="932" w:type="pct"/>
                  <w:vAlign w:val="center"/>
                </w:tcPr>
                <w:p>
                  <w:pPr>
                    <w:jc w:val="center"/>
                    <w:rPr>
                      <w:rFonts w:ascii="Times New Roman" w:hAnsi="Times New Roman"/>
                    </w:rPr>
                  </w:pPr>
                  <w:r>
                    <w:rPr>
                      <w:rFonts w:ascii="Times New Roman" w:hAnsi="Times New Roman"/>
                    </w:rPr>
                    <w:t>6633.82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vAlign w:val="center"/>
                </w:tcPr>
                <w:p>
                  <w:pPr>
                    <w:jc w:val="center"/>
                    <w:rPr>
                      <w:rFonts w:ascii="Times New Roman" w:hAnsi="Times New Roman"/>
                    </w:rPr>
                  </w:pPr>
                </w:p>
              </w:tc>
              <w:tc>
                <w:tcPr>
                  <w:tcW w:w="1518" w:type="pct"/>
                  <w:gridSpan w:val="2"/>
                  <w:vAlign w:val="center"/>
                </w:tcPr>
                <w:p>
                  <w:pPr>
                    <w:jc w:val="center"/>
                    <w:rPr>
                      <w:rStyle w:val="112"/>
                      <w:rFonts w:ascii="Times New Roman" w:hAnsi="Times New Roman"/>
                      <w:color w:val="auto"/>
                      <w:sz w:val="21"/>
                      <w:szCs w:val="21"/>
                    </w:rPr>
                  </w:pPr>
                </w:p>
              </w:tc>
              <w:tc>
                <w:tcPr>
                  <w:tcW w:w="636" w:type="pct"/>
                  <w:vAlign w:val="top"/>
                </w:tcPr>
                <w:p>
                  <w:pPr>
                    <w:jc w:val="center"/>
                    <w:rPr>
                      <w:rFonts w:ascii="Times New Roman" w:hAnsi="Times New Roman"/>
                    </w:rPr>
                  </w:pPr>
                </w:p>
              </w:tc>
              <w:tc>
                <w:tcPr>
                  <w:tcW w:w="721" w:type="pct"/>
                  <w:vAlign w:val="center"/>
                </w:tcPr>
                <w:p>
                  <w:pPr>
                    <w:jc w:val="center"/>
                    <w:rPr>
                      <w:rFonts w:ascii="Times New Roman" w:hAnsi="Times New Roman"/>
                    </w:rPr>
                  </w:pPr>
                </w:p>
              </w:tc>
              <w:tc>
                <w:tcPr>
                  <w:tcW w:w="940" w:type="pct"/>
                  <w:vAlign w:val="center"/>
                </w:tcPr>
                <w:p>
                  <w:pPr>
                    <w:jc w:val="center"/>
                    <w:rPr>
                      <w:rFonts w:ascii="Times New Roman" w:hAnsi="Times New Roman"/>
                      <w:highlight w:val="green"/>
                    </w:rPr>
                  </w:pPr>
                </w:p>
              </w:tc>
              <w:tc>
                <w:tcPr>
                  <w:tcW w:w="932" w:type="pct"/>
                  <w:vAlign w:val="center"/>
                </w:tcPr>
                <w:p>
                  <w:pPr>
                    <w:jc w:val="center"/>
                    <w:rPr>
                      <w:rFonts w:ascii="Times New Roman" w:hAnsi="Times New Roman"/>
                      <w:highlight w:val="gree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3" w:type="pct"/>
                  <w:vAlign w:val="center"/>
                </w:tcPr>
                <w:p>
                  <w:pPr>
                    <w:jc w:val="center"/>
                    <w:rPr>
                      <w:rFonts w:ascii="Times New Roman" w:hAnsi="Times New Roman"/>
                    </w:rPr>
                  </w:pPr>
                  <w:r>
                    <w:rPr>
                      <w:rFonts w:ascii="Times New Roman" w:hAnsi="Times New Roman"/>
                    </w:rPr>
                    <w:t>7</w:t>
                  </w:r>
                </w:p>
              </w:tc>
              <w:tc>
                <w:tcPr>
                  <w:tcW w:w="1518" w:type="pct"/>
                  <w:gridSpan w:val="2"/>
                  <w:vAlign w:val="center"/>
                </w:tcPr>
                <w:p>
                  <w:pPr>
                    <w:jc w:val="center"/>
                    <w:rPr>
                      <w:rStyle w:val="112"/>
                      <w:rFonts w:ascii="Times New Roman" w:hAnsi="Times New Roman"/>
                      <w:color w:val="auto"/>
                      <w:sz w:val="21"/>
                      <w:szCs w:val="21"/>
                    </w:rPr>
                  </w:pPr>
                  <w:r>
                    <w:rPr>
                      <w:rStyle w:val="112"/>
                      <w:rFonts w:hint="eastAsia" w:ascii="Times New Roman" w:hAnsi="Times New Roman"/>
                      <w:color w:val="auto"/>
                      <w:sz w:val="21"/>
                      <w:szCs w:val="21"/>
                    </w:rPr>
                    <w:t>绿化用水</w:t>
                  </w:r>
                </w:p>
              </w:tc>
              <w:tc>
                <w:tcPr>
                  <w:tcW w:w="636" w:type="pct"/>
                  <w:vAlign w:val="top"/>
                </w:tcPr>
                <w:p>
                  <w:pPr>
                    <w:jc w:val="center"/>
                    <w:rPr>
                      <w:rFonts w:ascii="Times New Roman" w:hAnsi="Times New Roman"/>
                    </w:rPr>
                  </w:pPr>
                  <w:r>
                    <w:rPr>
                      <w:rFonts w:ascii="Times New Roman" w:hAnsi="Times New Roman"/>
                    </w:rPr>
                    <w:t>自来水</w:t>
                  </w:r>
                </w:p>
              </w:tc>
              <w:tc>
                <w:tcPr>
                  <w:tcW w:w="721" w:type="pct"/>
                  <w:vAlign w:val="center"/>
                </w:tcPr>
                <w:p>
                  <w:pPr>
                    <w:jc w:val="center"/>
                    <w:rPr>
                      <w:rFonts w:ascii="Times New Roman" w:hAnsi="Times New Roman"/>
                    </w:rPr>
                  </w:pPr>
                </w:p>
              </w:tc>
              <w:tc>
                <w:tcPr>
                  <w:tcW w:w="940" w:type="pct"/>
                  <w:vAlign w:val="center"/>
                </w:tcPr>
                <w:p>
                  <w:pPr>
                    <w:jc w:val="center"/>
                    <w:rPr>
                      <w:rFonts w:ascii="Times New Roman" w:hAnsi="Times New Roman"/>
                    </w:rPr>
                  </w:pPr>
                  <w:r>
                    <w:rPr>
                      <w:rFonts w:ascii="Times New Roman" w:hAnsi="Times New Roman"/>
                    </w:rPr>
                    <w:t>312</w:t>
                  </w:r>
                </w:p>
              </w:tc>
              <w:tc>
                <w:tcPr>
                  <w:tcW w:w="932" w:type="pct"/>
                  <w:vAlign w:val="center"/>
                </w:tcPr>
                <w:p>
                  <w:pPr>
                    <w:jc w:val="center"/>
                    <w:rPr>
                      <w:rFonts w:ascii="Times New Roman" w:hAnsi="Times New Roman"/>
                    </w:rPr>
                  </w:pPr>
                  <w:r>
                    <w:rPr>
                      <w:rFonts w:hint="eastAsia" w:ascii="Times New Roman" w:hAnsi="Times New Roma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71" w:type="pct"/>
                  <w:gridSpan w:val="3"/>
                  <w:vAlign w:val="center"/>
                </w:tcPr>
                <w:p>
                  <w:pPr>
                    <w:jc w:val="center"/>
                    <w:rPr>
                      <w:rFonts w:ascii="Times New Roman" w:hAnsi="Times New Roman"/>
                    </w:rPr>
                  </w:pPr>
                  <w:r>
                    <w:rPr>
                      <w:rFonts w:ascii="Times New Roman" w:hAnsi="Times New Roman"/>
                    </w:rPr>
                    <w:t>合计</w:t>
                  </w:r>
                </w:p>
              </w:tc>
              <w:tc>
                <w:tcPr>
                  <w:tcW w:w="636" w:type="pct"/>
                  <w:vAlign w:val="center"/>
                </w:tcPr>
                <w:p>
                  <w:pPr>
                    <w:jc w:val="center"/>
                    <w:rPr>
                      <w:rFonts w:ascii="Times New Roman" w:hAnsi="Times New Roman"/>
                    </w:rPr>
                  </w:pPr>
                  <w:r>
                    <w:rPr>
                      <w:rFonts w:ascii="Times New Roman" w:hAnsi="Times New Roman"/>
                    </w:rPr>
                    <w:t>/</w:t>
                  </w:r>
                </w:p>
              </w:tc>
              <w:tc>
                <w:tcPr>
                  <w:tcW w:w="721" w:type="pct"/>
                  <w:vAlign w:val="center"/>
                </w:tcPr>
                <w:p>
                  <w:pPr>
                    <w:jc w:val="center"/>
                    <w:rPr>
                      <w:rFonts w:ascii="Times New Roman" w:hAnsi="Times New Roman"/>
                    </w:rPr>
                  </w:pPr>
                  <w:r>
                    <w:rPr>
                      <w:rFonts w:ascii="Times New Roman" w:hAnsi="Times New Roman"/>
                    </w:rPr>
                    <w:t>8108（来自纯水机制备，不重复计算）</w:t>
                  </w:r>
                </w:p>
              </w:tc>
              <w:tc>
                <w:tcPr>
                  <w:tcW w:w="940" w:type="pct"/>
                  <w:vAlign w:val="center"/>
                </w:tcPr>
                <w:p>
                  <w:pPr>
                    <w:jc w:val="center"/>
                    <w:rPr>
                      <w:rFonts w:ascii="Times New Roman" w:hAnsi="Times New Roman"/>
                    </w:rPr>
                  </w:pPr>
                  <w:r>
                    <w:rPr>
                      <w:rFonts w:ascii="Times New Roman" w:hAnsi="Times New Roman"/>
                    </w:rPr>
                    <w:t>22031.82</w:t>
                  </w:r>
                </w:p>
              </w:tc>
              <w:tc>
                <w:tcPr>
                  <w:tcW w:w="932" w:type="pct"/>
                  <w:vAlign w:val="center"/>
                </w:tcPr>
                <w:p>
                  <w:pPr>
                    <w:jc w:val="center"/>
                    <w:rPr>
                      <w:rFonts w:ascii="Times New Roman" w:hAnsi="Times New Roman"/>
                    </w:rPr>
                  </w:pPr>
                  <w:r>
                    <w:rPr>
                      <w:rFonts w:ascii="Times New Roman" w:hAnsi="Times New Roman"/>
                    </w:rPr>
                    <w:t>20312.02</w:t>
                  </w:r>
                </w:p>
              </w:tc>
            </w:tr>
          </w:tbl>
          <w:p>
            <w:pPr>
              <w:pStyle w:val="96"/>
              <w:spacing w:line="440" w:lineRule="exact"/>
              <w:ind w:firstLine="240" w:firstLineChars="100"/>
              <w:rPr>
                <w:szCs w:val="24"/>
              </w:rPr>
            </w:pPr>
            <w:r>
              <w:rPr>
                <w:szCs w:val="24"/>
              </w:rPr>
              <w:t>本项目水平衡图见下图：</w:t>
            </w:r>
          </w:p>
          <w:p>
            <w:pPr>
              <w:pStyle w:val="96"/>
              <w:spacing w:line="240" w:lineRule="auto"/>
              <w:ind w:firstLine="0" w:firstLineChars="0"/>
              <w:jc w:val="center"/>
            </w:pPr>
            <w:r>
              <w:drawing>
                <wp:inline distT="0" distB="0" distL="0" distR="0">
                  <wp:extent cx="5363210" cy="2814955"/>
                  <wp:effectExtent l="0" t="0" r="889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363210" cy="2814955"/>
                          </a:xfrm>
                          <a:prstGeom prst="rect">
                            <a:avLst/>
                          </a:prstGeom>
                        </pic:spPr>
                      </pic:pic>
                    </a:graphicData>
                  </a:graphic>
                </wp:inline>
              </w:drawing>
            </w:r>
          </w:p>
          <w:p>
            <w:pPr>
              <w:pStyle w:val="96"/>
              <w:ind w:firstLine="0" w:firstLineChars="0"/>
              <w:jc w:val="center"/>
              <w:rPr>
                <w:b/>
                <w:bCs/>
                <w:sz w:val="21"/>
              </w:rPr>
            </w:pPr>
            <w:r>
              <w:rPr>
                <w:b/>
                <w:bCs/>
                <w:sz w:val="21"/>
              </w:rPr>
              <w:t>图2-2项目水平衡图（单位t/a）</w:t>
            </w:r>
          </w:p>
        </w:tc>
      </w:tr>
      <w:bookmarkEnd w:id="31"/>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30" w:hRule="atLeast"/>
          <w:jc w:val="center"/>
        </w:trPr>
        <w:tc>
          <w:tcPr>
            <w:tcW w:w="507" w:type="pct"/>
            <w:vAlign w:val="center"/>
          </w:tcPr>
          <w:p>
            <w:pPr>
              <w:spacing w:line="440" w:lineRule="exact"/>
              <w:jc w:val="center"/>
              <w:rPr>
                <w:rFonts w:ascii="Times New Roman" w:hAnsi="Times New Roman"/>
              </w:rPr>
            </w:pPr>
            <w:r>
              <w:rPr>
                <w:rFonts w:ascii="Times New Roman" w:hAnsi="Times New Roman"/>
                <w:sz w:val="24"/>
                <w:szCs w:val="24"/>
              </w:rPr>
              <w:t>工艺流程和产污环节</w:t>
            </w:r>
          </w:p>
        </w:tc>
        <w:tc>
          <w:tcPr>
            <w:tcW w:w="4493" w:type="pct"/>
            <w:vAlign w:val="center"/>
          </w:tcPr>
          <w:p>
            <w:pPr>
              <w:spacing w:line="440" w:lineRule="exact"/>
              <w:ind w:firstLine="482" w:firstLineChars="200"/>
              <w:rPr>
                <w:rFonts w:ascii="Times New Roman" w:hAnsi="Times New Roman"/>
                <w:b/>
                <w:sz w:val="24"/>
              </w:rPr>
            </w:pPr>
            <w:r>
              <w:rPr>
                <w:rFonts w:ascii="Times New Roman" w:hAnsi="Times New Roman"/>
                <w:b/>
                <w:sz w:val="24"/>
              </w:rPr>
              <w:t>一、生产工艺</w:t>
            </w:r>
          </w:p>
          <w:p>
            <w:pPr>
              <w:spacing w:line="440" w:lineRule="exact"/>
              <w:ind w:firstLine="482"/>
              <w:jc w:val="both"/>
              <w:rPr>
                <w:rFonts w:ascii="Times New Roman" w:hAnsi="Times New Roman"/>
                <w:bCs/>
                <w:sz w:val="24"/>
              </w:rPr>
            </w:pPr>
            <w:r>
              <w:rPr>
                <w:rFonts w:ascii="Times New Roman" w:hAnsi="Times New Roman"/>
                <w:bCs/>
                <w:sz w:val="24"/>
              </w:rPr>
              <w:t>项目产品主要为2D、2.5D和3D车载、触控显示屏玻璃，生产工艺流程及产污节点详见下图：</w:t>
            </w:r>
          </w:p>
          <w:p>
            <w:pPr>
              <w:spacing w:line="440" w:lineRule="exact"/>
              <w:ind w:firstLine="482" w:firstLineChars="200"/>
              <w:rPr>
                <w:rFonts w:ascii="Times New Roman" w:hAnsi="Times New Roman"/>
                <w:b/>
                <w:sz w:val="24"/>
                <w:szCs w:val="24"/>
              </w:rPr>
            </w:pPr>
            <w:r>
              <w:rPr>
                <w:rFonts w:ascii="Times New Roman" w:hAnsi="Times New Roman"/>
                <w:b/>
                <w:sz w:val="24"/>
                <w:szCs w:val="24"/>
              </w:rPr>
              <w:t>1、2D、2.5D玻璃盖板生产工艺流程及产污节点简介</w:t>
            </w:r>
          </w:p>
          <w:p>
            <w:pPr>
              <w:pStyle w:val="2"/>
              <w:rPr>
                <w:rFonts w:ascii="Times New Roman" w:hAnsi="Times New Roman"/>
              </w:rPr>
            </w:pPr>
          </w:p>
          <w:p>
            <w:pPr>
              <w:jc w:val="center"/>
              <w:rPr>
                <w:rFonts w:ascii="Times New Roman" w:hAnsi="Times New Roman"/>
                <w:b/>
                <w:sz w:val="24"/>
                <w:szCs w:val="24"/>
                <w:u w:val="single"/>
              </w:rPr>
            </w:pPr>
            <w:r>
              <w:rPr>
                <w:rFonts w:ascii="Times New Roman" w:hAnsi="Times New Roman"/>
                <w:lang w:val="en-US" w:bidi="ar-SA"/>
              </w:rPr>
              <mc:AlternateContent>
                <mc:Choice Requires="wps">
                  <w:drawing>
                    <wp:anchor distT="0" distB="0" distL="114300" distR="114300" simplePos="0" relativeHeight="251665408" behindDoc="0" locked="0" layoutInCell="1" allowOverlap="1">
                      <wp:simplePos x="0" y="0"/>
                      <wp:positionH relativeFrom="column">
                        <wp:posOffset>21590</wp:posOffset>
                      </wp:positionH>
                      <wp:positionV relativeFrom="paragraph">
                        <wp:posOffset>513080</wp:posOffset>
                      </wp:positionV>
                      <wp:extent cx="450850" cy="226695"/>
                      <wp:effectExtent l="0" t="0" r="6350" b="1905"/>
                      <wp:wrapNone/>
                      <wp:docPr id="31" name="矩形 31"/>
                      <wp:cNvGraphicFramePr/>
                      <a:graphic xmlns:a="http://schemas.openxmlformats.org/drawingml/2006/main">
                        <a:graphicData uri="http://schemas.microsoft.com/office/word/2010/wordprocessingShape">
                          <wps:wsp>
                            <wps:cNvSpPr/>
                            <wps:spPr>
                              <a:xfrm>
                                <a:off x="0" y="0"/>
                                <a:ext cx="450850" cy="22669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222A35" w:themeColor="text2" w:themeShade="80"/>
                                      <w:spacing w:val="-30"/>
                                      <w:sz w:val="15"/>
                                      <w:szCs w:val="15"/>
                                    </w:rPr>
                                  </w:pPr>
                                  <w:r>
                                    <w:rPr>
                                      <w:rFonts w:hint="eastAsia"/>
                                      <w:color w:val="222A35" w:themeColor="text2" w:themeShade="80"/>
                                      <w:spacing w:val="-30"/>
                                      <w:sz w:val="15"/>
                                      <w:szCs w:val="15"/>
                                    </w:rPr>
                                    <w:t>保护液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pt;margin-top:40.4pt;height:17.85pt;width:35.5pt;z-index:251665408;v-text-anchor:middle;mso-width-relative:page;mso-height-relative:page;" fillcolor="#FFFFFF" filled="t" stroked="f" coordsize="21600,21600" o:gfxdata="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0HFyE1gAAAAcBAAAPAAAAAAAAAAEAIAAAACIAAABkcnMvZG93bnJl&#10;di54bWxQSwECFAAUAAAACACHTuJAGES963ECAADXBAAADgAAAAAAAAABACAAAAAlAQAAZHJzL2Uy&#10;b0RvYy54bWxQSwUGAAAAAAYABgBZAQAACAYAAAAA&#10;">
                      <v:fill on="t" focussize="0,0"/>
                      <v:stroke on="f" weight="1pt" miterlimit="8" joinstyle="miter"/>
                      <v:imagedata o:title=""/>
                      <o:lock v:ext="edit" aspectratio="f"/>
                      <v:textbox>
                        <w:txbxContent>
                          <w:p>
                            <w:pPr>
                              <w:jc w:val="center"/>
                              <w:rPr>
                                <w:color w:val="222A35" w:themeColor="text2" w:themeShade="80"/>
                                <w:spacing w:val="-30"/>
                                <w:sz w:val="15"/>
                                <w:szCs w:val="15"/>
                              </w:rPr>
                            </w:pPr>
                            <w:r>
                              <w:rPr>
                                <w:rFonts w:hint="eastAsia"/>
                                <w:color w:val="222A35" w:themeColor="text2" w:themeShade="80"/>
                                <w:spacing w:val="-30"/>
                                <w:sz w:val="15"/>
                                <w:szCs w:val="15"/>
                              </w:rPr>
                              <w:t>保护液</w:t>
                            </w:r>
                          </w:p>
                        </w:txbxContent>
                      </v:textbox>
                    </v:rect>
                  </w:pict>
                </mc:Fallback>
              </mc:AlternateContent>
            </w:r>
            <w:r>
              <w:rPr>
                <w:rFonts w:ascii="Times New Roman" w:hAnsi="Times New Roman"/>
                <w:lang w:val="en-US" w:bidi="ar-SA"/>
              </w:rPr>
              <mc:AlternateContent>
                <mc:Choice Requires="wps">
                  <w:drawing>
                    <wp:anchor distT="0" distB="0" distL="114300" distR="114300" simplePos="0" relativeHeight="251666432" behindDoc="0" locked="0" layoutInCell="1" allowOverlap="1">
                      <wp:simplePos x="0" y="0"/>
                      <wp:positionH relativeFrom="column">
                        <wp:posOffset>499110</wp:posOffset>
                      </wp:positionH>
                      <wp:positionV relativeFrom="paragraph">
                        <wp:posOffset>590550</wp:posOffset>
                      </wp:positionV>
                      <wp:extent cx="576580" cy="349250"/>
                      <wp:effectExtent l="0" t="0" r="0" b="0"/>
                      <wp:wrapNone/>
                      <wp:docPr id="29" name="矩形 29"/>
                      <wp:cNvGraphicFramePr/>
                      <a:graphic xmlns:a="http://schemas.openxmlformats.org/drawingml/2006/main">
                        <a:graphicData uri="http://schemas.microsoft.com/office/word/2010/wordprocessingShape">
                          <wps:wsp>
                            <wps:cNvSpPr/>
                            <wps:spPr>
                              <a:xfrm>
                                <a:off x="0" y="0"/>
                                <a:ext cx="576580" cy="349250"/>
                              </a:xfrm>
                              <a:prstGeom prst="rect">
                                <a:avLst/>
                              </a:prstGeom>
                              <a:solidFill>
                                <a:srgbClr val="E2EA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222A35" w:themeColor="text2" w:themeShade="80"/>
                                      <w:spacing w:val="-20"/>
                                      <w:sz w:val="16"/>
                                      <w:szCs w:val="16"/>
                                    </w:rPr>
                                  </w:pPr>
                                  <w:r>
                                    <w:rPr>
                                      <w:rFonts w:hint="eastAsia"/>
                                      <w:color w:val="222A35" w:themeColor="text2" w:themeShade="80"/>
                                      <w:spacing w:val="-20"/>
                                      <w:sz w:val="16"/>
                                      <w:szCs w:val="16"/>
                                    </w:rPr>
                                    <w:t>喷保护液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3pt;margin-top:46.5pt;height:27.5pt;width:45.4pt;z-index:251666432;v-text-anchor:middle;mso-width-relative:page;mso-height-relative:page;" fillcolor="#E2EAF6" filled="t" stroked="f" coordsize="21600,21600" o:gfxdata="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g4aydUAAAAJAQAADwAAAAAAAAABACAAAAAiAAAAZHJzL2Rv&#10;d25yZXYueG1sUEsBAhQAFAAAAAgAh07iQBSBV212AgAA1wQAAA4AAAAAAAAAAQAgAAAAJAEAAGRy&#10;cy9lMm9Eb2MueG1sUEsFBgAAAAAGAAYAWQEAAAwGAAAAAA==&#10;">
                      <v:fill on="t" focussize="0,0"/>
                      <v:stroke on="f" weight="1pt" miterlimit="8" joinstyle="miter"/>
                      <v:imagedata o:title=""/>
                      <o:lock v:ext="edit" aspectratio="f"/>
                      <v:textbox>
                        <w:txbxContent>
                          <w:p>
                            <w:pPr>
                              <w:jc w:val="center"/>
                              <w:rPr>
                                <w:color w:val="222A35" w:themeColor="text2" w:themeShade="80"/>
                                <w:spacing w:val="-20"/>
                                <w:sz w:val="16"/>
                                <w:szCs w:val="16"/>
                              </w:rPr>
                            </w:pPr>
                            <w:r>
                              <w:rPr>
                                <w:rFonts w:hint="eastAsia"/>
                                <w:color w:val="222A35" w:themeColor="text2" w:themeShade="80"/>
                                <w:spacing w:val="-20"/>
                                <w:sz w:val="16"/>
                                <w:szCs w:val="16"/>
                              </w:rPr>
                              <w:t>喷保护液</w:t>
                            </w:r>
                          </w:p>
                        </w:txbxContent>
                      </v:textbox>
                    </v:rect>
                  </w:pict>
                </mc:Fallback>
              </mc:AlternateContent>
            </w:r>
            <w:r>
              <w:rPr>
                <w:rFonts w:ascii="Times New Roman" w:hAnsi="Times New Roman"/>
              </w:rPr>
              <w:object>
                <v:shape id="_x0000_i1025" o:spt="75" type="#_x0000_t75" style="height:387.65pt;width:406.9pt;" o:ole="t" filled="f" o:preferrelative="t" stroked="f" coordsize="21600,21600">
                  <v:path/>
                  <v:fill on="f" focussize="0,0"/>
                  <v:stroke on="f" joinstyle="miter"/>
                  <v:imagedata r:id="rId15" o:title=""/>
                  <o:lock v:ext="edit" aspectratio="f"/>
                  <w10:wrap type="none"/>
                  <w10:anchorlock/>
                </v:shape>
                <o:OLEObject Type="Embed" ProgID="Visio.Drawing.11" ShapeID="_x0000_i1025" DrawAspect="Content" ObjectID="_1468075725" r:id="rId14">
                  <o:LockedField>false</o:LockedField>
                </o:OLEObject>
              </w:object>
            </w:r>
          </w:p>
          <w:p>
            <w:pPr>
              <w:rPr>
                <w:rFonts w:ascii="Times New Roman" w:hAnsi="Times New Roman"/>
              </w:rPr>
            </w:pPr>
          </w:p>
          <w:p>
            <w:pPr>
              <w:spacing w:line="440" w:lineRule="exact"/>
              <w:jc w:val="center"/>
              <w:rPr>
                <w:rFonts w:ascii="Times New Roman" w:hAnsi="Times New Roman"/>
                <w:b/>
              </w:rPr>
            </w:pPr>
            <w:r>
              <w:rPr>
                <w:rFonts w:ascii="Times New Roman" w:hAnsi="Times New Roman"/>
                <w:b/>
              </w:rPr>
              <w:t>图2-3  2D、2.5D玻璃盖板工艺流程图</w:t>
            </w:r>
          </w:p>
          <w:p>
            <w:pPr>
              <w:spacing w:line="440" w:lineRule="exact"/>
              <w:ind w:firstLine="482" w:firstLineChars="200"/>
              <w:rPr>
                <w:rFonts w:ascii="Times New Roman" w:hAnsi="Times New Roman"/>
                <w:b/>
                <w:sz w:val="24"/>
                <w:szCs w:val="24"/>
              </w:rPr>
            </w:pPr>
            <w:bookmarkStart w:id="42" w:name="_Hlk114476441"/>
            <w:r>
              <w:rPr>
                <w:rFonts w:ascii="Times New Roman" w:hAnsi="Times New Roman"/>
                <w:b/>
                <w:sz w:val="24"/>
                <w:szCs w:val="24"/>
              </w:rPr>
              <w:t>2D、2.5D玻璃盖板生产主要工艺说明及产污环节：</w:t>
            </w:r>
          </w:p>
          <w:p>
            <w:pPr>
              <w:spacing w:line="440" w:lineRule="exact"/>
              <w:ind w:firstLine="482" w:firstLineChars="200"/>
              <w:rPr>
                <w:rFonts w:ascii="Times New Roman" w:hAnsi="Times New Roman"/>
                <w:b/>
                <w:sz w:val="24"/>
                <w:szCs w:val="24"/>
              </w:rPr>
            </w:pPr>
            <w:r>
              <w:rPr>
                <w:rFonts w:ascii="Times New Roman" w:hAnsi="Times New Roman"/>
                <w:b/>
                <w:sz w:val="24"/>
                <w:szCs w:val="24"/>
              </w:rPr>
              <w:t>（1）喷</w:t>
            </w:r>
            <w:r>
              <w:rPr>
                <w:rFonts w:hint="eastAsia" w:ascii="Times New Roman" w:hAnsi="Times New Roman"/>
                <w:b/>
                <w:sz w:val="24"/>
                <w:szCs w:val="24"/>
              </w:rPr>
              <w:t>保护液</w:t>
            </w:r>
            <w:r>
              <w:rPr>
                <w:rFonts w:ascii="Times New Roman" w:hAnsi="Times New Roman"/>
                <w:b/>
                <w:sz w:val="24"/>
                <w:szCs w:val="24"/>
              </w:rPr>
              <w:t>：</w:t>
            </w:r>
            <w:r>
              <w:rPr>
                <w:rFonts w:ascii="Times New Roman" w:hAnsi="Times New Roman"/>
                <w:bCs/>
                <w:sz w:val="24"/>
                <w:szCs w:val="24"/>
              </w:rPr>
              <w:t>本项目在开料前，先在原料玻璃上喷上保护液，以此来保护原料玻璃，方便后续工序的进行</w:t>
            </w:r>
            <w:r>
              <w:rPr>
                <w:rFonts w:ascii="Times New Roman" w:hAnsi="Times New Roman"/>
                <w:sz w:val="24"/>
                <w:szCs w:val="24"/>
              </w:rPr>
              <w:t>，</w:t>
            </w:r>
            <w:r>
              <w:rPr>
                <w:rFonts w:hint="eastAsia" w:ascii="Times New Roman" w:hAnsi="Times New Roman"/>
                <w:sz w:val="24"/>
                <w:szCs w:val="24"/>
              </w:rPr>
              <w:t>设备自带干燥功能，</w:t>
            </w:r>
            <w:r>
              <w:rPr>
                <w:rFonts w:ascii="Times New Roman" w:hAnsi="Times New Roman"/>
                <w:sz w:val="24"/>
                <w:szCs w:val="24"/>
              </w:rPr>
              <w:t>该过程产生有机废气</w:t>
            </w:r>
            <w:r>
              <w:rPr>
                <w:rFonts w:ascii="Times New Roman" w:hAnsi="Times New Roman"/>
                <w:bCs/>
                <w:sz w:val="24"/>
                <w:szCs w:val="24"/>
              </w:rPr>
              <w:t>。</w:t>
            </w:r>
          </w:p>
          <w:p>
            <w:pPr>
              <w:spacing w:line="440" w:lineRule="exact"/>
              <w:ind w:firstLine="482" w:firstLineChars="200"/>
              <w:rPr>
                <w:rFonts w:ascii="Times New Roman" w:hAnsi="Times New Roman"/>
                <w:sz w:val="24"/>
                <w:szCs w:val="24"/>
              </w:rPr>
            </w:pPr>
            <w:r>
              <w:rPr>
                <w:rFonts w:ascii="Times New Roman" w:hAnsi="Times New Roman"/>
                <w:b/>
                <w:sz w:val="24"/>
                <w:szCs w:val="24"/>
              </w:rPr>
              <w:t>（2）开料：</w:t>
            </w:r>
            <w:r>
              <w:rPr>
                <w:rFonts w:ascii="Times New Roman" w:hAnsi="Times New Roman"/>
                <w:sz w:val="24"/>
                <w:szCs w:val="24"/>
              </w:rPr>
              <w:t>利用切割机将原料玻璃原板尺寸白片玻璃切割成比生产最终成品尺寸略大的毛坯，其原理类似利用玻璃刀划玻璃。</w:t>
            </w:r>
          </w:p>
          <w:p>
            <w:pPr>
              <w:spacing w:line="440" w:lineRule="exact"/>
              <w:ind w:firstLine="482" w:firstLineChars="200"/>
              <w:rPr>
                <w:rFonts w:ascii="Times New Roman" w:hAnsi="Times New Roman"/>
                <w:b/>
                <w:sz w:val="24"/>
                <w:szCs w:val="24"/>
              </w:rPr>
            </w:pPr>
            <w:r>
              <w:rPr>
                <w:rFonts w:ascii="Times New Roman" w:hAnsi="Times New Roman"/>
                <w:b/>
                <w:sz w:val="24"/>
                <w:szCs w:val="24"/>
              </w:rPr>
              <w:t>（3）CNC：</w:t>
            </w:r>
            <w:r>
              <w:rPr>
                <w:rFonts w:ascii="Times New Roman" w:hAnsi="Times New Roman"/>
                <w:sz w:val="24"/>
                <w:szCs w:val="24"/>
              </w:rPr>
              <w:t>CNC精雕工艺使玻璃在长宽、倒角、孔、槽达到最终成品尺寸要求的关键工艺，主要工作原理为通过CNC精雕机砂轮槽对开料后的毛坯玻璃进行磨边处理，对余量进行磨削，并通过砂轮槽位进行倒角边处理，通过钻头进行打孔、雕槽并磨边以达到最终成品要求的结果，由于切削液浓度很低，该过程几乎无废气产生，本项目不再分析切削液挥发废气。</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（4）清洗：</w:t>
            </w:r>
            <w:r>
              <w:rPr>
                <w:rFonts w:ascii="Times New Roman" w:hAnsi="Times New Roman"/>
                <w:sz w:val="24"/>
                <w:szCs w:val="24"/>
              </w:rPr>
              <w:t>使用清洗剂去除附着在玻璃表面的脏污及尘点等物，以使玻璃在后续的生产工序达到更好的效果。</w:t>
            </w:r>
          </w:p>
          <w:p>
            <w:pPr>
              <w:spacing w:line="440" w:lineRule="exact"/>
              <w:ind w:firstLine="482" w:firstLineChars="200"/>
              <w:rPr>
                <w:rFonts w:ascii="Times New Roman" w:hAnsi="Times New Roman"/>
                <w:sz w:val="24"/>
                <w:szCs w:val="24"/>
              </w:rPr>
            </w:pPr>
            <w:r>
              <w:rPr>
                <w:rFonts w:ascii="Times New Roman" w:hAnsi="Times New Roman"/>
                <w:b/>
                <w:bCs/>
                <w:sz w:val="24"/>
                <w:szCs w:val="24"/>
              </w:rPr>
              <w:t>（5）扫光平磨：</w:t>
            </w:r>
            <w:r>
              <w:rPr>
                <w:rFonts w:ascii="Times New Roman" w:hAnsi="Times New Roman"/>
                <w:sz w:val="24"/>
                <w:szCs w:val="24"/>
              </w:rPr>
              <w:t>利用抛光粉的磨切作用和玻璃表面与水的水和物来进行玻璃表面的处理，玻璃抛光时，在抛光盘压力和磨料等作用下，产生热振动的非谐性使玻璃表面有流动性而使玻璃表面平坦。</w:t>
            </w:r>
          </w:p>
          <w:p>
            <w:pPr>
              <w:spacing w:line="440" w:lineRule="exact"/>
              <w:ind w:firstLine="482" w:firstLineChars="200"/>
              <w:rPr>
                <w:rFonts w:ascii="Times New Roman" w:hAnsi="Times New Roman"/>
                <w:sz w:val="24"/>
                <w:szCs w:val="24"/>
              </w:rPr>
            </w:pPr>
            <w:r>
              <w:rPr>
                <w:rFonts w:ascii="Times New Roman" w:hAnsi="Times New Roman"/>
                <w:b/>
                <w:bCs/>
                <w:sz w:val="24"/>
                <w:szCs w:val="24"/>
              </w:rPr>
              <w:t>（6）检验：</w:t>
            </w:r>
            <w:r>
              <w:rPr>
                <w:rFonts w:ascii="Times New Roman" w:hAnsi="Times New Roman"/>
                <w:sz w:val="24"/>
                <w:szCs w:val="24"/>
              </w:rPr>
              <w:t>抛光后的玻璃需要进行检验，主要检验加工后的玻璃是否出现大崩边、深划伤、缺角等不良品。检</w:t>
            </w:r>
            <w:r>
              <w:rPr>
                <w:rFonts w:hint="eastAsia" w:ascii="Times New Roman" w:hAnsi="Times New Roman"/>
                <w:sz w:val="24"/>
                <w:szCs w:val="24"/>
              </w:rPr>
              <w:t>查完后需用酒精进行擦拭清洁</w:t>
            </w:r>
            <w:r>
              <w:rPr>
                <w:rFonts w:ascii="Times New Roman" w:hAnsi="Times New Roman"/>
                <w:sz w:val="24"/>
                <w:szCs w:val="24"/>
              </w:rPr>
              <w:t>。</w:t>
            </w:r>
          </w:p>
          <w:p>
            <w:pPr>
              <w:spacing w:line="440" w:lineRule="exact"/>
              <w:ind w:firstLine="482" w:firstLineChars="200"/>
              <w:rPr>
                <w:rFonts w:ascii="Times New Roman" w:hAnsi="Times New Roman"/>
                <w:b/>
                <w:sz w:val="24"/>
                <w:szCs w:val="24"/>
              </w:rPr>
            </w:pPr>
            <w:r>
              <w:rPr>
                <w:rFonts w:ascii="Times New Roman" w:hAnsi="Times New Roman"/>
                <w:b/>
                <w:bCs/>
                <w:sz w:val="24"/>
                <w:szCs w:val="24"/>
              </w:rPr>
              <w:t>（7）钢化：</w:t>
            </w:r>
            <w:r>
              <w:rPr>
                <w:rFonts w:ascii="Times New Roman" w:hAnsi="Times New Roman"/>
                <w:sz w:val="24"/>
                <w:szCs w:val="24"/>
              </w:rPr>
              <w:t>钢化是在钢化炉里进行，能源为电，主要目的是增加玻璃的表面应力，从而使玻璃可以达到耐刮花、耐冲击的效果。主要工作原理为：使玻璃表面的钠离子与硝酸钾中的钾离子进行离子交换，在玻璃表面形成由钾离子挤压而形成的张应力层，从而达到玻璃强化的效果。本工序使用硝酸钾在密闭容器中对产品进行强化，加热温度为400</w:t>
            </w:r>
            <w:r>
              <w:rPr>
                <w:rFonts w:hint="eastAsia" w:cs="宋体"/>
                <w:sz w:val="24"/>
                <w:szCs w:val="24"/>
              </w:rPr>
              <w:t>℃</w:t>
            </w:r>
            <w:r>
              <w:rPr>
                <w:rFonts w:ascii="Times New Roman" w:hAnsi="Times New Roman"/>
                <w:sz w:val="24"/>
                <w:szCs w:val="24"/>
              </w:rPr>
              <w:t>，因此无氮氧化物产生，同时本项目所使用的固体硝酸钾会定期更换，更换后的硝酸钾用密封容器单独收集后，定期委托有资质单位处置。</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（8）清洗：</w:t>
            </w:r>
            <w:r>
              <w:rPr>
                <w:rFonts w:ascii="Times New Roman" w:hAnsi="Times New Roman"/>
                <w:sz w:val="24"/>
                <w:szCs w:val="24"/>
              </w:rPr>
              <w:t>在钢化工序后需要进行清洗，使用清洗剂去除附着在玻璃表面的脏污及尘点等物，以使玻璃在后续的生产工序达到更好的效果。</w:t>
            </w:r>
          </w:p>
          <w:p>
            <w:pPr>
              <w:spacing w:line="440" w:lineRule="exact"/>
              <w:ind w:firstLine="482" w:firstLineChars="200"/>
              <w:rPr>
                <w:rFonts w:ascii="Times New Roman" w:hAnsi="Times New Roman"/>
                <w:sz w:val="24"/>
                <w:szCs w:val="24"/>
              </w:rPr>
            </w:pPr>
            <w:r>
              <w:rPr>
                <w:rFonts w:ascii="Times New Roman" w:hAnsi="Times New Roman"/>
                <w:b/>
                <w:bCs/>
                <w:sz w:val="24"/>
                <w:szCs w:val="24"/>
              </w:rPr>
              <w:t>（9）检验：</w:t>
            </w:r>
            <w:r>
              <w:rPr>
                <w:rFonts w:ascii="Times New Roman" w:hAnsi="Times New Roman"/>
                <w:sz w:val="24"/>
                <w:szCs w:val="24"/>
              </w:rPr>
              <w:t>项目生产的玻璃盖板需要进行检验，主要检验加工后的玻璃是否出现大崩边、深划伤、缺角等不良品。检验工序需要使用到酒精。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（10）印刷：</w:t>
            </w:r>
            <w:r>
              <w:rPr>
                <w:rFonts w:ascii="Times New Roman" w:hAnsi="Times New Roman"/>
                <w:sz w:val="24"/>
                <w:szCs w:val="24"/>
              </w:rPr>
              <w:t>丝印的主要目的是使油墨在玻璃表面呈现不同颜色、不同形状、图案的工艺效果，主要工作原理为通过网板印刷、烘干，使油墨附着在玻璃表面从而实现成品要求的外观效果。本项目使用的网版由客户提供，不在厂区制作。</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（11）清洗：</w:t>
            </w:r>
            <w:r>
              <w:rPr>
                <w:rFonts w:ascii="Times New Roman" w:hAnsi="Times New Roman"/>
                <w:sz w:val="24"/>
                <w:szCs w:val="24"/>
              </w:rPr>
              <w:t>在印刷工序后需要进行清洗，使用清洗剂去除附着在玻璃表面的脏污及尘点等物。</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（12）检验：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（13）包装：</w:t>
            </w:r>
            <w:r>
              <w:rPr>
                <w:rFonts w:ascii="Times New Roman" w:hAnsi="Times New Roman"/>
                <w:sz w:val="24"/>
                <w:szCs w:val="24"/>
              </w:rPr>
              <w:t>项目生产的玻璃盖板经检验合格后进行真空包装。</w:t>
            </w:r>
          </w:p>
          <w:p>
            <w:pPr>
              <w:spacing w:line="440" w:lineRule="exact"/>
              <w:ind w:firstLine="482" w:firstLineChars="200"/>
              <w:rPr>
                <w:rFonts w:ascii="Times New Roman" w:hAnsi="Times New Roman"/>
                <w:b/>
                <w:sz w:val="24"/>
                <w:szCs w:val="24"/>
              </w:rPr>
            </w:pPr>
            <w:bookmarkStart w:id="43" w:name="_Hlk114064043"/>
            <w:r>
              <w:rPr>
                <w:rFonts w:ascii="Times New Roman" w:hAnsi="Times New Roman"/>
                <w:b/>
                <w:sz w:val="24"/>
                <w:szCs w:val="24"/>
              </w:rPr>
              <w:t>2、3D玻璃盖板生产工艺流程及产污节点简介</w:t>
            </w:r>
          </w:p>
          <w:p>
            <w:pPr>
              <w:rPr>
                <w:rFonts w:ascii="Times New Roman" w:hAnsi="Times New Roman"/>
              </w:rPr>
            </w:pPr>
          </w:p>
          <w:p>
            <w:pPr>
              <w:jc w:val="center"/>
              <w:rPr>
                <w:rFonts w:ascii="Times New Roman" w:hAnsi="Times New Roman"/>
              </w:rPr>
            </w:pPr>
            <w:r>
              <w:object>
                <v:shape id="_x0000_i1026" o:spt="75" type="#_x0000_t75" style="height:339.05pt;width:421.95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spacing w:line="440" w:lineRule="exact"/>
              <w:jc w:val="center"/>
              <w:rPr>
                <w:rFonts w:ascii="Times New Roman" w:hAnsi="Times New Roman"/>
                <w:b/>
              </w:rPr>
            </w:pPr>
            <w:r>
              <w:rPr>
                <w:rFonts w:ascii="Times New Roman" w:hAnsi="Times New Roman"/>
                <w:b/>
              </w:rPr>
              <w:t>图2-4  3D玻璃盖板工艺流程图</w:t>
            </w:r>
          </w:p>
          <w:p>
            <w:pPr>
              <w:spacing w:line="440" w:lineRule="exact"/>
              <w:ind w:firstLine="482" w:firstLineChars="200"/>
              <w:rPr>
                <w:rFonts w:ascii="Times New Roman" w:hAnsi="Times New Roman"/>
                <w:b/>
                <w:bCs/>
                <w:sz w:val="24"/>
                <w:szCs w:val="24"/>
              </w:rPr>
            </w:pPr>
            <w:r>
              <w:rPr>
                <w:rFonts w:ascii="Times New Roman" w:hAnsi="Times New Roman"/>
                <w:b/>
                <w:sz w:val="24"/>
                <w:szCs w:val="24"/>
              </w:rPr>
              <w:t>3D玻璃盖板生产主要工艺说明及产污环节：</w:t>
            </w:r>
          </w:p>
          <w:p>
            <w:pPr>
              <w:spacing w:line="440" w:lineRule="exact"/>
              <w:ind w:firstLine="482" w:firstLineChars="200"/>
              <w:rPr>
                <w:rFonts w:ascii="Times New Roman" w:hAnsi="Times New Roman"/>
                <w:sz w:val="24"/>
                <w:szCs w:val="24"/>
              </w:rPr>
            </w:pPr>
            <w:r>
              <w:rPr>
                <w:rFonts w:ascii="Times New Roman" w:hAnsi="Times New Roman"/>
                <w:b/>
                <w:bCs/>
                <w:sz w:val="24"/>
                <w:szCs w:val="24"/>
              </w:rPr>
              <w:t>（1）喷</w:t>
            </w:r>
            <w:r>
              <w:rPr>
                <w:rFonts w:hint="eastAsia" w:ascii="Times New Roman" w:hAnsi="Times New Roman"/>
                <w:b/>
                <w:bCs/>
                <w:sz w:val="24"/>
                <w:szCs w:val="24"/>
              </w:rPr>
              <w:t>保护液</w:t>
            </w:r>
            <w:r>
              <w:rPr>
                <w:rFonts w:ascii="Times New Roman" w:hAnsi="Times New Roman"/>
                <w:b/>
                <w:bCs/>
                <w:sz w:val="24"/>
                <w:szCs w:val="24"/>
              </w:rPr>
              <w:t>：</w:t>
            </w:r>
            <w:r>
              <w:rPr>
                <w:rFonts w:ascii="Times New Roman" w:hAnsi="Times New Roman"/>
                <w:sz w:val="24"/>
                <w:szCs w:val="24"/>
              </w:rPr>
              <w:t>本项目在开料前，先在原料玻璃上喷上保护液，以此来保护原料玻璃，方便后续工序的进行，该过程产生有机废气</w:t>
            </w:r>
            <w:r>
              <w:rPr>
                <w:rFonts w:hint="eastAsia" w:ascii="Times New Roman" w:hAnsi="Times New Roman"/>
                <w:sz w:val="24"/>
                <w:szCs w:val="24"/>
              </w:rPr>
              <w:t>，设备自带干燥功能，</w:t>
            </w:r>
            <w:r>
              <w:rPr>
                <w:rFonts w:ascii="Times New Roman" w:hAnsi="Times New Roman"/>
                <w:sz w:val="24"/>
                <w:szCs w:val="24"/>
              </w:rPr>
              <w:t>该过程产生有机废气。</w:t>
            </w:r>
          </w:p>
          <w:p>
            <w:pPr>
              <w:spacing w:line="440" w:lineRule="exact"/>
              <w:ind w:firstLine="482" w:firstLineChars="200"/>
              <w:rPr>
                <w:rFonts w:ascii="Times New Roman" w:hAnsi="Times New Roman"/>
                <w:sz w:val="24"/>
                <w:szCs w:val="24"/>
              </w:rPr>
            </w:pPr>
            <w:r>
              <w:rPr>
                <w:rFonts w:ascii="Times New Roman" w:hAnsi="Times New Roman"/>
                <w:b/>
                <w:bCs/>
                <w:sz w:val="24"/>
                <w:szCs w:val="24"/>
              </w:rPr>
              <w:t>（2）开料：</w:t>
            </w:r>
            <w:r>
              <w:rPr>
                <w:rFonts w:ascii="Times New Roman" w:hAnsi="Times New Roman"/>
                <w:sz w:val="24"/>
                <w:szCs w:val="24"/>
              </w:rPr>
              <w:t>利用切割机将原料玻璃原板尺寸白片玻璃切割成比生产最终成品尺寸略大的毛坯，其原理类似利用玻璃刀划玻璃。</w:t>
            </w:r>
          </w:p>
          <w:p>
            <w:pPr>
              <w:spacing w:line="440" w:lineRule="exact"/>
              <w:ind w:firstLine="482" w:firstLineChars="200"/>
              <w:rPr>
                <w:rFonts w:ascii="Times New Roman" w:hAnsi="Times New Roman"/>
                <w:sz w:val="24"/>
                <w:szCs w:val="24"/>
              </w:rPr>
            </w:pPr>
            <w:r>
              <w:rPr>
                <w:rFonts w:ascii="Times New Roman" w:hAnsi="Times New Roman"/>
                <w:b/>
                <w:bCs/>
                <w:sz w:val="24"/>
                <w:szCs w:val="24"/>
              </w:rPr>
              <w:t>（3）CNC：</w:t>
            </w:r>
            <w:r>
              <w:rPr>
                <w:rFonts w:ascii="Times New Roman" w:hAnsi="Times New Roman"/>
                <w:sz w:val="24"/>
                <w:szCs w:val="24"/>
              </w:rPr>
              <w:t>CNC精雕工艺使玻璃在长宽、倒角、孔、槽达到最终成品尺寸要求的关键工艺，主要工作原理为通过CNC精雕机砂轮槽对开料后的毛坯玻璃进行磨边处理，对余量进行磨削，并通过砂轮槽位进行倒角边处理，通过钻头进行打孔、雕槽并磨边以达到最终成品要求的结果，由于切削液浓度很低，该过程几乎无废气产生，本项目不再分析切削液挥发废气。</w:t>
            </w:r>
          </w:p>
          <w:p>
            <w:pPr>
              <w:spacing w:line="440" w:lineRule="exact"/>
              <w:ind w:firstLine="482" w:firstLineChars="200"/>
              <w:rPr>
                <w:rFonts w:ascii="Times New Roman" w:hAnsi="Times New Roman"/>
                <w:sz w:val="24"/>
                <w:szCs w:val="24"/>
              </w:rPr>
            </w:pPr>
            <w:r>
              <w:rPr>
                <w:rFonts w:ascii="Times New Roman" w:hAnsi="Times New Roman"/>
                <w:b/>
                <w:bCs/>
                <w:sz w:val="24"/>
                <w:szCs w:val="24"/>
              </w:rPr>
              <w:t>（4）清洗：</w:t>
            </w:r>
            <w:r>
              <w:rPr>
                <w:rFonts w:ascii="Times New Roman" w:hAnsi="Times New Roman"/>
                <w:sz w:val="24"/>
                <w:szCs w:val="24"/>
              </w:rPr>
              <w:t>使用清洗剂去除附着在玻璃表面的脏污及尘点等物，以使玻璃在后续的生产工序达到更好的效果。</w:t>
            </w:r>
          </w:p>
          <w:p>
            <w:pPr>
              <w:spacing w:line="440" w:lineRule="exact"/>
              <w:ind w:firstLine="482" w:firstLineChars="200"/>
              <w:rPr>
                <w:rFonts w:ascii="Times New Roman" w:hAnsi="Times New Roman"/>
                <w:sz w:val="24"/>
                <w:szCs w:val="24"/>
              </w:rPr>
            </w:pPr>
            <w:r>
              <w:rPr>
                <w:rFonts w:ascii="Times New Roman" w:hAnsi="Times New Roman"/>
                <w:b/>
                <w:bCs/>
                <w:sz w:val="24"/>
                <w:szCs w:val="24"/>
              </w:rPr>
              <w:t>（5）扫光平磨：</w:t>
            </w:r>
            <w:r>
              <w:rPr>
                <w:rFonts w:ascii="Times New Roman" w:hAnsi="Times New Roman"/>
                <w:sz w:val="24"/>
                <w:szCs w:val="24"/>
              </w:rPr>
              <w:t>利用抛光粉的磨切作用和玻璃表面与水的水和物来进行玻璃表面的处理，玻璃抛光时，在抛光盘压力和磨料等作用下，产生热振动的非谐性使玻璃表面有流动性而使玻璃表面平坦。</w:t>
            </w:r>
          </w:p>
          <w:p>
            <w:pPr>
              <w:spacing w:line="440" w:lineRule="exact"/>
              <w:ind w:firstLine="482" w:firstLineChars="200"/>
              <w:rPr>
                <w:rFonts w:ascii="Times New Roman" w:hAnsi="Times New Roman"/>
                <w:sz w:val="24"/>
                <w:szCs w:val="24"/>
              </w:rPr>
            </w:pPr>
            <w:r>
              <w:rPr>
                <w:rFonts w:ascii="Times New Roman" w:hAnsi="Times New Roman"/>
                <w:b/>
                <w:bCs/>
                <w:sz w:val="24"/>
                <w:szCs w:val="24"/>
              </w:rPr>
              <w:t>（6）检验</w:t>
            </w:r>
            <w:r>
              <w:rPr>
                <w:rFonts w:ascii="Times New Roman" w:hAnsi="Times New Roman"/>
                <w:sz w:val="24"/>
                <w:szCs w:val="24"/>
              </w:rPr>
              <w:t>：抛光后的玻璃需要进行检验，主要检验加工后的玻璃是否出现大崩边、深划伤、缺角等不良品。检验工序需要使用到酒精。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（7）热弯：</w:t>
            </w:r>
            <w:r>
              <w:rPr>
                <w:rFonts w:ascii="Times New Roman" w:hAnsi="Times New Roman"/>
                <w:sz w:val="24"/>
                <w:szCs w:val="24"/>
              </w:rPr>
              <w:t>检验好的玻璃需要按照客户的需求利用电加热到一定的温度，使玻璃软化达到弯曲的效果。热弯时需要用到脱模剂、滑石粉。</w:t>
            </w:r>
          </w:p>
          <w:p>
            <w:pPr>
              <w:spacing w:line="440" w:lineRule="exact"/>
              <w:ind w:firstLine="482" w:firstLineChars="200"/>
              <w:rPr>
                <w:rFonts w:ascii="Times New Roman" w:hAnsi="Times New Roman"/>
                <w:sz w:val="24"/>
                <w:szCs w:val="24"/>
              </w:rPr>
            </w:pPr>
            <w:r>
              <w:rPr>
                <w:rFonts w:ascii="Times New Roman" w:hAnsi="Times New Roman"/>
                <w:b/>
                <w:bCs/>
                <w:sz w:val="24"/>
                <w:szCs w:val="24"/>
              </w:rPr>
              <w:t>（8）钢化：</w:t>
            </w:r>
            <w:r>
              <w:rPr>
                <w:rFonts w:ascii="Times New Roman" w:hAnsi="Times New Roman"/>
                <w:sz w:val="24"/>
                <w:szCs w:val="24"/>
              </w:rPr>
              <w:t>钢化是在钢化炉里进行，能源为电，主要目的是增加玻璃的表面应力，从而使玻璃可以达到耐刮花、耐冲击的效果。主要工作原理为：使玻璃表面的钠离子与硝酸钾中的钾离子进行离子交换，在玻璃表面形成由钾离子挤压而形成的张应力层，从而达到玻璃强化的效果。本工序使用硝酸钾在密闭容器中对产品进行强化，加热温度为400</w:t>
            </w:r>
            <w:r>
              <w:rPr>
                <w:rFonts w:hint="eastAsia" w:cs="宋体"/>
                <w:sz w:val="24"/>
                <w:szCs w:val="24"/>
              </w:rPr>
              <w:t>℃</w:t>
            </w:r>
            <w:r>
              <w:rPr>
                <w:rFonts w:ascii="Times New Roman" w:hAnsi="Times New Roman"/>
                <w:sz w:val="24"/>
                <w:szCs w:val="24"/>
              </w:rPr>
              <w:t>，因此无氮氧化物产生，同时本项目所使用的固体硝酸钾会定期更换，更换后的硝酸钾用密封容器单独收集后，定期委托有资质单位处置。</w:t>
            </w:r>
          </w:p>
          <w:p>
            <w:pPr>
              <w:spacing w:line="440" w:lineRule="exact"/>
              <w:ind w:firstLine="482" w:firstLineChars="200"/>
              <w:rPr>
                <w:rFonts w:ascii="Times New Roman" w:hAnsi="Times New Roman"/>
                <w:sz w:val="24"/>
                <w:szCs w:val="24"/>
              </w:rPr>
            </w:pPr>
            <w:r>
              <w:rPr>
                <w:rFonts w:ascii="Times New Roman" w:hAnsi="Times New Roman"/>
                <w:b/>
                <w:bCs/>
                <w:sz w:val="24"/>
                <w:szCs w:val="24"/>
              </w:rPr>
              <w:t>（9）清洗：</w:t>
            </w:r>
            <w:r>
              <w:rPr>
                <w:rFonts w:ascii="Times New Roman" w:hAnsi="Times New Roman"/>
                <w:sz w:val="24"/>
                <w:szCs w:val="24"/>
              </w:rPr>
              <w:t>在钢化工序后需要进行清洗，使用清洗剂去除附着在玻璃表面的脏污及尘点等物，以使玻璃在后续的生产工序达到更好的效果。</w:t>
            </w:r>
          </w:p>
          <w:p>
            <w:pPr>
              <w:spacing w:line="440" w:lineRule="exact"/>
              <w:ind w:firstLine="482" w:firstLineChars="200"/>
              <w:rPr>
                <w:rFonts w:ascii="Times New Roman" w:hAnsi="Times New Roman"/>
                <w:sz w:val="24"/>
                <w:szCs w:val="24"/>
              </w:rPr>
            </w:pPr>
            <w:r>
              <w:rPr>
                <w:rFonts w:ascii="Times New Roman" w:hAnsi="Times New Roman"/>
                <w:b/>
                <w:bCs/>
                <w:sz w:val="24"/>
                <w:szCs w:val="24"/>
              </w:rPr>
              <w:t>（10）检验：</w:t>
            </w:r>
            <w:r>
              <w:rPr>
                <w:rFonts w:ascii="Times New Roman" w:hAnsi="Times New Roman"/>
                <w:sz w:val="24"/>
                <w:szCs w:val="24"/>
              </w:rPr>
              <w:t>项目生产的玻璃盖板需要进行检验，主要检验加工后的玻璃是否出现大崩边、深划伤、缺角等不良品。检验工序需要使用到酒精。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（11）等离子处理：</w:t>
            </w:r>
            <w:r>
              <w:rPr>
                <w:rFonts w:ascii="Times New Roman" w:hAnsi="Times New Roman"/>
                <w:sz w:val="24"/>
                <w:szCs w:val="24"/>
              </w:rPr>
              <w:t>产品经过等离子束的物理轰击而被清洗。</w:t>
            </w:r>
          </w:p>
          <w:p>
            <w:pPr>
              <w:spacing w:line="440" w:lineRule="exact"/>
              <w:ind w:firstLine="482" w:firstLineChars="200"/>
              <w:rPr>
                <w:rFonts w:ascii="Times New Roman" w:hAnsi="Times New Roman"/>
                <w:sz w:val="24"/>
                <w:szCs w:val="24"/>
              </w:rPr>
            </w:pPr>
            <w:r>
              <w:rPr>
                <w:rFonts w:hint="eastAsia" w:ascii="Times New Roman" w:hAnsi="Times New Roman"/>
                <w:b/>
                <w:bCs/>
                <w:sz w:val="24"/>
                <w:szCs w:val="24"/>
              </w:rPr>
              <w:t>（</w:t>
            </w:r>
            <w:r>
              <w:rPr>
                <w:rFonts w:ascii="Times New Roman" w:hAnsi="Times New Roman"/>
                <w:b/>
                <w:bCs/>
                <w:sz w:val="24"/>
                <w:szCs w:val="24"/>
              </w:rPr>
              <w:t>12）喷涂：</w:t>
            </w:r>
            <w:r>
              <w:rPr>
                <w:rFonts w:ascii="Times New Roman" w:hAnsi="Times New Roman"/>
                <w:sz w:val="24"/>
                <w:szCs w:val="24"/>
              </w:rPr>
              <w:t>喷涂的主要目的是使UV油墨均匀的附在玻璃的表面。本项目使用的网版由客户提供，不在厂区制作。</w:t>
            </w:r>
          </w:p>
          <w:p>
            <w:pPr>
              <w:spacing w:line="440" w:lineRule="exact"/>
              <w:ind w:firstLine="482" w:firstLineChars="200"/>
              <w:jc w:val="both"/>
              <w:rPr>
                <w:rFonts w:ascii="Times New Roman" w:hAnsi="Times New Roman"/>
                <w:sz w:val="24"/>
                <w:szCs w:val="24"/>
              </w:rPr>
            </w:pPr>
            <w:r>
              <w:rPr>
                <w:rFonts w:hint="eastAsia" w:ascii="Times New Roman" w:hAnsi="Times New Roman"/>
                <w:b/>
                <w:bCs/>
                <w:sz w:val="24"/>
                <w:szCs w:val="24"/>
              </w:rPr>
              <w:t>（</w:t>
            </w:r>
            <w:r>
              <w:rPr>
                <w:rFonts w:ascii="Times New Roman" w:hAnsi="Times New Roman"/>
                <w:b/>
                <w:bCs/>
                <w:sz w:val="24"/>
                <w:szCs w:val="24"/>
              </w:rPr>
              <w:t>13）固烤：</w:t>
            </w:r>
            <w:r>
              <w:rPr>
                <w:rFonts w:ascii="Times New Roman" w:hAnsi="Times New Roman"/>
                <w:sz w:val="24"/>
                <w:szCs w:val="24"/>
              </w:rPr>
              <w:t>使用特定的烘干机在固定的温度下使玻璃表面的UV油墨完全烘干。</w:t>
            </w:r>
            <w:bookmarkStart w:id="44" w:name="_Hlk114476818"/>
          </w:p>
          <w:bookmarkEnd w:id="44"/>
          <w:p>
            <w:pPr>
              <w:spacing w:line="440" w:lineRule="exact"/>
              <w:ind w:firstLine="482" w:firstLineChars="200"/>
              <w:rPr>
                <w:rFonts w:ascii="Times New Roman" w:hAnsi="Times New Roman"/>
                <w:sz w:val="24"/>
                <w:szCs w:val="24"/>
              </w:rPr>
            </w:pPr>
            <w:r>
              <w:rPr>
                <w:rFonts w:ascii="Times New Roman" w:hAnsi="Times New Roman"/>
                <w:b/>
                <w:bCs/>
                <w:sz w:val="24"/>
                <w:szCs w:val="24"/>
              </w:rPr>
              <w:t>（14）检验：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（15）等离子处理：</w:t>
            </w:r>
            <w:r>
              <w:rPr>
                <w:rFonts w:ascii="Times New Roman" w:hAnsi="Times New Roman"/>
                <w:sz w:val="24"/>
                <w:szCs w:val="24"/>
              </w:rPr>
              <w:t>产品经过等离子束的物理轰击而被清洗。</w:t>
            </w:r>
          </w:p>
          <w:p>
            <w:pPr>
              <w:spacing w:line="440" w:lineRule="exact"/>
              <w:ind w:firstLine="482" w:firstLineChars="200"/>
              <w:rPr>
                <w:rFonts w:ascii="Times New Roman" w:hAnsi="Times New Roman"/>
                <w:sz w:val="24"/>
                <w:szCs w:val="24"/>
              </w:rPr>
            </w:pPr>
            <w:r>
              <w:rPr>
                <w:rFonts w:ascii="Times New Roman" w:hAnsi="Times New Roman"/>
                <w:b/>
                <w:bCs/>
                <w:sz w:val="24"/>
                <w:szCs w:val="24"/>
              </w:rPr>
              <w:t>（16）PVD镀AR膜：</w:t>
            </w:r>
            <w:r>
              <w:rPr>
                <w:rFonts w:ascii="Times New Roman" w:hAnsi="Times New Roman"/>
                <w:sz w:val="24"/>
                <w:szCs w:val="24"/>
              </w:rPr>
              <w:t>在封闭的真空环境下下，采用物理的方法将材料汽化成气态分子，使金属、金属合金等蒸发，蒸发的方法常用电阻加热</w:t>
            </w:r>
            <w:r>
              <w:rPr>
                <w:rFonts w:hint="eastAsia" w:ascii="Times New Roman" w:hAnsi="Times New Roman"/>
                <w:sz w:val="24"/>
                <w:szCs w:val="24"/>
              </w:rPr>
              <w:t>，</w:t>
            </w:r>
            <w:r>
              <w:rPr>
                <w:rFonts w:ascii="Times New Roman" w:hAnsi="Times New Roman"/>
                <w:sz w:val="24"/>
                <w:szCs w:val="24"/>
              </w:rPr>
              <w:t>电子</w:t>
            </w:r>
            <w:r>
              <w:rPr>
                <w:rFonts w:hint="eastAsia" w:ascii="Times New Roman" w:hAnsi="Times New Roman"/>
                <w:sz w:val="24"/>
                <w:szCs w:val="24"/>
              </w:rPr>
              <w:t>束轰击镀料</w:t>
            </w:r>
            <w:r>
              <w:rPr>
                <w:rFonts w:ascii="Times New Roman" w:hAnsi="Times New Roman"/>
                <w:sz w:val="24"/>
                <w:szCs w:val="24"/>
              </w:rPr>
              <w:t>，金属、金属合金蒸发成气相，然后沉积在基体表面，</w:t>
            </w:r>
            <w:r>
              <w:rPr>
                <w:rFonts w:hint="eastAsia" w:ascii="Times New Roman" w:hAnsi="Times New Roman"/>
                <w:sz w:val="24"/>
                <w:szCs w:val="24"/>
              </w:rPr>
              <w:t>降温后无气体产生，该过程全程密闭。</w:t>
            </w:r>
          </w:p>
          <w:p>
            <w:pPr>
              <w:spacing w:line="440" w:lineRule="exact"/>
              <w:ind w:firstLine="482" w:firstLineChars="200"/>
              <w:rPr>
                <w:rFonts w:ascii="Times New Roman" w:hAnsi="Times New Roman"/>
                <w:sz w:val="24"/>
                <w:szCs w:val="24"/>
              </w:rPr>
            </w:pPr>
            <w:r>
              <w:rPr>
                <w:rFonts w:ascii="Times New Roman" w:hAnsi="Times New Roman"/>
                <w:b/>
                <w:bCs/>
                <w:sz w:val="24"/>
                <w:szCs w:val="24"/>
              </w:rPr>
              <w:t>（17）检验：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（18）喷AG：</w:t>
            </w:r>
            <w:r>
              <w:rPr>
                <w:rFonts w:ascii="Times New Roman" w:hAnsi="Times New Roman"/>
                <w:sz w:val="24"/>
                <w:szCs w:val="24"/>
              </w:rPr>
              <w:t>利用自动化喷涂设备，在封闭的空间里面把二氧化硅均匀的喷涂在产品上面。AG药水SiO</w:t>
            </w:r>
            <w:r>
              <w:rPr>
                <w:rFonts w:ascii="Times New Roman" w:hAnsi="Times New Roman"/>
                <w:sz w:val="24"/>
                <w:szCs w:val="24"/>
                <w:vertAlign w:val="subscript"/>
              </w:rPr>
              <w:t>2</w:t>
            </w:r>
            <w:r>
              <w:rPr>
                <w:rFonts w:ascii="Times New Roman" w:hAnsi="Times New Roman"/>
                <w:sz w:val="24"/>
                <w:szCs w:val="24"/>
              </w:rPr>
              <w:t>，该过程几乎无废气产生。</w:t>
            </w:r>
          </w:p>
          <w:p>
            <w:pPr>
              <w:spacing w:line="440" w:lineRule="exact"/>
              <w:ind w:firstLine="482" w:firstLineChars="200"/>
              <w:rPr>
                <w:rFonts w:ascii="Times New Roman" w:hAnsi="Times New Roman"/>
                <w:sz w:val="24"/>
                <w:szCs w:val="24"/>
              </w:rPr>
            </w:pPr>
            <w:r>
              <w:rPr>
                <w:rFonts w:ascii="Times New Roman" w:hAnsi="Times New Roman"/>
                <w:b/>
                <w:bCs/>
                <w:sz w:val="24"/>
                <w:szCs w:val="24"/>
              </w:rPr>
              <w:t>（19）烘烤：</w:t>
            </w:r>
            <w:r>
              <w:rPr>
                <w:rFonts w:ascii="Times New Roman" w:hAnsi="Times New Roman"/>
                <w:sz w:val="24"/>
                <w:szCs w:val="24"/>
              </w:rPr>
              <w:t>使用特定的烤箱在固定的温度下使玻璃表面的药水完全烘干。</w:t>
            </w:r>
          </w:p>
          <w:p>
            <w:pPr>
              <w:spacing w:line="440" w:lineRule="exact"/>
              <w:ind w:firstLine="482" w:firstLineChars="200"/>
              <w:rPr>
                <w:rFonts w:ascii="Times New Roman" w:hAnsi="Times New Roman"/>
                <w:sz w:val="24"/>
                <w:szCs w:val="24"/>
              </w:rPr>
            </w:pPr>
            <w:r>
              <w:rPr>
                <w:rFonts w:ascii="Times New Roman" w:hAnsi="Times New Roman"/>
                <w:b/>
                <w:bCs/>
                <w:sz w:val="24"/>
                <w:szCs w:val="24"/>
              </w:rPr>
              <w:t>（20）检验：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widowControl/>
              <w:spacing w:line="440" w:lineRule="exact"/>
              <w:ind w:firstLine="482" w:firstLineChars="200"/>
              <w:rPr>
                <w:rFonts w:ascii="Times New Roman" w:hAnsi="Times New Roman"/>
                <w:sz w:val="24"/>
                <w:szCs w:val="24"/>
                <w:lang w:bidi="ar"/>
              </w:rPr>
            </w:pPr>
            <w:r>
              <w:rPr>
                <w:rFonts w:ascii="Times New Roman" w:hAnsi="Times New Roman"/>
                <w:b/>
                <w:bCs/>
                <w:sz w:val="24"/>
                <w:szCs w:val="24"/>
              </w:rPr>
              <w:t>（21）喷AF</w:t>
            </w:r>
            <w:r>
              <w:rPr>
                <w:rFonts w:hint="eastAsia" w:ascii="Times New Roman" w:hAnsi="Times New Roman"/>
                <w:b/>
                <w:bCs/>
                <w:sz w:val="24"/>
                <w:szCs w:val="24"/>
              </w:rPr>
              <w:t>、烘烤</w:t>
            </w:r>
            <w:r>
              <w:rPr>
                <w:rFonts w:ascii="Times New Roman" w:hAnsi="Times New Roman"/>
                <w:b/>
                <w:bCs/>
                <w:sz w:val="24"/>
                <w:szCs w:val="24"/>
              </w:rPr>
              <w:t>：</w:t>
            </w:r>
            <w:r>
              <w:rPr>
                <w:rFonts w:ascii="Times New Roman" w:hAnsi="Times New Roman"/>
                <w:sz w:val="24"/>
                <w:szCs w:val="24"/>
              </w:rPr>
              <w:t>利用自动化喷涂设备，在密闭的空间里面把二氧化硅均匀的喷涂在产品上面。AF药水全氟聚醚PFPE，烘烤</w:t>
            </w:r>
            <w:r>
              <w:rPr>
                <w:rFonts w:hint="eastAsia" w:ascii="Times New Roman" w:hAnsi="Times New Roman"/>
                <w:sz w:val="24"/>
                <w:szCs w:val="24"/>
              </w:rPr>
              <w:t>是指</w:t>
            </w:r>
            <w:r>
              <w:rPr>
                <w:rFonts w:ascii="Times New Roman" w:hAnsi="Times New Roman"/>
                <w:sz w:val="24"/>
                <w:szCs w:val="24"/>
              </w:rPr>
              <w:t>使用特定的烤箱在固定的温度下使玻璃表面的药水完全烘干</w:t>
            </w:r>
            <w:r>
              <w:rPr>
                <w:rFonts w:hint="eastAsia" w:ascii="Times New Roman" w:hAnsi="Times New Roman"/>
                <w:sz w:val="24"/>
                <w:szCs w:val="24"/>
              </w:rPr>
              <w:t>，</w:t>
            </w:r>
            <w:r>
              <w:rPr>
                <w:rFonts w:ascii="Times New Roman" w:hAnsi="Times New Roman"/>
                <w:sz w:val="24"/>
                <w:szCs w:val="24"/>
              </w:rPr>
              <w:t>该过程产生有机废气，有组织收集处理达标后排放。</w:t>
            </w:r>
          </w:p>
          <w:p>
            <w:pPr>
              <w:spacing w:line="440" w:lineRule="exact"/>
              <w:ind w:firstLine="482" w:firstLineChars="200"/>
              <w:rPr>
                <w:rFonts w:ascii="Times New Roman" w:hAnsi="Times New Roman"/>
                <w:sz w:val="24"/>
                <w:szCs w:val="24"/>
              </w:rPr>
            </w:pPr>
            <w:r>
              <w:rPr>
                <w:rFonts w:ascii="Times New Roman" w:hAnsi="Times New Roman"/>
                <w:b/>
                <w:bCs/>
                <w:sz w:val="24"/>
                <w:szCs w:val="24"/>
              </w:rPr>
              <w:t>（22）水洗：</w:t>
            </w:r>
            <w:r>
              <w:rPr>
                <w:rFonts w:ascii="Times New Roman" w:hAnsi="Times New Roman"/>
                <w:sz w:val="24"/>
                <w:szCs w:val="24"/>
              </w:rPr>
              <w:t>使用纯水机过滤好的清水经过超声波来清洗产品。</w:t>
            </w:r>
          </w:p>
          <w:p>
            <w:pPr>
              <w:spacing w:line="440" w:lineRule="exact"/>
              <w:ind w:firstLine="482" w:firstLineChars="200"/>
              <w:rPr>
                <w:rFonts w:ascii="Times New Roman" w:hAnsi="Times New Roman"/>
                <w:sz w:val="24"/>
                <w:szCs w:val="24"/>
              </w:rPr>
            </w:pPr>
            <w:r>
              <w:rPr>
                <w:rFonts w:ascii="Times New Roman" w:hAnsi="Times New Roman"/>
                <w:b/>
                <w:bCs/>
                <w:sz w:val="24"/>
                <w:szCs w:val="24"/>
              </w:rPr>
              <w:t>（23）检验：</w:t>
            </w:r>
            <w:r>
              <w:rPr>
                <w:rFonts w:ascii="Times New Roman" w:hAnsi="Times New Roman"/>
                <w:sz w:val="24"/>
                <w:szCs w:val="24"/>
              </w:rPr>
              <w:t>项目生产的玻璃盖板需要进行检验，主要检验加工后的玻璃：是否出现大崩边、深划伤、缺角、产品表面无碎玻璃屑、无裂片、气泡、异物、白点、黑点、凹凸点、刺点（晶点）等点状不良品。检验工序需要使用到酒精。</w:t>
            </w:r>
          </w:p>
          <w:p>
            <w:pPr>
              <w:spacing w:line="440" w:lineRule="exact"/>
              <w:ind w:firstLine="482" w:firstLineChars="200"/>
              <w:rPr>
                <w:rFonts w:ascii="Times New Roman" w:hAnsi="Times New Roman"/>
                <w:sz w:val="24"/>
                <w:szCs w:val="24"/>
              </w:rPr>
            </w:pPr>
            <w:r>
              <w:rPr>
                <w:rFonts w:ascii="Times New Roman" w:hAnsi="Times New Roman"/>
                <w:b/>
                <w:bCs/>
                <w:sz w:val="24"/>
                <w:szCs w:val="24"/>
              </w:rPr>
              <w:t>（24）包装：</w:t>
            </w:r>
            <w:r>
              <w:rPr>
                <w:rFonts w:ascii="Times New Roman" w:hAnsi="Times New Roman"/>
                <w:sz w:val="24"/>
                <w:szCs w:val="24"/>
              </w:rPr>
              <w:t>项目生产的玻璃盖板经检验合格后进行真空包装。</w:t>
            </w:r>
          </w:p>
          <w:p>
            <w:pPr>
              <w:pStyle w:val="2"/>
              <w:spacing w:line="440" w:lineRule="exact"/>
              <w:ind w:left="0" w:leftChars="0" w:firstLine="482"/>
              <w:rPr>
                <w:rFonts w:ascii="Times New Roman" w:hAnsi="Times New Roman"/>
                <w:sz w:val="24"/>
              </w:rPr>
            </w:pPr>
            <w:r>
              <w:rPr>
                <w:rFonts w:ascii="Times New Roman" w:hAnsi="Times New Roman"/>
                <w:b/>
                <w:bCs/>
                <w:sz w:val="24"/>
              </w:rPr>
              <w:t>（25）入库：</w:t>
            </w:r>
            <w:r>
              <w:rPr>
                <w:rFonts w:ascii="Times New Roman" w:hAnsi="Times New Roman"/>
                <w:sz w:val="24"/>
              </w:rPr>
              <w:t>把包装好的产品点数入库。</w:t>
            </w:r>
          </w:p>
          <w:bookmarkEnd w:id="42"/>
          <w:bookmarkEnd w:id="43"/>
          <w:p>
            <w:pPr>
              <w:ind w:left="420" w:leftChars="200"/>
              <w:rPr>
                <w:rFonts w:ascii="Times New Roman" w:hAnsi="Times New Roman"/>
                <w:b/>
                <w:bCs/>
                <w:sz w:val="24"/>
                <w:szCs w:val="24"/>
              </w:rPr>
            </w:pPr>
            <w:r>
              <w:rPr>
                <w:rFonts w:ascii="Times New Roman" w:hAnsi="Times New Roman"/>
                <w:b/>
                <w:bCs/>
                <w:sz w:val="24"/>
                <w:szCs w:val="24"/>
              </w:rPr>
              <w:t>3、纯水制备工艺</w:t>
            </w:r>
          </w:p>
          <w:p>
            <w:pPr>
              <w:autoSpaceDE/>
              <w:autoSpaceDN/>
              <w:spacing w:line="360" w:lineRule="auto"/>
              <w:jc w:val="center"/>
              <w:rPr>
                <w:rFonts w:ascii="Times New Roman" w:hAnsi="Times New Roman"/>
                <w:kern w:val="2"/>
                <w:sz w:val="24"/>
                <w:szCs w:val="24"/>
                <w:lang w:val="en-US" w:bidi="ar-SA"/>
              </w:rPr>
            </w:pPr>
            <w:r>
              <w:rPr>
                <w:rFonts w:ascii="Times New Roman" w:hAnsi="Times New Roman"/>
                <w:lang w:val="en-US" w:bidi="ar-SA"/>
              </w:rPr>
              <w:drawing>
                <wp:inline distT="0" distB="0" distL="0" distR="0">
                  <wp:extent cx="5457825" cy="3437255"/>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stretch>
                            <a:fillRect/>
                          </a:stretch>
                        </pic:blipFill>
                        <pic:spPr>
                          <a:xfrm>
                            <a:off x="0" y="0"/>
                            <a:ext cx="5499513" cy="3463319"/>
                          </a:xfrm>
                          <a:prstGeom prst="rect">
                            <a:avLst/>
                          </a:prstGeom>
                        </pic:spPr>
                      </pic:pic>
                    </a:graphicData>
                  </a:graphic>
                </wp:inline>
              </w:drawing>
            </w:r>
          </w:p>
          <w:p>
            <w:pPr>
              <w:autoSpaceDE/>
              <w:autoSpaceDN/>
              <w:spacing w:line="360" w:lineRule="auto"/>
              <w:jc w:val="center"/>
              <w:rPr>
                <w:rFonts w:ascii="Times New Roman" w:hAnsi="Times New Roman"/>
                <w:b/>
                <w:bCs/>
                <w:kern w:val="2"/>
                <w:lang w:val="en-US" w:bidi="ar-SA"/>
              </w:rPr>
            </w:pPr>
            <w:r>
              <w:rPr>
                <w:rFonts w:ascii="Times New Roman" w:hAnsi="Times New Roman"/>
                <w:b/>
                <w:bCs/>
                <w:kern w:val="2"/>
                <w:lang w:val="en-US" w:bidi="ar-SA"/>
              </w:rPr>
              <w:t>图2-5  纯水机制备原理示意图</w:t>
            </w:r>
          </w:p>
          <w:p>
            <w:pPr>
              <w:autoSpaceDE/>
              <w:autoSpaceDN/>
              <w:spacing w:line="360" w:lineRule="auto"/>
              <w:ind w:firstLine="480" w:firstLineChars="200"/>
              <w:jc w:val="both"/>
              <w:rPr>
                <w:rFonts w:ascii="Times New Roman" w:hAnsi="Times New Roman"/>
                <w:kern w:val="2"/>
                <w:sz w:val="24"/>
                <w:szCs w:val="24"/>
                <w:lang w:val="en-US" w:bidi="ar-SA"/>
              </w:rPr>
            </w:pPr>
            <w:r>
              <w:rPr>
                <w:rFonts w:ascii="Times New Roman" w:hAnsi="Times New Roman"/>
                <w:kern w:val="2"/>
                <w:sz w:val="24"/>
                <w:szCs w:val="24"/>
                <w:lang w:val="en-US" w:bidi="ar-SA"/>
              </w:rPr>
              <w:t>把自来水引入原水箱，用水泵把原水送入多介质过滤器里面进行过滤，再经过活性过滤器处理，过滤过程中会在水中添加Nacl、HCL、NaOH等药物中和水质，然后再经过一道过滤水箱用高压水泵把水送入RO二级反渗透装置中进行膜过滤；再经过RO膜过滤后进入纯水泵再然后经过EDI装置，进入UV杀菌器，最后经过混床处理过滤后，输送至供水点。</w:t>
            </w:r>
          </w:p>
          <w:p>
            <w:pPr>
              <w:autoSpaceDE/>
              <w:autoSpaceDN/>
              <w:spacing w:line="360" w:lineRule="auto"/>
              <w:ind w:firstLine="480" w:firstLineChars="200"/>
              <w:jc w:val="both"/>
              <w:rPr>
                <w:rFonts w:ascii="Times New Roman" w:hAnsi="Times New Roman"/>
                <w:kern w:val="2"/>
                <w:sz w:val="24"/>
                <w:szCs w:val="24"/>
                <w:lang w:val="en-US" w:bidi="ar-SA"/>
              </w:rPr>
            </w:pPr>
            <w:r>
              <w:rPr>
                <w:rFonts w:ascii="Times New Roman" w:hAnsi="Times New Roman"/>
                <w:kern w:val="2"/>
                <w:sz w:val="24"/>
                <w:szCs w:val="24"/>
                <w:lang w:val="en-US" w:bidi="ar-SA"/>
              </w:rPr>
              <w:t>EDI又称连续电除盐技术，是一种超纯水制造技术。它通过阳、阴离子膜对阳、阴离子的选择透过作用以及离子交换树脂对水中离子的交换作用，在电场的作用下实现水中离子的定向迁移，从而达到水的深度净化除盐，并通过水电解产生的氢离子和氢氧根离子对装填树脂进行连续再生。</w:t>
            </w:r>
          </w:p>
          <w:p>
            <w:pPr>
              <w:autoSpaceDE/>
              <w:autoSpaceDN/>
              <w:spacing w:line="360" w:lineRule="auto"/>
              <w:ind w:firstLine="480" w:firstLineChars="200"/>
              <w:jc w:val="both"/>
              <w:rPr>
                <w:rFonts w:ascii="Times New Roman" w:hAnsi="Times New Roman"/>
                <w:kern w:val="2"/>
                <w:sz w:val="24"/>
                <w:szCs w:val="24"/>
                <w:lang w:val="en-US" w:bidi="ar-SA"/>
              </w:rPr>
            </w:pPr>
            <w:r>
              <w:rPr>
                <w:rFonts w:ascii="Times New Roman" w:hAnsi="Times New Roman"/>
                <w:kern w:val="2"/>
                <w:sz w:val="24"/>
                <w:szCs w:val="24"/>
                <w:lang w:val="en-US" w:bidi="ar-SA"/>
              </w:rPr>
              <w:t>抛光混床采用高交换容量，充分再生，无化学析出的核子级树脂，去除纯水中残余的微量带电离子及弱电解质，使水质达到18MΩcm以上。树脂定期委托厂家更换，更换后的树脂交由厂家处理。</w:t>
            </w:r>
          </w:p>
          <w:p>
            <w:pPr>
              <w:pStyle w:val="15"/>
              <w:spacing w:line="440" w:lineRule="exact"/>
              <w:ind w:firstLine="482" w:firstLineChars="200"/>
              <w:rPr>
                <w:rFonts w:ascii="Times New Roman" w:hAnsi="Times New Roman" w:cs="Times New Roman"/>
                <w:b/>
                <w:bCs/>
                <w:lang w:val="en-US"/>
              </w:rPr>
            </w:pPr>
            <w:bookmarkStart w:id="45" w:name="_Hlk112773023"/>
            <w:r>
              <w:rPr>
                <w:rFonts w:ascii="Times New Roman" w:hAnsi="Times New Roman" w:cs="Times New Roman"/>
                <w:b/>
                <w:bCs/>
                <w:lang w:val="en-US"/>
              </w:rPr>
              <w:t>二、产排污节点分析</w:t>
            </w:r>
          </w:p>
          <w:p>
            <w:pPr>
              <w:pStyle w:val="15"/>
              <w:spacing w:line="440" w:lineRule="exact"/>
              <w:ind w:firstLine="480" w:firstLineChars="200"/>
              <w:rPr>
                <w:rFonts w:ascii="Times New Roman" w:hAnsi="Times New Roman" w:cs="Times New Roman"/>
                <w:szCs w:val="21"/>
              </w:rPr>
            </w:pPr>
            <w:r>
              <w:rPr>
                <w:rFonts w:ascii="Times New Roman" w:hAnsi="Times New Roman" w:cs="Times New Roman"/>
                <w:szCs w:val="21"/>
              </w:rPr>
              <w:t>本项目产排污节点见下表所示。</w:t>
            </w:r>
          </w:p>
          <w:p>
            <w:pPr>
              <w:pStyle w:val="15"/>
              <w:spacing w:line="440" w:lineRule="exact"/>
              <w:jc w:val="center"/>
              <w:rPr>
                <w:rFonts w:ascii="Times New Roman" w:hAnsi="Times New Roman" w:cs="Times New Roman"/>
                <w:b/>
                <w:bCs/>
                <w:sz w:val="21"/>
                <w:szCs w:val="18"/>
              </w:rPr>
            </w:pPr>
          </w:p>
          <w:p>
            <w:pPr>
              <w:pStyle w:val="15"/>
              <w:spacing w:line="440" w:lineRule="exact"/>
              <w:jc w:val="center"/>
              <w:rPr>
                <w:rFonts w:ascii="Times New Roman" w:hAnsi="Times New Roman" w:cs="Times New Roman"/>
                <w:b/>
                <w:bCs/>
                <w:sz w:val="21"/>
                <w:szCs w:val="18"/>
              </w:rPr>
            </w:pPr>
          </w:p>
          <w:p>
            <w:pPr>
              <w:pStyle w:val="15"/>
              <w:spacing w:line="440" w:lineRule="exact"/>
              <w:jc w:val="center"/>
              <w:rPr>
                <w:rFonts w:ascii="Times New Roman" w:hAnsi="Times New Roman" w:cs="Times New Roman"/>
                <w:b/>
                <w:bCs/>
                <w:sz w:val="21"/>
                <w:szCs w:val="21"/>
                <w:lang w:val="en-US"/>
              </w:rPr>
            </w:pPr>
            <w:r>
              <w:rPr>
                <w:rFonts w:ascii="Times New Roman" w:hAnsi="Times New Roman" w:cs="Times New Roman"/>
                <w:b/>
                <w:bCs/>
                <w:sz w:val="21"/>
                <w:szCs w:val="18"/>
              </w:rPr>
              <w:t>表2-11  建设项目产排污节点汇总表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429"/>
              <w:gridCol w:w="1443"/>
              <w:gridCol w:w="1110"/>
              <w:gridCol w:w="1600"/>
              <w:gridCol w:w="2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Align w:val="center"/>
                </w:tcPr>
                <w:p>
                  <w:pPr>
                    <w:pStyle w:val="15"/>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项目</w:t>
                  </w:r>
                </w:p>
              </w:tc>
              <w:tc>
                <w:tcPr>
                  <w:tcW w:w="854" w:type="pct"/>
                  <w:vAlign w:val="center"/>
                </w:tcPr>
                <w:p>
                  <w:pPr>
                    <w:pStyle w:val="15"/>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污染物来源</w:t>
                  </w:r>
                </w:p>
              </w:tc>
              <w:tc>
                <w:tcPr>
                  <w:tcW w:w="657" w:type="pct"/>
                  <w:vAlign w:val="center"/>
                </w:tcPr>
                <w:p>
                  <w:pPr>
                    <w:pStyle w:val="15"/>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产污环节</w:t>
                  </w:r>
                </w:p>
              </w:tc>
              <w:tc>
                <w:tcPr>
                  <w:tcW w:w="947" w:type="pct"/>
                  <w:vAlign w:val="center"/>
                </w:tcPr>
                <w:p>
                  <w:pPr>
                    <w:pStyle w:val="15"/>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主要污染因子</w:t>
                  </w:r>
                </w:p>
              </w:tc>
              <w:tc>
                <w:tcPr>
                  <w:tcW w:w="1682" w:type="pct"/>
                  <w:vAlign w:val="center"/>
                </w:tcPr>
                <w:p>
                  <w:pPr>
                    <w:pStyle w:val="15"/>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restar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废气</w:t>
                  </w: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喷保护液废气</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喷</w:t>
                  </w:r>
                  <w:r>
                    <w:rPr>
                      <w:rFonts w:hint="eastAsia" w:ascii="Times New Roman" w:hAnsi="Times New Roman" w:cs="Times New Roman"/>
                      <w:sz w:val="21"/>
                      <w:szCs w:val="21"/>
                      <w:lang w:val="en-US"/>
                    </w:rPr>
                    <w:t>液</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非甲烷总烃</w:t>
                  </w:r>
                </w:p>
              </w:tc>
              <w:tc>
                <w:tcPr>
                  <w:tcW w:w="1682"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二级活性炭吸附装置+30m排气筒（DA001）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丝印及烘干、镀AF及烘干废气</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印刷、烘烤、镀AF及烘干</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非甲烷总烃</w:t>
                  </w:r>
                </w:p>
              </w:tc>
              <w:tc>
                <w:tcPr>
                  <w:tcW w:w="1682"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二级活性炭纤维吸附装置+30m排气筒（DA002）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0" w:type="pct"/>
                  <w:gridSpan w:val="2"/>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检验</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酒精擦拭</w:t>
                  </w:r>
                </w:p>
              </w:tc>
              <w:tc>
                <w:tcPr>
                  <w:tcW w:w="947" w:type="pct"/>
                  <w:vAlign w:val="center"/>
                </w:tcPr>
                <w:p>
                  <w:pPr>
                    <w:jc w:val="center"/>
                    <w:rPr>
                      <w:rFonts w:ascii="Times New Roman" w:hAnsi="Times New Roman"/>
                    </w:rPr>
                  </w:pPr>
                  <w:r>
                    <w:rPr>
                      <w:rFonts w:ascii="Times New Roman" w:hAnsi="Times New Roman"/>
                      <w:lang w:val="en-US"/>
                    </w:rPr>
                    <w:t>非甲烷总烃</w:t>
                  </w:r>
                </w:p>
              </w:tc>
              <w:tc>
                <w:tcPr>
                  <w:tcW w:w="1682" w:type="pct"/>
                  <w:vAlign w:val="center"/>
                </w:tcPr>
                <w:p>
                  <w:pPr>
                    <w:pStyle w:val="15"/>
                    <w:jc w:val="center"/>
                    <w:rPr>
                      <w:rFonts w:ascii="Times New Roman" w:hAnsi="Times New Roman" w:cs="Times New Roman"/>
                      <w:sz w:val="21"/>
                      <w:szCs w:val="21"/>
                      <w:lang w:val="en-US"/>
                    </w:rPr>
                  </w:pPr>
                  <w:r>
                    <w:rPr>
                      <w:rFonts w:ascii="Times New Roman" w:hAnsi="Times New Roman" w:cs="Times New Roman"/>
                      <w:kern w:val="2"/>
                      <w:sz w:val="21"/>
                      <w:szCs w:val="21"/>
                    </w:rPr>
                    <w:t>安装排气扇，加强通风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jc w:val="center"/>
                    <w:rPr>
                      <w:rFonts w:ascii="Times New Roman" w:hAnsi="Times New Roman"/>
                    </w:rPr>
                  </w:pPr>
                  <w:r>
                    <w:rPr>
                      <w:rFonts w:ascii="Times New Roman" w:hAnsi="Times New Roman"/>
                    </w:rPr>
                    <w:t>食堂油烟废气</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食堂</w:t>
                  </w:r>
                </w:p>
              </w:tc>
              <w:tc>
                <w:tcPr>
                  <w:tcW w:w="947" w:type="pct"/>
                  <w:vAlign w:val="center"/>
                </w:tcPr>
                <w:p>
                  <w:pPr>
                    <w:jc w:val="center"/>
                    <w:rPr>
                      <w:rFonts w:ascii="Times New Roman" w:hAnsi="Times New Roman"/>
                    </w:rPr>
                  </w:pPr>
                  <w:r>
                    <w:rPr>
                      <w:rFonts w:ascii="Times New Roman" w:hAnsi="Times New Roman"/>
                      <w:lang w:val="en-US"/>
                    </w:rPr>
                    <w:t>油烟</w:t>
                  </w:r>
                </w:p>
              </w:tc>
              <w:tc>
                <w:tcPr>
                  <w:tcW w:w="1682"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油烟净化器处理+专用风道排放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restar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废水</w:t>
                  </w: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生活污水</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生活办公</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pH、CODcr、BOD</w:t>
                  </w:r>
                  <w:r>
                    <w:rPr>
                      <w:rFonts w:ascii="Times New Roman" w:hAnsi="Times New Roman" w:cs="Times New Roman"/>
                      <w:sz w:val="21"/>
                      <w:szCs w:val="21"/>
                      <w:vertAlign w:val="subscript"/>
                      <w:lang w:val="en-US"/>
                    </w:rPr>
                    <w:t>5</w:t>
                  </w:r>
                  <w:r>
                    <w:rPr>
                      <w:rFonts w:ascii="Times New Roman" w:hAnsi="Times New Roman" w:cs="Times New Roman"/>
                      <w:sz w:val="21"/>
                      <w:szCs w:val="21"/>
                      <w:lang w:val="en-US"/>
                    </w:rPr>
                    <w:t>、SS、动植物油、氨氮等</w:t>
                  </w:r>
                </w:p>
              </w:tc>
              <w:tc>
                <w:tcPr>
                  <w:tcW w:w="1682"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收集进入厂区隔油池+化粪池处理达标后通过市政管网进入桂集镇污水处理厂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纯水制备设备所产生的反渗透浓水</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纯水机</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CODcr、SS、少量盐分</w:t>
                  </w:r>
                </w:p>
              </w:tc>
              <w:tc>
                <w:tcPr>
                  <w:tcW w:w="1682"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通过市政污水管网进入桂集镇污水处理厂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pStyle w:val="15"/>
                    <w:jc w:val="center"/>
                    <w:rPr>
                      <w:rFonts w:ascii="Times New Roman" w:hAnsi="Times New Roman" w:cs="Times New Roman"/>
                      <w:sz w:val="21"/>
                      <w:szCs w:val="21"/>
                    </w:rPr>
                  </w:pPr>
                  <w:r>
                    <w:rPr>
                      <w:rFonts w:ascii="Times New Roman" w:hAnsi="Times New Roman" w:cs="Times New Roman"/>
                      <w:sz w:val="21"/>
                      <w:szCs w:val="21"/>
                    </w:rPr>
                    <w:t>生产废水（清洗废水、浸泡废水）</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清洗、</w:t>
                  </w:r>
                  <w:r>
                    <w:rPr>
                      <w:rFonts w:ascii="Times New Roman" w:hAnsi="Times New Roman" w:cs="Times New Roman"/>
                      <w:sz w:val="21"/>
                      <w:szCs w:val="21"/>
                    </w:rPr>
                    <w:t>浸泡工序</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CODcr</w:t>
                  </w:r>
                  <w:r>
                    <w:rPr>
                      <w:rFonts w:ascii="Times New Roman" w:hAnsi="Times New Roman" w:cs="Times New Roman"/>
                      <w:sz w:val="21"/>
                      <w:szCs w:val="21"/>
                    </w:rPr>
                    <w:t>、</w:t>
                  </w:r>
                  <w:r>
                    <w:rPr>
                      <w:rFonts w:ascii="Times New Roman" w:hAnsi="Times New Roman" w:cs="Times New Roman"/>
                      <w:spacing w:val="4"/>
                      <w:w w:val="99"/>
                      <w:sz w:val="21"/>
                      <w:szCs w:val="21"/>
                      <w:lang w:val="en-US"/>
                    </w:rPr>
                    <w:t>SS</w:t>
                  </w:r>
                  <w:r>
                    <w:rPr>
                      <w:rFonts w:ascii="Times New Roman" w:hAnsi="Times New Roman" w:cs="Times New Roman"/>
                      <w:sz w:val="21"/>
                      <w:szCs w:val="21"/>
                    </w:rPr>
                    <w:t>、</w:t>
                  </w:r>
                  <w:r>
                    <w:rPr>
                      <w:rFonts w:ascii="Times New Roman" w:hAnsi="Times New Roman" w:cs="Times New Roman"/>
                      <w:sz w:val="21"/>
                      <w:szCs w:val="21"/>
                      <w:lang w:val="en-US"/>
                    </w:rPr>
                    <w:t>BOD</w:t>
                  </w:r>
                  <w:r>
                    <w:rPr>
                      <w:rFonts w:ascii="Times New Roman" w:hAnsi="Times New Roman" w:cs="Times New Roman"/>
                      <w:sz w:val="21"/>
                      <w:szCs w:val="21"/>
                      <w:vertAlign w:val="subscript"/>
                      <w:lang w:val="en-US"/>
                    </w:rPr>
                    <w:t>5</w:t>
                  </w:r>
                  <w:r>
                    <w:rPr>
                      <w:rFonts w:ascii="Times New Roman" w:hAnsi="Times New Roman" w:cs="Times New Roman"/>
                      <w:sz w:val="21"/>
                      <w:szCs w:val="21"/>
                    </w:rPr>
                    <w:t>、</w:t>
                  </w:r>
                  <w:r>
                    <w:rPr>
                      <w:rFonts w:ascii="Times New Roman" w:hAnsi="Times New Roman" w:cs="Times New Roman"/>
                      <w:sz w:val="21"/>
                      <w:szCs w:val="21"/>
                      <w:lang w:val="en-US"/>
                    </w:rPr>
                    <w:t>LAS</w:t>
                  </w:r>
                  <w:r>
                    <w:rPr>
                      <w:rFonts w:ascii="Times New Roman" w:hAnsi="Times New Roman" w:cs="Times New Roman"/>
                      <w:sz w:val="21"/>
                      <w:szCs w:val="21"/>
                    </w:rPr>
                    <w:t>、</w:t>
                  </w:r>
                  <w:r>
                    <w:rPr>
                      <w:rFonts w:ascii="Times New Roman" w:hAnsi="Times New Roman" w:cs="Times New Roman"/>
                      <w:sz w:val="21"/>
                      <w:szCs w:val="21"/>
                      <w:lang w:val="en-US"/>
                    </w:rPr>
                    <w:t>NH</w:t>
                  </w:r>
                  <w:r>
                    <w:rPr>
                      <w:rFonts w:ascii="Times New Roman" w:hAnsi="Times New Roman" w:cs="Times New Roman"/>
                      <w:sz w:val="21"/>
                      <w:szCs w:val="21"/>
                      <w:vertAlign w:val="subscript"/>
                      <w:lang w:val="en-US"/>
                    </w:rPr>
                    <w:t>3</w:t>
                  </w:r>
                  <w:r>
                    <w:rPr>
                      <w:rFonts w:ascii="Times New Roman" w:hAnsi="Times New Roman" w:cs="Times New Roman"/>
                      <w:sz w:val="21"/>
                      <w:szCs w:val="21"/>
                      <w:lang w:val="en-US"/>
                    </w:rPr>
                    <w:t>-N</w:t>
                  </w:r>
                </w:p>
              </w:tc>
              <w:tc>
                <w:tcPr>
                  <w:tcW w:w="1682"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收集进入厂区污水处理设施（三级絮凝沉淀池）处理达标后通过市政管网进入桂集镇污水处理厂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restar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噪声</w:t>
                  </w: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CNC开料机</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开料</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噪声</w:t>
                  </w:r>
                </w:p>
              </w:tc>
              <w:tc>
                <w:tcPr>
                  <w:tcW w:w="1682" w:type="pct"/>
                  <w:vMerge w:val="restar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选用低噪声设备，车间内布置隔声减震等设施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CNC精雕机</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CNC精雕</w:t>
                  </w:r>
                </w:p>
              </w:tc>
              <w:tc>
                <w:tcPr>
                  <w:tcW w:w="947" w:type="pct"/>
                  <w:vAlign w:val="center"/>
                </w:tcPr>
                <w:p>
                  <w:pPr>
                    <w:jc w:val="center"/>
                    <w:rPr>
                      <w:rFonts w:ascii="Times New Roman" w:hAnsi="Times New Roman"/>
                    </w:rPr>
                  </w:pPr>
                  <w:r>
                    <w:rPr>
                      <w:rFonts w:ascii="Times New Roman" w:hAnsi="Times New Roman"/>
                      <w:lang w:val="en-US"/>
                    </w:rPr>
                    <w:t>噪声</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纯水制备设备</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纯水制备</w:t>
                  </w:r>
                </w:p>
              </w:tc>
              <w:tc>
                <w:tcPr>
                  <w:tcW w:w="947" w:type="pct"/>
                  <w:vAlign w:val="center"/>
                </w:tcPr>
                <w:p>
                  <w:pPr>
                    <w:jc w:val="center"/>
                    <w:rPr>
                      <w:rFonts w:ascii="Times New Roman" w:hAnsi="Times New Roman"/>
                    </w:rPr>
                  </w:pPr>
                  <w:r>
                    <w:rPr>
                      <w:rFonts w:ascii="Times New Roman" w:hAnsi="Times New Roman"/>
                      <w:lang w:val="en-US"/>
                    </w:rPr>
                    <w:t>噪声</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 w:type="pct"/>
                  <w:gridSpan w:val="2"/>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风机</w:t>
                  </w:r>
                </w:p>
              </w:tc>
              <w:tc>
                <w:tcPr>
                  <w:tcW w:w="657" w:type="pct"/>
                  <w:vAlign w:val="center"/>
                </w:tcPr>
                <w:p>
                  <w:pPr>
                    <w:pStyle w:val="15"/>
                    <w:jc w:val="center"/>
                    <w:rPr>
                      <w:rFonts w:ascii="Times New Roman" w:hAnsi="Times New Roman" w:cs="Times New Roman"/>
                      <w:sz w:val="21"/>
                      <w:szCs w:val="21"/>
                    </w:rPr>
                  </w:pPr>
                  <w:r>
                    <w:rPr>
                      <w:rFonts w:ascii="Times New Roman" w:hAnsi="Times New Roman" w:cs="Times New Roman"/>
                      <w:sz w:val="21"/>
                      <w:szCs w:val="21"/>
                    </w:rPr>
                    <w:t>废气治理</w:t>
                  </w:r>
                </w:p>
              </w:tc>
              <w:tc>
                <w:tcPr>
                  <w:tcW w:w="947" w:type="pct"/>
                  <w:vAlign w:val="center"/>
                </w:tcPr>
                <w:p>
                  <w:pPr>
                    <w:jc w:val="center"/>
                    <w:rPr>
                      <w:rFonts w:ascii="Times New Roman" w:hAnsi="Times New Roman"/>
                      <w:lang w:val="en-US"/>
                    </w:rPr>
                  </w:pPr>
                  <w:r>
                    <w:rPr>
                      <w:rFonts w:ascii="Times New Roman" w:hAnsi="Times New Roman"/>
                      <w:lang w:val="en-US"/>
                    </w:rPr>
                    <w:t>噪声</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restar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固废</w:t>
                  </w:r>
                </w:p>
              </w:tc>
              <w:tc>
                <w:tcPr>
                  <w:tcW w:w="2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854" w:type="pct"/>
                  <w:vAlign w:val="center"/>
                </w:tcPr>
                <w:p>
                  <w:pPr>
                    <w:pStyle w:val="15"/>
                    <w:jc w:val="center"/>
                    <w:rPr>
                      <w:rFonts w:ascii="Times New Roman" w:hAnsi="Times New Roman" w:cs="Times New Roman"/>
                      <w:bCs/>
                      <w:sz w:val="21"/>
                      <w:szCs w:val="21"/>
                      <w:lang w:val="en-US"/>
                    </w:rPr>
                  </w:pPr>
                  <w:r>
                    <w:rPr>
                      <w:rFonts w:ascii="Times New Roman" w:hAnsi="Times New Roman" w:cs="Times New Roman"/>
                      <w:bCs/>
                      <w:sz w:val="21"/>
                      <w:szCs w:val="21"/>
                    </w:rPr>
                    <w:t>生活垃圾</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宿舍、研发中心</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Align w:val="center"/>
                </w:tcPr>
                <w:p>
                  <w:pPr>
                    <w:pStyle w:val="72"/>
                    <w:spacing w:line="240" w:lineRule="auto"/>
                  </w:pPr>
                  <w:r>
                    <w:t>委托当地环卫部门进行清运处理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sz w:val="21"/>
                      <w:szCs w:val="21"/>
                      <w:lang w:val="en-US"/>
                    </w:rPr>
                  </w:pPr>
                </w:p>
              </w:tc>
              <w:tc>
                <w:tcPr>
                  <w:tcW w:w="254" w:type="pct"/>
                  <w:vMerge w:val="restar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一般固废</w:t>
                  </w: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玻璃碎屑、边角料、次品</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开料、CNC</w:t>
                  </w:r>
                  <w:r>
                    <w:rPr>
                      <w:rFonts w:ascii="Times New Roman" w:hAnsi="Times New Roman" w:cs="Times New Roman"/>
                      <w:sz w:val="21"/>
                      <w:szCs w:val="18"/>
                    </w:rPr>
                    <w:t>精雕</w:t>
                  </w:r>
                  <w:r>
                    <w:rPr>
                      <w:rFonts w:ascii="Times New Roman" w:hAnsi="Times New Roman" w:cs="Times New Roman"/>
                      <w:sz w:val="21"/>
                      <w:szCs w:val="21"/>
                      <w:lang w:val="en-US"/>
                    </w:rPr>
                    <w:t>、抛光、钢化</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Align w:val="center"/>
                </w:tcPr>
                <w:p>
                  <w:pPr>
                    <w:pStyle w:val="72"/>
                    <w:spacing w:line="240" w:lineRule="auto"/>
                  </w:pPr>
                  <w:r>
                    <w:t>集中收集，外售至玻璃生产商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06" w:type="pct"/>
                  <w:vMerge w:val="continue"/>
                  <w:vAlign w:val="center"/>
                </w:tcPr>
                <w:p>
                  <w:pPr>
                    <w:pStyle w:val="15"/>
                    <w:jc w:val="center"/>
                    <w:rPr>
                      <w:rFonts w:ascii="Times New Roman" w:hAnsi="Times New Roman" w:cs="Times New Roman"/>
                      <w:sz w:val="21"/>
                      <w:szCs w:val="21"/>
                      <w:lang w:val="en-US"/>
                    </w:rPr>
                  </w:pPr>
                </w:p>
              </w:tc>
              <w:tc>
                <w:tcPr>
                  <w:tcW w:w="254" w:type="pct"/>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废包装材料</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包装</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Align w:val="center"/>
                </w:tcPr>
                <w:p>
                  <w:pPr>
                    <w:pStyle w:val="72"/>
                    <w:spacing w:line="240" w:lineRule="auto"/>
                  </w:pPr>
                  <w:r>
                    <w:t>统一收集后，外售至废品收购站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sz w:val="21"/>
                      <w:szCs w:val="21"/>
                      <w:lang w:val="en-US"/>
                    </w:rPr>
                  </w:pPr>
                </w:p>
              </w:tc>
              <w:tc>
                <w:tcPr>
                  <w:tcW w:w="254" w:type="pct"/>
                  <w:vMerge w:val="continue"/>
                  <w:vAlign w:val="center"/>
                </w:tcPr>
                <w:p>
                  <w:pPr>
                    <w:pStyle w:val="15"/>
                    <w:jc w:val="center"/>
                    <w:rPr>
                      <w:rFonts w:ascii="Times New Roman" w:hAnsi="Times New Roman" w:cs="Times New Roman"/>
                      <w:sz w:val="21"/>
                      <w:szCs w:val="21"/>
                      <w:lang w:val="en-US"/>
                    </w:rPr>
                  </w:pPr>
                </w:p>
              </w:tc>
              <w:tc>
                <w:tcPr>
                  <w:tcW w:w="854" w:type="pct"/>
                  <w:vAlign w:val="center"/>
                </w:tcPr>
                <w:p>
                  <w:pPr>
                    <w:pStyle w:val="15"/>
                    <w:jc w:val="center"/>
                    <w:rPr>
                      <w:rFonts w:ascii="Times New Roman" w:hAnsi="Times New Roman" w:cs="Times New Roman"/>
                      <w:sz w:val="21"/>
                      <w:szCs w:val="21"/>
                    </w:rPr>
                  </w:pPr>
                  <w:r>
                    <w:rPr>
                      <w:rFonts w:ascii="Times New Roman" w:hAnsi="Times New Roman" w:cs="Times New Roman"/>
                      <w:bCs/>
                      <w:sz w:val="21"/>
                      <w:szCs w:val="21"/>
                    </w:rPr>
                    <w:t>废树脂</w:t>
                  </w:r>
                </w:p>
              </w:tc>
              <w:tc>
                <w:tcPr>
                  <w:tcW w:w="657" w:type="pct"/>
                  <w:vAlign w:val="center"/>
                </w:tcPr>
                <w:p>
                  <w:pPr>
                    <w:pStyle w:val="15"/>
                    <w:jc w:val="center"/>
                    <w:rPr>
                      <w:rFonts w:ascii="Times New Roman" w:hAnsi="Times New Roman" w:cs="Times New Roman"/>
                      <w:sz w:val="21"/>
                      <w:szCs w:val="21"/>
                    </w:rPr>
                  </w:pPr>
                  <w:r>
                    <w:rPr>
                      <w:rFonts w:ascii="Times New Roman" w:hAnsi="Times New Roman" w:cs="Times New Roman"/>
                      <w:sz w:val="21"/>
                      <w:szCs w:val="21"/>
                      <w:lang w:val="en-US"/>
                    </w:rPr>
                    <w:t>纯水制备</w:t>
                  </w:r>
                </w:p>
              </w:tc>
              <w:tc>
                <w:tcPr>
                  <w:tcW w:w="947" w:type="pct"/>
                  <w:vAlign w:val="center"/>
                </w:tcPr>
                <w:p>
                  <w:pPr>
                    <w:pStyle w:val="1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682" w:type="pct"/>
                  <w:vAlign w:val="center"/>
                </w:tcPr>
                <w:p>
                  <w:pPr>
                    <w:pStyle w:val="72"/>
                    <w:spacing w:line="240" w:lineRule="auto"/>
                  </w:pPr>
                  <w:r>
                    <w:rPr>
                      <w:rFonts w:hint="eastAsia"/>
                    </w:rPr>
                    <w:t>统一收集后委托厂家处理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lang w:val="en-US"/>
                    </w:rPr>
                  </w:pPr>
                  <w:r>
                    <w:rPr>
                      <w:rFonts w:ascii="Times New Roman" w:hAnsi="Times New Roman" w:cs="Times New Roman"/>
                      <w:bCs/>
                      <w:sz w:val="21"/>
                      <w:szCs w:val="21"/>
                    </w:rPr>
                    <w:t>含油棉纱、手套</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设备维修</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Align w:val="center"/>
                </w:tcPr>
                <w:p>
                  <w:pPr>
                    <w:pStyle w:val="72"/>
                    <w:spacing w:line="240" w:lineRule="auto"/>
                  </w:pPr>
                  <w:r>
                    <w:t>委托当地环卫部门进行清运处理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restar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危险废物</w:t>
                  </w:r>
                </w:p>
              </w:tc>
              <w:tc>
                <w:tcPr>
                  <w:tcW w:w="854"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废活性炭</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废气治理</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restart"/>
                  <w:vAlign w:val="center"/>
                </w:tcPr>
                <w:p>
                  <w:pPr>
                    <w:pStyle w:val="42"/>
                    <w:spacing w:after="0"/>
                    <w:ind w:firstLine="0" w:firstLineChars="0"/>
                    <w:jc w:val="center"/>
                    <w:rPr>
                      <w:rFonts w:ascii="Times New Roman" w:hAnsi="Times New Roman"/>
                    </w:rPr>
                  </w:pPr>
                  <w:r>
                    <w:rPr>
                      <w:rFonts w:ascii="Times New Roman" w:hAnsi="Times New Roman"/>
                    </w:rPr>
                    <w:t>经专门的收集桶收集后放置在危废暂存间中暂存，须按危险废物管理有关规定送至有资质的单位进行无害化处理。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lang w:val="en-US"/>
                    </w:rPr>
                  </w:pPr>
                  <w:r>
                    <w:rPr>
                      <w:rFonts w:ascii="Times New Roman" w:hAnsi="Times New Roman" w:cs="Times New Roman"/>
                      <w:bCs/>
                      <w:sz w:val="21"/>
                      <w:szCs w:val="21"/>
                    </w:rPr>
                    <w:t>废润滑油</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设备维修</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rPr>
                  </w:pPr>
                  <w:r>
                    <w:rPr>
                      <w:rFonts w:ascii="Times New Roman" w:hAnsi="Times New Roman" w:cs="Times New Roman"/>
                      <w:bCs/>
                      <w:sz w:val="21"/>
                      <w:szCs w:val="21"/>
                    </w:rPr>
                    <w:t>废油墨渣</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印刷</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rPr>
                  </w:pPr>
                  <w:r>
                    <w:rPr>
                      <w:rFonts w:ascii="Times New Roman" w:hAnsi="Times New Roman" w:cs="Times New Roman"/>
                      <w:bCs/>
                      <w:sz w:val="21"/>
                      <w:szCs w:val="21"/>
                    </w:rPr>
                    <w:t>废洗网水</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印刷</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rPr>
                  </w:pPr>
                  <w:r>
                    <w:rPr>
                      <w:rFonts w:ascii="Times New Roman" w:hAnsi="Times New Roman" w:cs="Times New Roman"/>
                      <w:bCs/>
                      <w:sz w:val="21"/>
                      <w:szCs w:val="21"/>
                    </w:rPr>
                    <w:t>废硝酸钾</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钢化</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rPr>
                  </w:pPr>
                  <w:r>
                    <w:rPr>
                      <w:rFonts w:ascii="Times New Roman" w:hAnsi="Times New Roman" w:cs="Times New Roman"/>
                      <w:bCs/>
                      <w:sz w:val="21"/>
                      <w:szCs w:val="21"/>
                    </w:rPr>
                    <w:t>废AF药水</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镀AF膜</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lang w:val="en-US"/>
                    </w:rPr>
                  </w:pPr>
                  <w:r>
                    <w:rPr>
                      <w:rFonts w:ascii="Times New Roman" w:hAnsi="Times New Roman" w:cs="Times New Roman"/>
                      <w:bCs/>
                      <w:sz w:val="21"/>
                      <w:szCs w:val="21"/>
                    </w:rPr>
                    <w:t>污水处理站污泥</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污水处理站</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rPr>
                  </w:pPr>
                  <w:r>
                    <w:rPr>
                      <w:rFonts w:ascii="Times New Roman" w:hAnsi="Times New Roman" w:cs="Times New Roman"/>
                      <w:bCs/>
                      <w:sz w:val="21"/>
                      <w:szCs w:val="21"/>
                    </w:rPr>
                    <w:t>废包装瓶（桶）</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rPr>
                    <w:t>包装</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rPr>
                  </w:pPr>
                  <w:r>
                    <w:rPr>
                      <w:rFonts w:ascii="Times New Roman" w:hAnsi="Times New Roman" w:cs="Times New Roman"/>
                      <w:bCs/>
                      <w:sz w:val="21"/>
                      <w:szCs w:val="21"/>
                    </w:rPr>
                    <w:t>废切削液</w:t>
                  </w:r>
                </w:p>
              </w:tc>
              <w:tc>
                <w:tcPr>
                  <w:tcW w:w="657" w:type="pct"/>
                  <w:vAlign w:val="center"/>
                </w:tcPr>
                <w:p>
                  <w:pPr>
                    <w:pStyle w:val="15"/>
                    <w:jc w:val="center"/>
                    <w:rPr>
                      <w:rFonts w:ascii="Times New Roman" w:hAnsi="Times New Roman" w:cs="Times New Roman"/>
                      <w:sz w:val="21"/>
                      <w:szCs w:val="21"/>
                      <w:lang w:val="en-US"/>
                    </w:rPr>
                  </w:pPr>
                  <w:r>
                    <w:rPr>
                      <w:rFonts w:ascii="Times New Roman" w:hAnsi="Times New Roman" w:cs="Times New Roman"/>
                      <w:bCs/>
                      <w:sz w:val="21"/>
                      <w:szCs w:val="21"/>
                    </w:rPr>
                    <w:t>CNC</w:t>
                  </w:r>
                  <w:r>
                    <w:rPr>
                      <w:rFonts w:ascii="Times New Roman" w:hAnsi="Times New Roman" w:cs="Times New Roman"/>
                      <w:sz w:val="21"/>
                      <w:szCs w:val="21"/>
                    </w:rPr>
                    <w:t>精雕</w:t>
                  </w:r>
                </w:p>
              </w:tc>
              <w:tc>
                <w:tcPr>
                  <w:tcW w:w="947" w:type="pct"/>
                  <w:vAlign w:val="center"/>
                </w:tcPr>
                <w:p>
                  <w:pPr>
                    <w:pStyle w:val="15"/>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rPr>
                  </w:pPr>
                  <w:r>
                    <w:rPr>
                      <w:rFonts w:hint="eastAsia" w:ascii="Times New Roman" w:hAnsi="Times New Roman" w:cs="Times New Roman"/>
                      <w:bCs/>
                      <w:sz w:val="21"/>
                      <w:szCs w:val="21"/>
                    </w:rPr>
                    <w:t>废显影液</w:t>
                  </w:r>
                </w:p>
              </w:tc>
              <w:tc>
                <w:tcPr>
                  <w:tcW w:w="657" w:type="pct"/>
                  <w:vAlign w:val="center"/>
                </w:tcPr>
                <w:p>
                  <w:pPr>
                    <w:pStyle w:val="15"/>
                    <w:jc w:val="center"/>
                    <w:rPr>
                      <w:rFonts w:ascii="Times New Roman" w:hAnsi="Times New Roman" w:cs="Times New Roman"/>
                      <w:bCs/>
                      <w:sz w:val="21"/>
                      <w:szCs w:val="21"/>
                    </w:rPr>
                  </w:pPr>
                  <w:r>
                    <w:rPr>
                      <w:rFonts w:hint="eastAsia" w:ascii="Times New Roman" w:hAnsi="Times New Roman" w:cs="Times New Roman"/>
                      <w:bCs/>
                      <w:sz w:val="21"/>
                      <w:szCs w:val="21"/>
                    </w:rPr>
                    <w:t>显影</w:t>
                  </w:r>
                </w:p>
              </w:tc>
              <w:tc>
                <w:tcPr>
                  <w:tcW w:w="947" w:type="pct"/>
                  <w:vAlign w:val="center"/>
                </w:tcPr>
                <w:p>
                  <w:pPr>
                    <w:pStyle w:val="1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682" w:type="pct"/>
                  <w:vMerge w:val="continue"/>
                  <w:vAlign w:val="center"/>
                </w:tcPr>
                <w:p>
                  <w:pPr>
                    <w:pStyle w:val="15"/>
                    <w:jc w:val="center"/>
                    <w:rPr>
                      <w:rFonts w:ascii="Times New Roman" w:hAnsi="Times New Roman" w:cs="Times New Roman"/>
                      <w:sz w:val="21"/>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vMerge w:val="continue"/>
                  <w:vAlign w:val="center"/>
                </w:tcPr>
                <w:p>
                  <w:pPr>
                    <w:pStyle w:val="15"/>
                    <w:jc w:val="center"/>
                    <w:rPr>
                      <w:rFonts w:ascii="Times New Roman" w:hAnsi="Times New Roman" w:cs="Times New Roman"/>
                      <w:b/>
                      <w:bCs/>
                      <w:sz w:val="21"/>
                      <w:szCs w:val="21"/>
                      <w:lang w:val="en-US"/>
                    </w:rPr>
                  </w:pPr>
                </w:p>
              </w:tc>
              <w:tc>
                <w:tcPr>
                  <w:tcW w:w="254" w:type="pct"/>
                  <w:vMerge w:val="continue"/>
                  <w:vAlign w:val="center"/>
                </w:tcPr>
                <w:p>
                  <w:pPr>
                    <w:pStyle w:val="15"/>
                    <w:jc w:val="center"/>
                    <w:rPr>
                      <w:rFonts w:ascii="Times New Roman" w:hAnsi="Times New Roman" w:cs="Times New Roman"/>
                      <w:b/>
                      <w:bCs/>
                      <w:sz w:val="21"/>
                      <w:szCs w:val="21"/>
                      <w:lang w:val="en-US"/>
                    </w:rPr>
                  </w:pPr>
                </w:p>
              </w:tc>
              <w:tc>
                <w:tcPr>
                  <w:tcW w:w="854" w:type="pct"/>
                  <w:vAlign w:val="center"/>
                </w:tcPr>
                <w:p>
                  <w:pPr>
                    <w:pStyle w:val="15"/>
                    <w:jc w:val="center"/>
                    <w:rPr>
                      <w:rFonts w:ascii="Times New Roman" w:hAnsi="Times New Roman" w:cs="Times New Roman"/>
                      <w:bCs/>
                      <w:sz w:val="21"/>
                      <w:szCs w:val="21"/>
                    </w:rPr>
                  </w:pPr>
                  <w:r>
                    <w:rPr>
                      <w:rFonts w:hint="eastAsia" w:ascii="Times New Roman" w:hAnsi="Times New Roman" w:cs="Times New Roman"/>
                      <w:bCs/>
                      <w:sz w:val="21"/>
                      <w:szCs w:val="21"/>
                    </w:rPr>
                    <w:t>废网版</w:t>
                  </w:r>
                </w:p>
              </w:tc>
              <w:tc>
                <w:tcPr>
                  <w:tcW w:w="657" w:type="pct"/>
                  <w:vAlign w:val="center"/>
                </w:tcPr>
                <w:p>
                  <w:pPr>
                    <w:pStyle w:val="15"/>
                    <w:jc w:val="center"/>
                    <w:rPr>
                      <w:rFonts w:ascii="Times New Roman" w:hAnsi="Times New Roman" w:cs="Times New Roman"/>
                      <w:bCs/>
                      <w:sz w:val="21"/>
                      <w:szCs w:val="21"/>
                    </w:rPr>
                  </w:pPr>
                  <w:r>
                    <w:rPr>
                      <w:rFonts w:ascii="Times New Roman" w:hAnsi="Times New Roman" w:cs="Times New Roman"/>
                      <w:sz w:val="21"/>
                      <w:szCs w:val="21"/>
                      <w:lang w:val="en-US"/>
                    </w:rPr>
                    <w:t>印刷</w:t>
                  </w:r>
                  <w:r>
                    <w:rPr>
                      <w:rFonts w:hint="eastAsia" w:ascii="Times New Roman" w:hAnsi="Times New Roman" w:cs="Times New Roman"/>
                      <w:sz w:val="21"/>
                      <w:szCs w:val="21"/>
                      <w:lang w:val="en-US"/>
                    </w:rPr>
                    <w:t>工序</w:t>
                  </w:r>
                </w:p>
              </w:tc>
              <w:tc>
                <w:tcPr>
                  <w:tcW w:w="947" w:type="pct"/>
                  <w:vAlign w:val="center"/>
                </w:tcPr>
                <w:p>
                  <w:pPr>
                    <w:pStyle w:val="1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682" w:type="pct"/>
                  <w:vAlign w:val="center"/>
                </w:tcPr>
                <w:p>
                  <w:pPr>
                    <w:pStyle w:val="15"/>
                    <w:jc w:val="center"/>
                    <w:rPr>
                      <w:rFonts w:ascii="Times New Roman" w:hAnsi="Times New Roman" w:cs="Times New Roman"/>
                      <w:sz w:val="21"/>
                      <w:szCs w:val="21"/>
                      <w:lang w:val="en-US"/>
                    </w:rPr>
                  </w:pPr>
                </w:p>
              </w:tc>
            </w:tr>
            <w:bookmarkEnd w:id="45"/>
          </w:tbl>
          <w:p>
            <w:pPr>
              <w:pStyle w:val="15"/>
              <w:spacing w:line="440" w:lineRule="exact"/>
              <w:jc w:val="center"/>
              <w:rPr>
                <w:rFonts w:ascii="Times New Roman" w:hAnsi="Times New Roman" w:cs="Times New Roman"/>
                <w:b/>
                <w:bCs/>
                <w:lang w:val="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30" w:hRule="atLeast"/>
          <w:jc w:val="center"/>
        </w:trPr>
        <w:tc>
          <w:tcPr>
            <w:tcW w:w="507" w:type="pct"/>
            <w:vAlign w:val="center"/>
          </w:tcPr>
          <w:p>
            <w:pPr>
              <w:spacing w:line="440" w:lineRule="exact"/>
              <w:jc w:val="center"/>
              <w:rPr>
                <w:rFonts w:ascii="Times New Roman" w:hAnsi="Times New Roman"/>
                <w:sz w:val="24"/>
                <w:szCs w:val="24"/>
              </w:rPr>
            </w:pPr>
            <w:r>
              <w:rPr>
                <w:rFonts w:ascii="Times New Roman" w:hAnsi="Times New Roman"/>
                <w:sz w:val="24"/>
                <w:szCs w:val="24"/>
              </w:rPr>
              <w:t>与项目有关的原有环境污染问题</w:t>
            </w:r>
          </w:p>
        </w:tc>
        <w:tc>
          <w:tcPr>
            <w:tcW w:w="4493" w:type="pct"/>
            <w:vAlign w:val="center"/>
          </w:tcPr>
          <w:p>
            <w:pPr>
              <w:pStyle w:val="15"/>
              <w:adjustRightInd w:val="0"/>
              <w:spacing w:line="360" w:lineRule="auto"/>
              <w:ind w:firstLine="480" w:firstLineChars="200"/>
              <w:rPr>
                <w:rFonts w:ascii="Times New Roman" w:hAnsi="Times New Roman" w:cs="Times New Roman"/>
                <w:szCs w:val="21"/>
                <w:lang w:val="en-US"/>
              </w:rPr>
            </w:pPr>
            <w:r>
              <w:rPr>
                <w:rFonts w:ascii="Times New Roman" w:hAnsi="Times New Roman" w:cs="Times New Roman"/>
                <w:szCs w:val="21"/>
                <w:lang w:val="en-US"/>
              </w:rPr>
              <w:t>本项目用房为租赁淮南市凤台县凤台经济开发区桂集孵化器产业园现有闲置厂房。本项目入驻前没有其他项目入驻，且本项目为新建项目，因此，拟建项目无原有污染情况及主要环境问题。</w:t>
            </w: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p>
            <w:pPr>
              <w:pStyle w:val="17"/>
              <w:rPr>
                <w:lang w:val="en-US"/>
              </w:rPr>
            </w:pPr>
          </w:p>
        </w:tc>
      </w:tr>
    </w:tbl>
    <w:p>
      <w:pPr>
        <w:spacing w:line="440" w:lineRule="exact"/>
        <w:jc w:val="both"/>
        <w:rPr>
          <w:rFonts w:ascii="Times New Roman" w:hAnsi="Times New Roman"/>
          <w:b/>
          <w:sz w:val="30"/>
          <w:szCs w:val="30"/>
          <w:lang w:val="en-US"/>
        </w:rPr>
        <w:sectPr>
          <w:pgSz w:w="11910" w:h="16840"/>
          <w:pgMar w:top="1701" w:right="1531" w:bottom="1701" w:left="1531" w:header="0" w:footer="963" w:gutter="0"/>
          <w:cols w:space="720" w:num="1"/>
          <w:docGrid w:linePitch="286" w:charSpace="0"/>
        </w:sectPr>
      </w:pPr>
    </w:p>
    <w:p>
      <w:pPr>
        <w:pStyle w:val="40"/>
        <w:widowControl/>
        <w:autoSpaceDE/>
        <w:autoSpaceDN/>
        <w:snapToGrid w:val="0"/>
        <w:spacing w:beforeAutospacing="0" w:afterAutospacing="0" w:line="440" w:lineRule="exact"/>
        <w:jc w:val="center"/>
        <w:outlineLvl w:val="0"/>
        <w:rPr>
          <w:rFonts w:ascii="Times New Roman" w:hAnsi="Times New Roman" w:eastAsia="黑体"/>
          <w:bCs/>
          <w:snapToGrid w:val="0"/>
          <w:sz w:val="30"/>
          <w:szCs w:val="30"/>
        </w:rPr>
      </w:pPr>
      <w:bookmarkStart w:id="46" w:name="_Toc112488138"/>
      <w:r>
        <w:rPr>
          <w:rFonts w:ascii="Times New Roman" w:hAnsi="Times New Roman" w:eastAsia="黑体"/>
          <w:bCs/>
          <w:snapToGrid w:val="0"/>
          <w:sz w:val="30"/>
          <w:szCs w:val="30"/>
        </w:rPr>
        <w:t>三、区域环境质量现状、环境保护目标及评价标准</w:t>
      </w:r>
      <w:bookmarkEnd w:id="46"/>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89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665" w:type="dxa"/>
            <w:vAlign w:val="center"/>
          </w:tcPr>
          <w:p>
            <w:pPr>
              <w:widowControl/>
              <w:spacing w:line="440" w:lineRule="exact"/>
              <w:jc w:val="center"/>
              <w:rPr>
                <w:rFonts w:ascii="Times New Roman" w:hAnsi="Times New Roman"/>
                <w:sz w:val="24"/>
                <w:szCs w:val="24"/>
              </w:rPr>
            </w:pPr>
            <w:r>
              <w:rPr>
                <w:rFonts w:ascii="Times New Roman" w:hAnsi="Times New Roman"/>
                <w:sz w:val="24"/>
                <w:szCs w:val="24"/>
                <w:lang w:val="en-US"/>
              </w:rPr>
              <w:t>区域环境质量现状</w:t>
            </w:r>
          </w:p>
          <w:p>
            <w:pPr>
              <w:pStyle w:val="2"/>
              <w:rPr>
                <w:rFonts w:ascii="Times New Roman" w:hAnsi="Times New Roman"/>
              </w:rPr>
            </w:pPr>
          </w:p>
        </w:tc>
        <w:tc>
          <w:tcPr>
            <w:tcW w:w="8974" w:type="dxa"/>
            <w:vAlign w:val="center"/>
          </w:tcPr>
          <w:p>
            <w:pPr>
              <w:widowControl/>
              <w:spacing w:line="440" w:lineRule="exact"/>
              <w:ind w:firstLine="482" w:firstLineChars="200"/>
              <w:jc w:val="both"/>
              <w:rPr>
                <w:rFonts w:ascii="Times New Roman" w:hAnsi="Times New Roman"/>
                <w:b/>
                <w:bCs/>
                <w:sz w:val="24"/>
                <w:szCs w:val="24"/>
                <w:lang w:val="en-US"/>
              </w:rPr>
            </w:pPr>
            <w:r>
              <w:rPr>
                <w:rFonts w:ascii="Times New Roman" w:hAnsi="Times New Roman"/>
                <w:b/>
                <w:bCs/>
                <w:sz w:val="24"/>
                <w:szCs w:val="24"/>
                <w:lang w:val="en-US"/>
              </w:rPr>
              <w:t>1、环境空气质量现状</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该项目区环境质量现状数据引用《2021年淮南市环境质量状况公报》，项目产生的特征因子引用《安徽凤台经济开发区环境影响区域评估报告（2020版）》现状监测数据，具体数据如下所示：</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（1）环境空气质量现状</w:t>
            </w:r>
          </w:p>
          <w:p>
            <w:pPr>
              <w:pStyle w:val="2"/>
              <w:spacing w:after="0" w:line="440" w:lineRule="exact"/>
              <w:ind w:left="0" w:leftChars="0" w:firstLine="480"/>
              <w:jc w:val="both"/>
              <w:rPr>
                <w:rFonts w:ascii="Times New Roman" w:hAnsi="Times New Roman"/>
                <w:sz w:val="24"/>
              </w:rPr>
            </w:pPr>
            <w:r>
              <w:rPr>
                <w:rFonts w:ascii="Times New Roman" w:hAnsi="Times New Roman"/>
                <w:sz w:val="24"/>
              </w:rPr>
              <w:t>2021年空气质量综合指数4.16，环境空气质量优良天数比例为74.8％。空气质量综合指数与上年相比降低9.8%，优良天数比例比上年增加2.1个百分点。</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2021年，淮南市市区环境空气中的主要污染物二氧化硫（SO</w:t>
            </w:r>
            <w:r>
              <w:rPr>
                <w:rFonts w:ascii="Times New Roman" w:hAnsi="Times New Roman"/>
                <w:sz w:val="24"/>
                <w:szCs w:val="24"/>
                <w:vertAlign w:val="subscript"/>
              </w:rPr>
              <w:t>2</w:t>
            </w:r>
            <w:r>
              <w:rPr>
                <w:rFonts w:ascii="Times New Roman" w:hAnsi="Times New Roman"/>
                <w:sz w:val="24"/>
                <w:szCs w:val="24"/>
              </w:rPr>
              <w:t>）年均浓度、二氧化氮（NO</w:t>
            </w:r>
            <w:r>
              <w:rPr>
                <w:rFonts w:ascii="Times New Roman" w:hAnsi="Times New Roman"/>
                <w:sz w:val="24"/>
                <w:szCs w:val="24"/>
                <w:vertAlign w:val="subscript"/>
              </w:rPr>
              <w:t>2</w:t>
            </w:r>
            <w:r>
              <w:rPr>
                <w:rFonts w:ascii="Times New Roman" w:hAnsi="Times New Roman"/>
                <w:sz w:val="24"/>
                <w:szCs w:val="24"/>
              </w:rPr>
              <w:t>）年均浓度、可吸入颗粒物（PM</w:t>
            </w:r>
            <w:r>
              <w:rPr>
                <w:rFonts w:ascii="Times New Roman" w:hAnsi="Times New Roman"/>
                <w:sz w:val="24"/>
                <w:szCs w:val="24"/>
                <w:vertAlign w:val="subscript"/>
              </w:rPr>
              <w:t>10</w:t>
            </w:r>
            <w:r>
              <w:rPr>
                <w:rFonts w:ascii="Times New Roman" w:hAnsi="Times New Roman"/>
                <w:sz w:val="24"/>
                <w:szCs w:val="24"/>
              </w:rPr>
              <w:t>）年均浓度、细颗粒物（PM</w:t>
            </w:r>
            <w:r>
              <w:rPr>
                <w:rFonts w:ascii="Times New Roman" w:hAnsi="Times New Roman"/>
                <w:sz w:val="24"/>
                <w:szCs w:val="24"/>
                <w:vertAlign w:val="subscript"/>
              </w:rPr>
              <w:t>2.5</w:t>
            </w:r>
            <w:r>
              <w:rPr>
                <w:rFonts w:ascii="Times New Roman" w:hAnsi="Times New Roman"/>
                <w:sz w:val="24"/>
                <w:szCs w:val="24"/>
              </w:rPr>
              <w:t>）年均浓度、一氧化碳（CO）日均值第95百分位浓度、臭氧（O</w:t>
            </w:r>
            <w:r>
              <w:rPr>
                <w:rFonts w:ascii="Times New Roman" w:hAnsi="Times New Roman"/>
                <w:sz w:val="24"/>
                <w:szCs w:val="24"/>
                <w:vertAlign w:val="subscript"/>
              </w:rPr>
              <w:t>3</w:t>
            </w:r>
            <w:r>
              <w:rPr>
                <w:rFonts w:ascii="Times New Roman" w:hAnsi="Times New Roman"/>
                <w:sz w:val="24"/>
                <w:szCs w:val="24"/>
              </w:rPr>
              <w:t>）日最大8小时平均第90百分位浓度分别为8微克/立方米、23微克/立方米、71微克/立方米、42微克/立方米、0.9毫克/立方米和162微克/立方米，二氧化硫（SO</w:t>
            </w:r>
            <w:r>
              <w:rPr>
                <w:rFonts w:ascii="Times New Roman" w:hAnsi="Times New Roman"/>
                <w:sz w:val="24"/>
                <w:szCs w:val="24"/>
                <w:vertAlign w:val="subscript"/>
              </w:rPr>
              <w:t>2</w:t>
            </w:r>
            <w:r>
              <w:rPr>
                <w:rFonts w:ascii="Times New Roman" w:hAnsi="Times New Roman"/>
                <w:sz w:val="24"/>
                <w:szCs w:val="24"/>
              </w:rPr>
              <w:t>）、二氧化氮（NO</w:t>
            </w:r>
            <w:r>
              <w:rPr>
                <w:rFonts w:ascii="Times New Roman" w:hAnsi="Times New Roman"/>
                <w:sz w:val="24"/>
                <w:szCs w:val="24"/>
                <w:vertAlign w:val="subscript"/>
              </w:rPr>
              <w:t>2</w:t>
            </w:r>
            <w:r>
              <w:rPr>
                <w:rFonts w:ascii="Times New Roman" w:hAnsi="Times New Roman"/>
                <w:sz w:val="24"/>
                <w:szCs w:val="24"/>
              </w:rPr>
              <w:t>）、一氧化碳（CO）均符合《环境空气质量标准》（GB3095-2012）二级标准，可吸入颗粒物（PM</w:t>
            </w:r>
            <w:r>
              <w:rPr>
                <w:rFonts w:ascii="Times New Roman" w:hAnsi="Times New Roman"/>
                <w:sz w:val="24"/>
                <w:szCs w:val="24"/>
                <w:vertAlign w:val="subscript"/>
              </w:rPr>
              <w:t>10</w:t>
            </w:r>
            <w:r>
              <w:rPr>
                <w:rFonts w:ascii="Times New Roman" w:hAnsi="Times New Roman"/>
                <w:sz w:val="24"/>
                <w:szCs w:val="24"/>
              </w:rPr>
              <w:t>）年均浓度、臭氧（O</w:t>
            </w:r>
            <w:r>
              <w:rPr>
                <w:rFonts w:ascii="Times New Roman" w:hAnsi="Times New Roman"/>
                <w:sz w:val="24"/>
                <w:szCs w:val="24"/>
                <w:vertAlign w:val="subscript"/>
              </w:rPr>
              <w:t>3</w:t>
            </w:r>
            <w:r>
              <w:rPr>
                <w:rFonts w:ascii="Times New Roman" w:hAnsi="Times New Roman"/>
                <w:sz w:val="24"/>
                <w:szCs w:val="24"/>
              </w:rPr>
              <w:t>）和细颗粒物（PM</w:t>
            </w:r>
            <w:r>
              <w:rPr>
                <w:rFonts w:ascii="Times New Roman" w:hAnsi="Times New Roman"/>
                <w:sz w:val="24"/>
                <w:szCs w:val="24"/>
                <w:vertAlign w:val="subscript"/>
              </w:rPr>
              <w:t>2.5</w:t>
            </w:r>
            <w:r>
              <w:rPr>
                <w:rFonts w:ascii="Times New Roman" w:hAnsi="Times New Roman"/>
                <w:sz w:val="24"/>
                <w:szCs w:val="24"/>
              </w:rPr>
              <w:t>）年均浓度分别超过《环境空气质量标准》（GB3095-2012）二级标准0.01倍、0.01倍和0.20倍。市区环境空气中的主要污染物二氧化硫（SO</w:t>
            </w:r>
            <w:r>
              <w:rPr>
                <w:rFonts w:ascii="Times New Roman" w:hAnsi="Times New Roman"/>
                <w:sz w:val="24"/>
                <w:szCs w:val="24"/>
                <w:vertAlign w:val="subscript"/>
              </w:rPr>
              <w:t>2</w:t>
            </w:r>
            <w:r>
              <w:rPr>
                <w:rFonts w:ascii="Times New Roman" w:hAnsi="Times New Roman"/>
                <w:sz w:val="24"/>
                <w:szCs w:val="24"/>
              </w:rPr>
              <w:t>）、二氧化氮（NO</w:t>
            </w:r>
            <w:r>
              <w:rPr>
                <w:rFonts w:ascii="Times New Roman" w:hAnsi="Times New Roman"/>
                <w:sz w:val="24"/>
                <w:szCs w:val="24"/>
                <w:vertAlign w:val="subscript"/>
              </w:rPr>
              <w:t>2</w:t>
            </w:r>
            <w:r>
              <w:rPr>
                <w:rFonts w:ascii="Times New Roman" w:hAnsi="Times New Roman"/>
                <w:sz w:val="24"/>
                <w:szCs w:val="24"/>
              </w:rPr>
              <w:t>）、可吸入颗粒物（PM</w:t>
            </w:r>
            <w:r>
              <w:rPr>
                <w:rFonts w:ascii="Times New Roman" w:hAnsi="Times New Roman"/>
                <w:sz w:val="24"/>
                <w:szCs w:val="24"/>
                <w:vertAlign w:val="subscript"/>
              </w:rPr>
              <w:t>10</w:t>
            </w:r>
            <w:r>
              <w:rPr>
                <w:rFonts w:ascii="Times New Roman" w:hAnsi="Times New Roman"/>
                <w:sz w:val="24"/>
                <w:szCs w:val="24"/>
              </w:rPr>
              <w:t>）、细颗粒物（PM</w:t>
            </w:r>
            <w:r>
              <w:rPr>
                <w:rFonts w:ascii="Times New Roman" w:hAnsi="Times New Roman"/>
                <w:sz w:val="24"/>
                <w:szCs w:val="24"/>
                <w:vertAlign w:val="subscript"/>
              </w:rPr>
              <w:t>2.5</w:t>
            </w:r>
            <w:r>
              <w:rPr>
                <w:rFonts w:ascii="Times New Roman" w:hAnsi="Times New Roman"/>
                <w:sz w:val="24"/>
                <w:szCs w:val="24"/>
              </w:rPr>
              <w:t>）、一氧化碳（CO）日均值第95百分位浓度分别较上年减少20.0%、17.9%、6.6%、12.5%、18.2%；臭氧（O</w:t>
            </w:r>
            <w:r>
              <w:rPr>
                <w:rFonts w:ascii="Times New Roman" w:hAnsi="Times New Roman"/>
                <w:sz w:val="24"/>
                <w:szCs w:val="24"/>
                <w:vertAlign w:val="subscript"/>
              </w:rPr>
              <w:t>3</w:t>
            </w:r>
            <w:r>
              <w:rPr>
                <w:rFonts w:ascii="Times New Roman" w:hAnsi="Times New Roman"/>
                <w:sz w:val="24"/>
                <w:szCs w:val="24"/>
              </w:rPr>
              <w:t>）日最大8小时平均第90百分位浓度较上年增加1.3%。项目所在地为大气环境空气质量不达标区。具体现状数据如下表所示。</w:t>
            </w:r>
          </w:p>
          <w:p>
            <w:pPr>
              <w:spacing w:line="440" w:lineRule="exact"/>
              <w:jc w:val="center"/>
              <w:rPr>
                <w:rFonts w:ascii="Times New Roman" w:hAnsi="Times New Roman"/>
                <w:b/>
                <w:bCs/>
              </w:rPr>
            </w:pPr>
            <w:r>
              <w:rPr>
                <w:rFonts w:ascii="Times New Roman" w:hAnsi="Times New Roman"/>
                <w:b/>
                <w:bCs/>
              </w:rPr>
              <w:t>表3-1  项目所在区域基本污染物环境质量现状评价一览表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961"/>
              <w:gridCol w:w="1419"/>
              <w:gridCol w:w="1442"/>
              <w:gridCol w:w="1375"/>
              <w:gridCol w:w="14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6" w:type="dxa"/>
                  <w:vAlign w:val="center"/>
                </w:tcPr>
                <w:p>
                  <w:pPr>
                    <w:widowControl/>
                    <w:snapToGrid w:val="0"/>
                    <w:jc w:val="center"/>
                    <w:rPr>
                      <w:rFonts w:ascii="Times New Roman" w:hAnsi="Times New Roman"/>
                      <w:b/>
                      <w:bCs/>
                    </w:rPr>
                  </w:pPr>
                  <w:r>
                    <w:rPr>
                      <w:rFonts w:ascii="Times New Roman" w:hAnsi="Times New Roman"/>
                      <w:b/>
                      <w:bCs/>
                    </w:rPr>
                    <w:t>污染物</w:t>
                  </w:r>
                </w:p>
              </w:tc>
              <w:tc>
                <w:tcPr>
                  <w:tcW w:w="1787" w:type="dxa"/>
                  <w:vAlign w:val="center"/>
                </w:tcPr>
                <w:p>
                  <w:pPr>
                    <w:widowControl/>
                    <w:snapToGrid w:val="0"/>
                    <w:jc w:val="center"/>
                    <w:rPr>
                      <w:rFonts w:ascii="Times New Roman" w:hAnsi="Times New Roman"/>
                      <w:b/>
                      <w:bCs/>
                    </w:rPr>
                  </w:pPr>
                  <w:r>
                    <w:rPr>
                      <w:rFonts w:ascii="Times New Roman" w:hAnsi="Times New Roman"/>
                      <w:b/>
                      <w:bCs/>
                    </w:rPr>
                    <w:t>评价标准</w:t>
                  </w:r>
                </w:p>
              </w:tc>
              <w:tc>
                <w:tcPr>
                  <w:tcW w:w="1293" w:type="dxa"/>
                  <w:vAlign w:val="center"/>
                </w:tcPr>
                <w:p>
                  <w:pPr>
                    <w:widowControl/>
                    <w:snapToGrid w:val="0"/>
                    <w:jc w:val="center"/>
                    <w:rPr>
                      <w:rFonts w:ascii="Times New Roman" w:hAnsi="Times New Roman"/>
                      <w:b/>
                      <w:bCs/>
                    </w:rPr>
                  </w:pPr>
                  <w:r>
                    <w:rPr>
                      <w:rFonts w:ascii="Times New Roman" w:hAnsi="Times New Roman"/>
                      <w:b/>
                      <w:bCs/>
                    </w:rPr>
                    <w:t>年均浓度</w:t>
                  </w:r>
                </w:p>
                <w:p>
                  <w:pPr>
                    <w:widowControl/>
                    <w:snapToGrid w:val="0"/>
                    <w:jc w:val="center"/>
                    <w:rPr>
                      <w:rFonts w:ascii="Times New Roman" w:hAnsi="Times New Roman"/>
                      <w:b/>
                      <w:bCs/>
                    </w:rPr>
                  </w:pPr>
                  <w:r>
                    <w:rPr>
                      <w:rFonts w:ascii="Times New Roman" w:hAnsi="Times New Roman"/>
                      <w:b/>
                      <w:bCs/>
                    </w:rPr>
                    <w:t>（μg/m</w:t>
                  </w:r>
                  <w:r>
                    <w:rPr>
                      <w:rFonts w:ascii="Times New Roman" w:hAnsi="Times New Roman"/>
                      <w:b/>
                      <w:bCs/>
                      <w:vertAlign w:val="superscript"/>
                    </w:rPr>
                    <w:t>3</w:t>
                  </w:r>
                  <w:r>
                    <w:rPr>
                      <w:rFonts w:ascii="Times New Roman" w:hAnsi="Times New Roman"/>
                      <w:b/>
                      <w:bCs/>
                    </w:rPr>
                    <w:t>）</w:t>
                  </w:r>
                </w:p>
              </w:tc>
              <w:tc>
                <w:tcPr>
                  <w:tcW w:w="1314" w:type="dxa"/>
                  <w:vAlign w:val="center"/>
                </w:tcPr>
                <w:p>
                  <w:pPr>
                    <w:widowControl/>
                    <w:snapToGrid w:val="0"/>
                    <w:jc w:val="center"/>
                    <w:rPr>
                      <w:rFonts w:ascii="Times New Roman" w:hAnsi="Times New Roman"/>
                      <w:b/>
                      <w:bCs/>
                    </w:rPr>
                  </w:pPr>
                  <w:r>
                    <w:rPr>
                      <w:rFonts w:ascii="Times New Roman" w:hAnsi="Times New Roman"/>
                      <w:b/>
                      <w:bCs/>
                    </w:rPr>
                    <w:t>标准值</w:t>
                  </w:r>
                </w:p>
                <w:p>
                  <w:pPr>
                    <w:widowControl/>
                    <w:snapToGrid w:val="0"/>
                    <w:jc w:val="center"/>
                    <w:rPr>
                      <w:rFonts w:ascii="Times New Roman" w:hAnsi="Times New Roman"/>
                      <w:b/>
                      <w:bCs/>
                    </w:rPr>
                  </w:pPr>
                  <w:r>
                    <w:rPr>
                      <w:rFonts w:ascii="Times New Roman" w:hAnsi="Times New Roman"/>
                      <w:b/>
                      <w:bCs/>
                    </w:rPr>
                    <w:t>（μg/m</w:t>
                  </w:r>
                  <w:r>
                    <w:rPr>
                      <w:rFonts w:ascii="Times New Roman" w:hAnsi="Times New Roman"/>
                      <w:b/>
                      <w:bCs/>
                      <w:vertAlign w:val="superscript"/>
                    </w:rPr>
                    <w:t>3</w:t>
                  </w:r>
                  <w:r>
                    <w:rPr>
                      <w:rFonts w:ascii="Times New Roman" w:hAnsi="Times New Roman"/>
                      <w:b/>
                      <w:bCs/>
                    </w:rPr>
                    <w:t>）</w:t>
                  </w:r>
                </w:p>
              </w:tc>
              <w:tc>
                <w:tcPr>
                  <w:tcW w:w="1253" w:type="dxa"/>
                  <w:vAlign w:val="center"/>
                </w:tcPr>
                <w:p>
                  <w:pPr>
                    <w:widowControl/>
                    <w:snapToGrid w:val="0"/>
                    <w:jc w:val="center"/>
                    <w:rPr>
                      <w:rFonts w:ascii="Times New Roman" w:hAnsi="Times New Roman"/>
                      <w:b/>
                      <w:bCs/>
                    </w:rPr>
                  </w:pPr>
                  <w:r>
                    <w:rPr>
                      <w:rFonts w:ascii="Times New Roman" w:hAnsi="Times New Roman"/>
                      <w:b/>
                      <w:bCs/>
                    </w:rPr>
                    <w:t>占标率%</w:t>
                  </w:r>
                </w:p>
              </w:tc>
              <w:tc>
                <w:tcPr>
                  <w:tcW w:w="1298" w:type="dxa"/>
                  <w:vAlign w:val="center"/>
                </w:tcPr>
                <w:p>
                  <w:pPr>
                    <w:widowControl/>
                    <w:snapToGrid w:val="0"/>
                    <w:jc w:val="center"/>
                    <w:rPr>
                      <w:rFonts w:ascii="Times New Roman" w:hAnsi="Times New Roman"/>
                      <w:b/>
                      <w:bCs/>
                    </w:rPr>
                  </w:pPr>
                  <w:r>
                    <w:rPr>
                      <w:rFonts w:ascii="Times New Roman" w:hAnsi="Times New Roman"/>
                      <w:b/>
                      <w:bC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6" w:type="dxa"/>
                  <w:vAlign w:val="center"/>
                </w:tcPr>
                <w:p>
                  <w:pPr>
                    <w:widowControl/>
                    <w:snapToGrid w:val="0"/>
                    <w:jc w:val="center"/>
                    <w:rPr>
                      <w:rFonts w:ascii="Times New Roman" w:hAnsi="Times New Roman"/>
                    </w:rPr>
                  </w:pPr>
                  <w:r>
                    <w:rPr>
                      <w:rFonts w:ascii="Times New Roman" w:hAnsi="Times New Roman"/>
                    </w:rPr>
                    <w:t>PM</w:t>
                  </w:r>
                  <w:r>
                    <w:rPr>
                      <w:rFonts w:ascii="Times New Roman" w:hAnsi="Times New Roman"/>
                      <w:vertAlign w:val="subscript"/>
                    </w:rPr>
                    <w:t>10</w:t>
                  </w:r>
                </w:p>
              </w:tc>
              <w:tc>
                <w:tcPr>
                  <w:tcW w:w="1787" w:type="dxa"/>
                  <w:vAlign w:val="center"/>
                </w:tcPr>
                <w:p>
                  <w:pPr>
                    <w:widowControl/>
                    <w:snapToGrid w:val="0"/>
                    <w:jc w:val="center"/>
                    <w:rPr>
                      <w:rFonts w:ascii="Times New Roman" w:hAnsi="Times New Roman"/>
                    </w:rPr>
                  </w:pPr>
                  <w:r>
                    <w:rPr>
                      <w:rFonts w:ascii="Times New Roman" w:hAnsi="Times New Roman"/>
                    </w:rPr>
                    <w:t>年平均浓度</w:t>
                  </w:r>
                </w:p>
              </w:tc>
              <w:tc>
                <w:tcPr>
                  <w:tcW w:w="1293" w:type="dxa"/>
                  <w:vAlign w:val="center"/>
                </w:tcPr>
                <w:p>
                  <w:pPr>
                    <w:widowControl/>
                    <w:snapToGrid w:val="0"/>
                    <w:jc w:val="center"/>
                    <w:rPr>
                      <w:rFonts w:ascii="Times New Roman" w:hAnsi="Times New Roman"/>
                    </w:rPr>
                  </w:pPr>
                  <w:r>
                    <w:rPr>
                      <w:rFonts w:ascii="Times New Roman" w:hAnsi="Times New Roman"/>
                    </w:rPr>
                    <w:t>71</w:t>
                  </w:r>
                </w:p>
              </w:tc>
              <w:tc>
                <w:tcPr>
                  <w:tcW w:w="1314" w:type="dxa"/>
                  <w:vAlign w:val="center"/>
                </w:tcPr>
                <w:p>
                  <w:pPr>
                    <w:widowControl/>
                    <w:snapToGrid w:val="0"/>
                    <w:jc w:val="center"/>
                    <w:rPr>
                      <w:rFonts w:ascii="Times New Roman" w:hAnsi="Times New Roman"/>
                    </w:rPr>
                  </w:pPr>
                  <w:r>
                    <w:rPr>
                      <w:rFonts w:ascii="Times New Roman" w:hAnsi="Times New Roman"/>
                    </w:rPr>
                    <w:t>70</w:t>
                  </w:r>
                </w:p>
              </w:tc>
              <w:tc>
                <w:tcPr>
                  <w:tcW w:w="1253" w:type="dxa"/>
                  <w:vAlign w:val="center"/>
                </w:tcPr>
                <w:p>
                  <w:pPr>
                    <w:widowControl/>
                    <w:snapToGrid w:val="0"/>
                    <w:jc w:val="center"/>
                    <w:rPr>
                      <w:rFonts w:ascii="Times New Roman" w:hAnsi="Times New Roman"/>
                    </w:rPr>
                  </w:pPr>
                  <w:r>
                    <w:rPr>
                      <w:rFonts w:ascii="Times New Roman" w:hAnsi="Times New Roman"/>
                    </w:rPr>
                    <w:t>101.43</w:t>
                  </w:r>
                </w:p>
              </w:tc>
              <w:tc>
                <w:tcPr>
                  <w:tcW w:w="1298" w:type="dxa"/>
                  <w:vAlign w:val="center"/>
                </w:tcPr>
                <w:p>
                  <w:pPr>
                    <w:widowControl/>
                    <w:snapToGrid w:val="0"/>
                    <w:jc w:val="center"/>
                    <w:rPr>
                      <w:rFonts w:ascii="Times New Roman" w:hAnsi="Times New Roman"/>
                    </w:rPr>
                  </w:pPr>
                  <w:r>
                    <w:rPr>
                      <w:rFonts w:ascii="Times New Roman" w:hAnsi="Times New Roma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6" w:type="dxa"/>
                  <w:vAlign w:val="center"/>
                </w:tcPr>
                <w:p>
                  <w:pPr>
                    <w:widowControl/>
                    <w:snapToGrid w:val="0"/>
                    <w:jc w:val="center"/>
                    <w:rPr>
                      <w:rFonts w:ascii="Times New Roman" w:hAnsi="Times New Roman"/>
                    </w:rPr>
                  </w:pPr>
                  <w:r>
                    <w:rPr>
                      <w:rFonts w:ascii="Times New Roman" w:hAnsi="Times New Roman"/>
                    </w:rPr>
                    <w:t>PM</w:t>
                  </w:r>
                  <w:r>
                    <w:rPr>
                      <w:rFonts w:ascii="Times New Roman" w:hAnsi="Times New Roman"/>
                      <w:vertAlign w:val="subscript"/>
                    </w:rPr>
                    <w:t>2.5</w:t>
                  </w:r>
                </w:p>
              </w:tc>
              <w:tc>
                <w:tcPr>
                  <w:tcW w:w="1787" w:type="dxa"/>
                  <w:vAlign w:val="center"/>
                </w:tcPr>
                <w:p>
                  <w:pPr>
                    <w:widowControl/>
                    <w:snapToGrid w:val="0"/>
                    <w:jc w:val="center"/>
                    <w:rPr>
                      <w:rFonts w:ascii="Times New Roman" w:hAnsi="Times New Roman"/>
                    </w:rPr>
                  </w:pPr>
                  <w:r>
                    <w:rPr>
                      <w:rFonts w:ascii="Times New Roman" w:hAnsi="Times New Roman"/>
                    </w:rPr>
                    <w:t>年平均浓度</w:t>
                  </w:r>
                </w:p>
              </w:tc>
              <w:tc>
                <w:tcPr>
                  <w:tcW w:w="1293" w:type="dxa"/>
                  <w:vAlign w:val="center"/>
                </w:tcPr>
                <w:p>
                  <w:pPr>
                    <w:widowControl/>
                    <w:snapToGrid w:val="0"/>
                    <w:jc w:val="center"/>
                    <w:rPr>
                      <w:rFonts w:ascii="Times New Roman" w:hAnsi="Times New Roman"/>
                    </w:rPr>
                  </w:pPr>
                  <w:r>
                    <w:rPr>
                      <w:rFonts w:ascii="Times New Roman" w:hAnsi="Times New Roman"/>
                    </w:rPr>
                    <w:t>42</w:t>
                  </w:r>
                </w:p>
              </w:tc>
              <w:tc>
                <w:tcPr>
                  <w:tcW w:w="1314" w:type="dxa"/>
                  <w:vAlign w:val="center"/>
                </w:tcPr>
                <w:p>
                  <w:pPr>
                    <w:widowControl/>
                    <w:snapToGrid w:val="0"/>
                    <w:jc w:val="center"/>
                    <w:rPr>
                      <w:rFonts w:ascii="Times New Roman" w:hAnsi="Times New Roman"/>
                    </w:rPr>
                  </w:pPr>
                  <w:r>
                    <w:rPr>
                      <w:rFonts w:ascii="Times New Roman" w:hAnsi="Times New Roman"/>
                    </w:rPr>
                    <w:t>35</w:t>
                  </w:r>
                </w:p>
              </w:tc>
              <w:tc>
                <w:tcPr>
                  <w:tcW w:w="1253" w:type="dxa"/>
                  <w:vAlign w:val="center"/>
                </w:tcPr>
                <w:p>
                  <w:pPr>
                    <w:widowControl/>
                    <w:snapToGrid w:val="0"/>
                    <w:jc w:val="center"/>
                    <w:rPr>
                      <w:rFonts w:ascii="Times New Roman" w:hAnsi="Times New Roman"/>
                    </w:rPr>
                  </w:pPr>
                  <w:r>
                    <w:rPr>
                      <w:rFonts w:ascii="Times New Roman" w:hAnsi="Times New Roman"/>
                    </w:rPr>
                    <w:t>120</w:t>
                  </w:r>
                </w:p>
              </w:tc>
              <w:tc>
                <w:tcPr>
                  <w:tcW w:w="1298" w:type="dxa"/>
                  <w:vAlign w:val="center"/>
                </w:tcPr>
                <w:p>
                  <w:pPr>
                    <w:widowControl/>
                    <w:snapToGrid w:val="0"/>
                    <w:jc w:val="center"/>
                    <w:rPr>
                      <w:rFonts w:ascii="Times New Roman" w:hAnsi="Times New Roman"/>
                    </w:rPr>
                  </w:pPr>
                  <w:r>
                    <w:rPr>
                      <w:rFonts w:ascii="Times New Roman" w:hAnsi="Times New Roma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6" w:type="dxa"/>
                  <w:vAlign w:val="center"/>
                </w:tcPr>
                <w:p>
                  <w:pPr>
                    <w:widowControl/>
                    <w:snapToGrid w:val="0"/>
                    <w:jc w:val="center"/>
                    <w:rPr>
                      <w:rFonts w:ascii="Times New Roman" w:hAnsi="Times New Roman"/>
                    </w:rPr>
                  </w:pPr>
                  <w:r>
                    <w:rPr>
                      <w:rFonts w:ascii="Times New Roman" w:hAnsi="Times New Roman"/>
                    </w:rPr>
                    <w:t>SO</w:t>
                  </w:r>
                  <w:r>
                    <w:rPr>
                      <w:rFonts w:ascii="Times New Roman" w:hAnsi="Times New Roman"/>
                      <w:vertAlign w:val="subscript"/>
                    </w:rPr>
                    <w:t>2</w:t>
                  </w:r>
                </w:p>
              </w:tc>
              <w:tc>
                <w:tcPr>
                  <w:tcW w:w="1787" w:type="dxa"/>
                  <w:vAlign w:val="center"/>
                </w:tcPr>
                <w:p>
                  <w:pPr>
                    <w:widowControl/>
                    <w:snapToGrid w:val="0"/>
                    <w:jc w:val="center"/>
                    <w:rPr>
                      <w:rFonts w:ascii="Times New Roman" w:hAnsi="Times New Roman"/>
                    </w:rPr>
                  </w:pPr>
                  <w:r>
                    <w:rPr>
                      <w:rFonts w:ascii="Times New Roman" w:hAnsi="Times New Roman"/>
                    </w:rPr>
                    <w:t>年平均浓度</w:t>
                  </w:r>
                </w:p>
              </w:tc>
              <w:tc>
                <w:tcPr>
                  <w:tcW w:w="1293" w:type="dxa"/>
                  <w:vAlign w:val="center"/>
                </w:tcPr>
                <w:p>
                  <w:pPr>
                    <w:widowControl/>
                    <w:snapToGrid w:val="0"/>
                    <w:jc w:val="center"/>
                    <w:rPr>
                      <w:rFonts w:ascii="Times New Roman" w:hAnsi="Times New Roman"/>
                    </w:rPr>
                  </w:pPr>
                  <w:r>
                    <w:rPr>
                      <w:rFonts w:ascii="Times New Roman" w:hAnsi="Times New Roman"/>
                    </w:rPr>
                    <w:t>8</w:t>
                  </w:r>
                </w:p>
              </w:tc>
              <w:tc>
                <w:tcPr>
                  <w:tcW w:w="1314" w:type="dxa"/>
                  <w:vAlign w:val="center"/>
                </w:tcPr>
                <w:p>
                  <w:pPr>
                    <w:widowControl/>
                    <w:snapToGrid w:val="0"/>
                    <w:jc w:val="center"/>
                    <w:rPr>
                      <w:rFonts w:ascii="Times New Roman" w:hAnsi="Times New Roman"/>
                    </w:rPr>
                  </w:pPr>
                  <w:r>
                    <w:rPr>
                      <w:rFonts w:ascii="Times New Roman" w:hAnsi="Times New Roman"/>
                    </w:rPr>
                    <w:t>60</w:t>
                  </w:r>
                </w:p>
              </w:tc>
              <w:tc>
                <w:tcPr>
                  <w:tcW w:w="1253" w:type="dxa"/>
                  <w:vAlign w:val="center"/>
                </w:tcPr>
                <w:p>
                  <w:pPr>
                    <w:widowControl/>
                    <w:snapToGrid w:val="0"/>
                    <w:jc w:val="center"/>
                    <w:rPr>
                      <w:rFonts w:ascii="Times New Roman" w:hAnsi="Times New Roman"/>
                    </w:rPr>
                  </w:pPr>
                  <w:r>
                    <w:rPr>
                      <w:rFonts w:ascii="Times New Roman" w:hAnsi="Times New Roman"/>
                    </w:rPr>
                    <w:t>13.33</w:t>
                  </w:r>
                </w:p>
              </w:tc>
              <w:tc>
                <w:tcPr>
                  <w:tcW w:w="1298" w:type="dxa"/>
                  <w:vAlign w:val="center"/>
                </w:tcPr>
                <w:p>
                  <w:pPr>
                    <w:widowControl/>
                    <w:snapToGrid w:val="0"/>
                    <w:jc w:val="center"/>
                    <w:rPr>
                      <w:rFonts w:ascii="Times New Roman" w:hAnsi="Times New Roman"/>
                    </w:rPr>
                  </w:pPr>
                  <w:r>
                    <w:rPr>
                      <w:rFonts w:ascii="Times New Roman" w:hAnsi="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6" w:type="dxa"/>
                  <w:vAlign w:val="center"/>
                </w:tcPr>
                <w:p>
                  <w:pPr>
                    <w:widowControl/>
                    <w:snapToGrid w:val="0"/>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1787" w:type="dxa"/>
                  <w:vAlign w:val="center"/>
                </w:tcPr>
                <w:p>
                  <w:pPr>
                    <w:widowControl/>
                    <w:snapToGrid w:val="0"/>
                    <w:jc w:val="center"/>
                    <w:rPr>
                      <w:rFonts w:ascii="Times New Roman" w:hAnsi="Times New Roman"/>
                    </w:rPr>
                  </w:pPr>
                  <w:r>
                    <w:rPr>
                      <w:rFonts w:ascii="Times New Roman" w:hAnsi="Times New Roman"/>
                    </w:rPr>
                    <w:t>年平均浓度</w:t>
                  </w:r>
                </w:p>
              </w:tc>
              <w:tc>
                <w:tcPr>
                  <w:tcW w:w="1293" w:type="dxa"/>
                  <w:vAlign w:val="center"/>
                </w:tcPr>
                <w:p>
                  <w:pPr>
                    <w:widowControl/>
                    <w:snapToGrid w:val="0"/>
                    <w:jc w:val="center"/>
                    <w:rPr>
                      <w:rFonts w:ascii="Times New Roman" w:hAnsi="Times New Roman"/>
                    </w:rPr>
                  </w:pPr>
                  <w:r>
                    <w:rPr>
                      <w:rFonts w:ascii="Times New Roman" w:hAnsi="Times New Roman"/>
                    </w:rPr>
                    <w:t>23</w:t>
                  </w:r>
                </w:p>
              </w:tc>
              <w:tc>
                <w:tcPr>
                  <w:tcW w:w="1314" w:type="dxa"/>
                  <w:vAlign w:val="center"/>
                </w:tcPr>
                <w:p>
                  <w:pPr>
                    <w:widowControl/>
                    <w:snapToGrid w:val="0"/>
                    <w:jc w:val="center"/>
                    <w:rPr>
                      <w:rFonts w:ascii="Times New Roman" w:hAnsi="Times New Roman"/>
                    </w:rPr>
                  </w:pPr>
                  <w:r>
                    <w:rPr>
                      <w:rFonts w:ascii="Times New Roman" w:hAnsi="Times New Roman"/>
                    </w:rPr>
                    <w:t>40</w:t>
                  </w:r>
                </w:p>
              </w:tc>
              <w:tc>
                <w:tcPr>
                  <w:tcW w:w="1253" w:type="dxa"/>
                  <w:vAlign w:val="center"/>
                </w:tcPr>
                <w:p>
                  <w:pPr>
                    <w:widowControl/>
                    <w:snapToGrid w:val="0"/>
                    <w:jc w:val="center"/>
                    <w:rPr>
                      <w:rFonts w:ascii="Times New Roman" w:hAnsi="Times New Roman"/>
                    </w:rPr>
                  </w:pPr>
                  <w:r>
                    <w:rPr>
                      <w:rFonts w:ascii="Times New Roman" w:hAnsi="Times New Roman"/>
                    </w:rPr>
                    <w:t>57.5</w:t>
                  </w:r>
                </w:p>
              </w:tc>
              <w:tc>
                <w:tcPr>
                  <w:tcW w:w="1298" w:type="dxa"/>
                  <w:vAlign w:val="center"/>
                </w:tcPr>
                <w:p>
                  <w:pPr>
                    <w:widowControl/>
                    <w:snapToGrid w:val="0"/>
                    <w:jc w:val="center"/>
                    <w:rPr>
                      <w:rFonts w:ascii="Times New Roman" w:hAnsi="Times New Roman"/>
                    </w:rPr>
                  </w:pPr>
                  <w:r>
                    <w:rPr>
                      <w:rFonts w:ascii="Times New Roman" w:hAnsi="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6" w:type="dxa"/>
                  <w:vAlign w:val="center"/>
                </w:tcPr>
                <w:p>
                  <w:pPr>
                    <w:widowControl/>
                    <w:snapToGrid w:val="0"/>
                    <w:jc w:val="center"/>
                    <w:rPr>
                      <w:rFonts w:ascii="Times New Roman" w:hAnsi="Times New Roman"/>
                    </w:rPr>
                  </w:pPr>
                  <w:r>
                    <w:rPr>
                      <w:rFonts w:ascii="Times New Roman" w:hAnsi="Times New Roman"/>
                    </w:rPr>
                    <w:t>CO</w:t>
                  </w:r>
                </w:p>
              </w:tc>
              <w:tc>
                <w:tcPr>
                  <w:tcW w:w="1787" w:type="dxa"/>
                  <w:vAlign w:val="center"/>
                </w:tcPr>
                <w:p>
                  <w:pPr>
                    <w:widowControl/>
                    <w:snapToGrid w:val="0"/>
                    <w:jc w:val="center"/>
                    <w:rPr>
                      <w:rFonts w:ascii="Times New Roman" w:hAnsi="Times New Roman"/>
                    </w:rPr>
                  </w:pPr>
                  <w:r>
                    <w:rPr>
                      <w:rFonts w:ascii="Times New Roman" w:hAnsi="Times New Roman"/>
                    </w:rPr>
                    <w:t>日平均第95百分位质量浓度</w:t>
                  </w:r>
                </w:p>
              </w:tc>
              <w:tc>
                <w:tcPr>
                  <w:tcW w:w="1293" w:type="dxa"/>
                  <w:vAlign w:val="center"/>
                </w:tcPr>
                <w:p>
                  <w:pPr>
                    <w:widowControl/>
                    <w:snapToGrid w:val="0"/>
                    <w:jc w:val="center"/>
                    <w:rPr>
                      <w:rFonts w:ascii="Times New Roman" w:hAnsi="Times New Roman"/>
                    </w:rPr>
                  </w:pPr>
                  <w:r>
                    <w:rPr>
                      <w:rFonts w:ascii="Times New Roman" w:hAnsi="Times New Roman"/>
                    </w:rPr>
                    <w:t>0.9mg/m</w:t>
                  </w:r>
                  <w:r>
                    <w:rPr>
                      <w:rFonts w:ascii="Times New Roman" w:hAnsi="Times New Roman"/>
                      <w:vertAlign w:val="superscript"/>
                    </w:rPr>
                    <w:t>3</w:t>
                  </w:r>
                </w:p>
              </w:tc>
              <w:tc>
                <w:tcPr>
                  <w:tcW w:w="1314" w:type="dxa"/>
                  <w:vAlign w:val="center"/>
                </w:tcPr>
                <w:p>
                  <w:pPr>
                    <w:widowControl/>
                    <w:snapToGrid w:val="0"/>
                    <w:jc w:val="center"/>
                    <w:rPr>
                      <w:rFonts w:ascii="Times New Roman" w:hAnsi="Times New Roman"/>
                    </w:rPr>
                  </w:pPr>
                  <w:r>
                    <w:rPr>
                      <w:rFonts w:ascii="Times New Roman" w:hAnsi="Times New Roman"/>
                    </w:rPr>
                    <w:t>4mg/m</w:t>
                  </w:r>
                  <w:r>
                    <w:rPr>
                      <w:rFonts w:ascii="Times New Roman" w:hAnsi="Times New Roman"/>
                      <w:vertAlign w:val="superscript"/>
                    </w:rPr>
                    <w:t>3</w:t>
                  </w:r>
                </w:p>
              </w:tc>
              <w:tc>
                <w:tcPr>
                  <w:tcW w:w="1253" w:type="dxa"/>
                  <w:vAlign w:val="center"/>
                </w:tcPr>
                <w:p>
                  <w:pPr>
                    <w:widowControl/>
                    <w:snapToGrid w:val="0"/>
                    <w:jc w:val="center"/>
                    <w:rPr>
                      <w:rFonts w:ascii="Times New Roman" w:hAnsi="Times New Roman"/>
                    </w:rPr>
                  </w:pPr>
                  <w:r>
                    <w:rPr>
                      <w:rFonts w:ascii="Times New Roman" w:hAnsi="Times New Roman"/>
                    </w:rPr>
                    <w:t>22.5</w:t>
                  </w:r>
                </w:p>
              </w:tc>
              <w:tc>
                <w:tcPr>
                  <w:tcW w:w="1298" w:type="dxa"/>
                  <w:vAlign w:val="center"/>
                </w:tcPr>
                <w:p>
                  <w:pPr>
                    <w:widowControl/>
                    <w:snapToGrid w:val="0"/>
                    <w:jc w:val="center"/>
                    <w:rPr>
                      <w:rFonts w:ascii="Times New Roman" w:hAnsi="Times New Roman"/>
                    </w:rPr>
                  </w:pPr>
                  <w:r>
                    <w:rPr>
                      <w:rFonts w:ascii="Times New Roman" w:hAnsi="Times New Roma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6" w:type="dxa"/>
                  <w:vAlign w:val="center"/>
                </w:tcPr>
                <w:p>
                  <w:pPr>
                    <w:widowControl/>
                    <w:snapToGrid w:val="0"/>
                    <w:jc w:val="center"/>
                    <w:rPr>
                      <w:rFonts w:ascii="Times New Roman" w:hAnsi="Times New Roman"/>
                    </w:rPr>
                  </w:pPr>
                  <w:r>
                    <w:rPr>
                      <w:rFonts w:ascii="Times New Roman" w:hAnsi="Times New Roman"/>
                    </w:rPr>
                    <w:t>O</w:t>
                  </w:r>
                  <w:r>
                    <w:rPr>
                      <w:rFonts w:ascii="Times New Roman" w:hAnsi="Times New Roman"/>
                      <w:vertAlign w:val="subscript"/>
                    </w:rPr>
                    <w:t>3</w:t>
                  </w:r>
                </w:p>
              </w:tc>
              <w:tc>
                <w:tcPr>
                  <w:tcW w:w="1787" w:type="dxa"/>
                  <w:vAlign w:val="center"/>
                </w:tcPr>
                <w:p>
                  <w:pPr>
                    <w:widowControl/>
                    <w:snapToGrid w:val="0"/>
                    <w:jc w:val="center"/>
                    <w:rPr>
                      <w:rFonts w:ascii="Times New Roman" w:hAnsi="Times New Roman"/>
                    </w:rPr>
                  </w:pPr>
                  <w:r>
                    <w:rPr>
                      <w:rFonts w:ascii="Times New Roman" w:hAnsi="Times New Roman"/>
                    </w:rPr>
                    <w:t>日最大8小时平均第90百分位质量浓度</w:t>
                  </w:r>
                </w:p>
              </w:tc>
              <w:tc>
                <w:tcPr>
                  <w:tcW w:w="1293" w:type="dxa"/>
                  <w:vAlign w:val="center"/>
                </w:tcPr>
                <w:p>
                  <w:pPr>
                    <w:widowControl/>
                    <w:snapToGrid w:val="0"/>
                    <w:jc w:val="center"/>
                    <w:rPr>
                      <w:rFonts w:ascii="Times New Roman" w:hAnsi="Times New Roman"/>
                    </w:rPr>
                  </w:pPr>
                  <w:r>
                    <w:rPr>
                      <w:rFonts w:ascii="Times New Roman" w:hAnsi="Times New Roman"/>
                    </w:rPr>
                    <w:t>162</w:t>
                  </w:r>
                </w:p>
              </w:tc>
              <w:tc>
                <w:tcPr>
                  <w:tcW w:w="1314" w:type="dxa"/>
                  <w:vAlign w:val="center"/>
                </w:tcPr>
                <w:p>
                  <w:pPr>
                    <w:widowControl/>
                    <w:snapToGrid w:val="0"/>
                    <w:jc w:val="center"/>
                    <w:rPr>
                      <w:rFonts w:ascii="Times New Roman" w:hAnsi="Times New Roman"/>
                    </w:rPr>
                  </w:pPr>
                  <w:r>
                    <w:rPr>
                      <w:rFonts w:ascii="Times New Roman" w:hAnsi="Times New Roman"/>
                    </w:rPr>
                    <w:t>160</w:t>
                  </w:r>
                </w:p>
              </w:tc>
              <w:tc>
                <w:tcPr>
                  <w:tcW w:w="1253" w:type="dxa"/>
                  <w:vAlign w:val="center"/>
                </w:tcPr>
                <w:p>
                  <w:pPr>
                    <w:widowControl/>
                    <w:snapToGrid w:val="0"/>
                    <w:jc w:val="center"/>
                    <w:rPr>
                      <w:rFonts w:ascii="Times New Roman" w:hAnsi="Times New Roman"/>
                    </w:rPr>
                  </w:pPr>
                  <w:r>
                    <w:rPr>
                      <w:rFonts w:ascii="Times New Roman" w:hAnsi="Times New Roman"/>
                    </w:rPr>
                    <w:t>101.25</w:t>
                  </w:r>
                </w:p>
              </w:tc>
              <w:tc>
                <w:tcPr>
                  <w:tcW w:w="1298" w:type="dxa"/>
                  <w:vAlign w:val="center"/>
                </w:tcPr>
                <w:p>
                  <w:pPr>
                    <w:widowControl/>
                    <w:snapToGrid w:val="0"/>
                    <w:jc w:val="center"/>
                    <w:rPr>
                      <w:rFonts w:ascii="Times New Roman" w:hAnsi="Times New Roman"/>
                    </w:rPr>
                  </w:pPr>
                  <w:r>
                    <w:rPr>
                      <w:rFonts w:ascii="Times New Roman" w:hAnsi="Times New Roman"/>
                    </w:rPr>
                    <w:t>不达标</w:t>
                  </w:r>
                </w:p>
              </w:tc>
            </w:tr>
          </w:tbl>
          <w:p>
            <w:pPr>
              <w:spacing w:line="440" w:lineRule="exact"/>
              <w:ind w:firstLine="480" w:firstLineChars="200"/>
              <w:jc w:val="both"/>
              <w:rPr>
                <w:rFonts w:ascii="Times New Roman" w:hAnsi="Times New Roman"/>
                <w:sz w:val="24"/>
                <w:szCs w:val="24"/>
              </w:rPr>
            </w:pPr>
            <w:r>
              <w:rPr>
                <w:rFonts w:ascii="Times New Roman" w:hAnsi="Times New Roman"/>
                <w:sz w:val="24"/>
                <w:szCs w:val="24"/>
              </w:rPr>
              <w:t>主要污染物空间分布：田家庵区师范学院、经济开发区消防支队、谢家集区政府、八公山区政府、潘集区政府、毛集区焦岗湖风景区管理处（参照点，不参与全市均值评价）、凤台县青少年活动中心和凤台县凤凰实验中学（省控点，不参与全市均值评价）、寿县老环保局大楼和寿县现代信息工程职业学院子站空气自动站（省控点，不参与全市均值评价）共10个环境空气质量自动监测子站的二氧化硫（SO</w:t>
            </w:r>
            <w:r>
              <w:rPr>
                <w:rFonts w:ascii="Times New Roman" w:hAnsi="Times New Roman"/>
                <w:sz w:val="24"/>
                <w:szCs w:val="24"/>
                <w:vertAlign w:val="subscript"/>
              </w:rPr>
              <w:t>2</w:t>
            </w:r>
            <w:r>
              <w:rPr>
                <w:rFonts w:ascii="Times New Roman" w:hAnsi="Times New Roman"/>
                <w:sz w:val="24"/>
                <w:szCs w:val="24"/>
              </w:rPr>
              <w:t>）年均浓度、二氧化氮（NO</w:t>
            </w:r>
            <w:r>
              <w:rPr>
                <w:rFonts w:ascii="Times New Roman" w:hAnsi="Times New Roman"/>
                <w:sz w:val="24"/>
                <w:szCs w:val="24"/>
                <w:vertAlign w:val="subscript"/>
              </w:rPr>
              <w:t>2</w:t>
            </w:r>
            <w:r>
              <w:rPr>
                <w:rFonts w:ascii="Times New Roman" w:hAnsi="Times New Roman"/>
                <w:sz w:val="24"/>
                <w:szCs w:val="24"/>
              </w:rPr>
              <w:t>）年均浓度、一氧化碳（CO）日均值第95百分位浓度均符合《环境空气质量标准》（GB3095-2012）二级标准。</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臭氧（O</w:t>
            </w:r>
            <w:r>
              <w:rPr>
                <w:rFonts w:ascii="Times New Roman" w:hAnsi="Times New Roman"/>
                <w:sz w:val="24"/>
                <w:szCs w:val="24"/>
                <w:vertAlign w:val="subscript"/>
              </w:rPr>
              <w:t>3</w:t>
            </w:r>
            <w:r>
              <w:rPr>
                <w:rFonts w:ascii="Times New Roman" w:hAnsi="Times New Roman"/>
                <w:sz w:val="24"/>
                <w:szCs w:val="24"/>
              </w:rPr>
              <w:t>）日最大8小时平均第90百分位浓度：凤台县（2个点位均值，以下简称凤台县）、毛集区焦岗湖风景区管理处和寿县（2个点位均值，以下简称寿县）空气自动站臭氧（O3）日最大8小时平均第90百分位浓度均符合《环境空气质量标准》（GB3095-2012）二级标准；其他区超标倍数由大到小依次为八公山区政府和谢家集区政府0.025倍、经济开发区消防支队0.012倍、潘集区政府和田家庵区师范学院0.006倍。</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可吸入颗粒物（PM</w:t>
            </w:r>
            <w:r>
              <w:rPr>
                <w:rFonts w:ascii="Times New Roman" w:hAnsi="Times New Roman"/>
                <w:sz w:val="24"/>
                <w:szCs w:val="24"/>
                <w:vertAlign w:val="subscript"/>
              </w:rPr>
              <w:t>10</w:t>
            </w:r>
            <w:r>
              <w:rPr>
                <w:rFonts w:ascii="Times New Roman" w:hAnsi="Times New Roman"/>
                <w:sz w:val="24"/>
                <w:szCs w:val="24"/>
              </w:rPr>
              <w:t>）年均浓度：八公山区政府、毛集区焦岗湖风景区管理处、谢家集区政府、凤台县和寿县自动监测子站可吸入颗粒物（PM10）年均浓度符合《环境空气质量标准》（GB3095-2012）二级标准，其他区可吸入颗粒物（PM10）年均浓度超标倍数从大到小依次为：潘集区政府0.11倍、经济开发区消防支队和田家庵区师范学院0.10倍。</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细颗粒物（PM</w:t>
            </w:r>
            <w:r>
              <w:rPr>
                <w:rFonts w:ascii="Times New Roman" w:hAnsi="Times New Roman"/>
                <w:sz w:val="24"/>
                <w:szCs w:val="24"/>
                <w:vertAlign w:val="subscript"/>
              </w:rPr>
              <w:t>2.5</w:t>
            </w:r>
            <w:r>
              <w:rPr>
                <w:rFonts w:ascii="Times New Roman" w:hAnsi="Times New Roman"/>
                <w:sz w:val="24"/>
                <w:szCs w:val="24"/>
              </w:rPr>
              <w:t>）年均浓度：各站点均超过《环境空气质量标准》（GB3095-2012）二级标准。细颗粒物（PM</w:t>
            </w:r>
            <w:r>
              <w:rPr>
                <w:rFonts w:ascii="Times New Roman" w:hAnsi="Times New Roman"/>
                <w:sz w:val="24"/>
                <w:szCs w:val="24"/>
                <w:vertAlign w:val="subscript"/>
              </w:rPr>
              <w:t>2.5</w:t>
            </w:r>
            <w:r>
              <w:rPr>
                <w:rFonts w:ascii="Times New Roman" w:hAnsi="Times New Roman"/>
                <w:sz w:val="24"/>
                <w:szCs w:val="24"/>
              </w:rPr>
              <w:t>）年均浓度超标倍数从大到小依次为：潘集区政府0.37倍、田家庵区师范学院0.23倍、八公山区政府0.20倍、凤台县0.17倍、经开区益益乳业工业园0.14倍、寿县0.11倍、谢家集区政府0.09倍、毛集区焦岗湖风景区管理处0.03倍。</w:t>
            </w:r>
          </w:p>
          <w:p>
            <w:pPr>
              <w:pStyle w:val="2"/>
              <w:spacing w:after="0" w:line="440" w:lineRule="exact"/>
              <w:ind w:firstLine="0" w:firstLineChars="0"/>
              <w:jc w:val="both"/>
              <w:rPr>
                <w:rFonts w:ascii="Times New Roman" w:hAnsi="Times New Roman"/>
                <w:sz w:val="24"/>
                <w:lang w:val="en-US"/>
              </w:rPr>
            </w:pPr>
            <w:r>
              <w:rPr>
                <w:rFonts w:ascii="Times New Roman" w:hAnsi="Times New Roman"/>
                <w:sz w:val="24"/>
                <w:lang w:val="en-US"/>
              </w:rPr>
              <w:t>（2）特征污染物环境质量现状评价</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项目非甲烷总烃小时值大气环境现状监测引用《安徽凤台经济开发区环境影响区域评估报告（2020版）》中相关监测数据，监测时间为2020年10月22日~10月28日。本项目距离1#中郢村监测点位置为880m，距离2#勇敢村监测点位位置为552m；监测数据为周边5千米范围内近3年的现有监测数据，满足编制指南要求。</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1）监测点布设</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监测布点位置分别见表3-2。</w:t>
            </w:r>
          </w:p>
          <w:p>
            <w:pPr>
              <w:pStyle w:val="2"/>
              <w:rPr>
                <w:rFonts w:ascii="Times New Roman" w:hAnsi="Times New Roman"/>
                <w:lang w:val="en-US"/>
              </w:rPr>
            </w:pPr>
          </w:p>
          <w:p>
            <w:pPr>
              <w:widowControl/>
              <w:spacing w:line="440" w:lineRule="exact"/>
              <w:jc w:val="center"/>
              <w:rPr>
                <w:rFonts w:ascii="Times New Roman" w:hAnsi="Times New Roman"/>
                <w:b/>
                <w:bCs/>
                <w:lang w:val="en-US"/>
              </w:rPr>
            </w:pPr>
            <w:r>
              <w:rPr>
                <w:rFonts w:ascii="Times New Roman" w:hAnsi="Times New Roman"/>
                <w:b/>
                <w:bCs/>
                <w:lang w:val="en-US"/>
              </w:rPr>
              <w:t>表3-2  环境空气质量监测布点</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751"/>
              <w:gridCol w:w="1751"/>
              <w:gridCol w:w="1752"/>
              <w:gridCol w:w="1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vAlign w:val="center"/>
                </w:tcPr>
                <w:p>
                  <w:pPr>
                    <w:widowControl/>
                    <w:jc w:val="center"/>
                    <w:rPr>
                      <w:rFonts w:ascii="Times New Roman" w:hAnsi="Times New Roman"/>
                      <w:b/>
                      <w:bCs/>
                      <w:lang w:val="en-US"/>
                    </w:rPr>
                  </w:pPr>
                  <w:r>
                    <w:rPr>
                      <w:rFonts w:ascii="Times New Roman" w:hAnsi="Times New Roman"/>
                      <w:b/>
                      <w:bCs/>
                      <w:lang w:val="en-US"/>
                    </w:rPr>
                    <w:t>点位编号</w:t>
                  </w:r>
                </w:p>
              </w:tc>
              <w:tc>
                <w:tcPr>
                  <w:tcW w:w="1543" w:type="dxa"/>
                  <w:vAlign w:val="center"/>
                </w:tcPr>
                <w:p>
                  <w:pPr>
                    <w:widowControl/>
                    <w:jc w:val="center"/>
                    <w:rPr>
                      <w:rFonts w:ascii="Times New Roman" w:hAnsi="Times New Roman"/>
                      <w:b/>
                      <w:bCs/>
                      <w:lang w:val="en-US"/>
                    </w:rPr>
                  </w:pPr>
                  <w:r>
                    <w:rPr>
                      <w:rFonts w:ascii="Times New Roman" w:hAnsi="Times New Roman"/>
                      <w:b/>
                      <w:bCs/>
                      <w:lang w:val="en-US"/>
                    </w:rPr>
                    <w:t>测点名称</w:t>
                  </w:r>
                </w:p>
              </w:tc>
              <w:tc>
                <w:tcPr>
                  <w:tcW w:w="1543" w:type="dxa"/>
                  <w:vAlign w:val="center"/>
                </w:tcPr>
                <w:p>
                  <w:pPr>
                    <w:widowControl/>
                    <w:jc w:val="center"/>
                    <w:rPr>
                      <w:rFonts w:ascii="Times New Roman" w:hAnsi="Times New Roman"/>
                      <w:b/>
                      <w:bCs/>
                      <w:lang w:val="en-US"/>
                    </w:rPr>
                  </w:pPr>
                  <w:r>
                    <w:rPr>
                      <w:rFonts w:ascii="Times New Roman" w:hAnsi="Times New Roman"/>
                      <w:b/>
                      <w:bCs/>
                      <w:lang w:val="en-US"/>
                    </w:rPr>
                    <w:t>监测项目</w:t>
                  </w:r>
                </w:p>
              </w:tc>
              <w:tc>
                <w:tcPr>
                  <w:tcW w:w="1544" w:type="dxa"/>
                  <w:vAlign w:val="center"/>
                </w:tcPr>
                <w:p>
                  <w:pPr>
                    <w:widowControl/>
                    <w:jc w:val="center"/>
                    <w:rPr>
                      <w:rFonts w:ascii="Times New Roman" w:hAnsi="Times New Roman"/>
                      <w:b/>
                      <w:bCs/>
                      <w:lang w:val="en-US"/>
                    </w:rPr>
                  </w:pPr>
                  <w:r>
                    <w:rPr>
                      <w:rFonts w:ascii="Times New Roman" w:hAnsi="Times New Roman"/>
                      <w:b/>
                      <w:bCs/>
                      <w:lang w:val="en-US"/>
                    </w:rPr>
                    <w:t>相对厂址方位</w:t>
                  </w:r>
                </w:p>
              </w:tc>
              <w:tc>
                <w:tcPr>
                  <w:tcW w:w="1544" w:type="dxa"/>
                  <w:vAlign w:val="center"/>
                </w:tcPr>
                <w:p>
                  <w:pPr>
                    <w:widowControl/>
                    <w:jc w:val="center"/>
                    <w:rPr>
                      <w:rFonts w:ascii="Times New Roman" w:hAnsi="Times New Roman"/>
                      <w:b/>
                      <w:bCs/>
                      <w:lang w:val="en-US"/>
                    </w:rPr>
                  </w:pPr>
                  <w:r>
                    <w:rPr>
                      <w:rFonts w:ascii="Times New Roman" w:hAnsi="Times New Roman"/>
                      <w:b/>
                      <w:bCs/>
                      <w:lang w:val="en-US"/>
                    </w:rPr>
                    <w:t>相对厂址距离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vAlign w:val="center"/>
                </w:tcPr>
                <w:p>
                  <w:pPr>
                    <w:widowControl/>
                    <w:jc w:val="center"/>
                    <w:rPr>
                      <w:rFonts w:ascii="Times New Roman" w:hAnsi="Times New Roman"/>
                      <w:lang w:val="en-US"/>
                    </w:rPr>
                  </w:pPr>
                  <w:r>
                    <w:rPr>
                      <w:rFonts w:ascii="Times New Roman" w:hAnsi="Times New Roman"/>
                      <w:lang w:val="en-US"/>
                    </w:rPr>
                    <w:t>1#</w:t>
                  </w:r>
                </w:p>
              </w:tc>
              <w:tc>
                <w:tcPr>
                  <w:tcW w:w="1543" w:type="dxa"/>
                  <w:vAlign w:val="center"/>
                </w:tcPr>
                <w:p>
                  <w:pPr>
                    <w:widowControl/>
                    <w:jc w:val="center"/>
                    <w:rPr>
                      <w:rFonts w:ascii="Times New Roman" w:hAnsi="Times New Roman"/>
                      <w:lang w:val="en-US"/>
                    </w:rPr>
                  </w:pPr>
                  <w:r>
                    <w:rPr>
                      <w:rFonts w:ascii="Times New Roman" w:hAnsi="Times New Roman"/>
                    </w:rPr>
                    <w:t>中郢村</w:t>
                  </w:r>
                </w:p>
              </w:tc>
              <w:tc>
                <w:tcPr>
                  <w:tcW w:w="1543" w:type="dxa"/>
                  <w:vAlign w:val="center"/>
                </w:tcPr>
                <w:p>
                  <w:pPr>
                    <w:widowControl/>
                    <w:jc w:val="center"/>
                    <w:rPr>
                      <w:rFonts w:ascii="Times New Roman" w:hAnsi="Times New Roman"/>
                      <w:lang w:val="en-US"/>
                    </w:rPr>
                  </w:pPr>
                  <w:r>
                    <w:rPr>
                      <w:rFonts w:ascii="Times New Roman" w:hAnsi="Times New Roman"/>
                      <w:lang w:val="en-US"/>
                    </w:rPr>
                    <w:t>非甲烷总烃</w:t>
                  </w:r>
                </w:p>
              </w:tc>
              <w:tc>
                <w:tcPr>
                  <w:tcW w:w="1544" w:type="dxa"/>
                  <w:vAlign w:val="center"/>
                </w:tcPr>
                <w:p>
                  <w:pPr>
                    <w:widowControl/>
                    <w:jc w:val="center"/>
                    <w:rPr>
                      <w:rFonts w:ascii="Times New Roman" w:hAnsi="Times New Roman"/>
                      <w:lang w:val="en-US"/>
                    </w:rPr>
                  </w:pPr>
                  <w:r>
                    <w:rPr>
                      <w:rFonts w:ascii="Times New Roman" w:hAnsi="Times New Roman"/>
                      <w:lang w:val="en-US"/>
                    </w:rPr>
                    <w:t>西北侧</w:t>
                  </w:r>
                </w:p>
              </w:tc>
              <w:tc>
                <w:tcPr>
                  <w:tcW w:w="1544" w:type="dxa"/>
                  <w:vAlign w:val="center"/>
                </w:tcPr>
                <w:p>
                  <w:pPr>
                    <w:widowControl/>
                    <w:jc w:val="center"/>
                    <w:rPr>
                      <w:rFonts w:ascii="Times New Roman" w:hAnsi="Times New Roman"/>
                      <w:lang w:val="en-US"/>
                    </w:rPr>
                  </w:pPr>
                  <w:r>
                    <w:rPr>
                      <w:rFonts w:ascii="Times New Roman" w:hAnsi="Times New Roman"/>
                      <w:lang w:val="en-US"/>
                    </w:rPr>
                    <w:t>552m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43" w:type="dxa"/>
                  <w:vAlign w:val="center"/>
                </w:tcPr>
                <w:p>
                  <w:pPr>
                    <w:widowControl/>
                    <w:jc w:val="center"/>
                    <w:rPr>
                      <w:rFonts w:ascii="Times New Roman" w:hAnsi="Times New Roman"/>
                      <w:lang w:val="en-US"/>
                    </w:rPr>
                  </w:pPr>
                  <w:r>
                    <w:rPr>
                      <w:rFonts w:ascii="Times New Roman" w:hAnsi="Times New Roman"/>
                      <w:lang w:val="en-US"/>
                    </w:rPr>
                    <w:t>2#</w:t>
                  </w:r>
                </w:p>
              </w:tc>
              <w:tc>
                <w:tcPr>
                  <w:tcW w:w="1543" w:type="dxa"/>
                  <w:vAlign w:val="center"/>
                </w:tcPr>
                <w:p>
                  <w:pPr>
                    <w:widowControl/>
                    <w:jc w:val="center"/>
                    <w:rPr>
                      <w:rFonts w:ascii="Times New Roman" w:hAnsi="Times New Roman"/>
                    </w:rPr>
                  </w:pPr>
                  <w:r>
                    <w:rPr>
                      <w:rFonts w:ascii="Times New Roman" w:hAnsi="Times New Roman"/>
                    </w:rPr>
                    <w:t>勇敢村</w:t>
                  </w:r>
                </w:p>
              </w:tc>
              <w:tc>
                <w:tcPr>
                  <w:tcW w:w="1543" w:type="dxa"/>
                  <w:vAlign w:val="center"/>
                </w:tcPr>
                <w:p>
                  <w:pPr>
                    <w:widowControl/>
                    <w:jc w:val="center"/>
                    <w:rPr>
                      <w:rFonts w:ascii="Times New Roman" w:hAnsi="Times New Roman"/>
                      <w:lang w:val="en-US"/>
                    </w:rPr>
                  </w:pPr>
                  <w:r>
                    <w:rPr>
                      <w:rFonts w:ascii="Times New Roman" w:hAnsi="Times New Roman"/>
                      <w:lang w:val="en-US"/>
                    </w:rPr>
                    <w:t>非甲烷总烃</w:t>
                  </w:r>
                </w:p>
              </w:tc>
              <w:tc>
                <w:tcPr>
                  <w:tcW w:w="1544" w:type="dxa"/>
                  <w:vAlign w:val="center"/>
                </w:tcPr>
                <w:p>
                  <w:pPr>
                    <w:widowControl/>
                    <w:jc w:val="center"/>
                    <w:rPr>
                      <w:rFonts w:ascii="Times New Roman" w:hAnsi="Times New Roman"/>
                      <w:lang w:val="en-US"/>
                    </w:rPr>
                  </w:pPr>
                  <w:r>
                    <w:rPr>
                      <w:rFonts w:ascii="Times New Roman" w:hAnsi="Times New Roman"/>
                      <w:lang w:val="en-US"/>
                    </w:rPr>
                    <w:t>东南侧</w:t>
                  </w:r>
                </w:p>
              </w:tc>
              <w:tc>
                <w:tcPr>
                  <w:tcW w:w="1544" w:type="dxa"/>
                  <w:vAlign w:val="center"/>
                </w:tcPr>
                <w:p>
                  <w:pPr>
                    <w:widowControl/>
                    <w:jc w:val="center"/>
                    <w:rPr>
                      <w:rFonts w:ascii="Times New Roman" w:hAnsi="Times New Roman"/>
                      <w:lang w:val="en-US"/>
                    </w:rPr>
                  </w:pPr>
                  <w:r>
                    <w:rPr>
                      <w:rFonts w:ascii="Times New Roman" w:hAnsi="Times New Roman"/>
                      <w:lang w:val="en-US"/>
                    </w:rPr>
                    <w:t>880m</w:t>
                  </w:r>
                </w:p>
              </w:tc>
            </w:tr>
          </w:tbl>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2）监测项目</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监测项目为非甲烷总烃，同步采集有关气温、气压、风向、风速等常规气象参数。</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3）监测结果</w:t>
            </w:r>
          </w:p>
          <w:p>
            <w:pPr>
              <w:widowControl/>
              <w:spacing w:line="440" w:lineRule="exact"/>
              <w:jc w:val="center"/>
              <w:rPr>
                <w:rFonts w:ascii="Times New Roman" w:hAnsi="Times New Roman"/>
                <w:b/>
                <w:bCs/>
                <w:lang w:val="en-US"/>
              </w:rPr>
            </w:pPr>
            <w:r>
              <w:rPr>
                <w:rFonts w:ascii="Times New Roman" w:hAnsi="Times New Roman"/>
                <w:b/>
                <w:bCs/>
                <w:lang w:val="en-US"/>
              </w:rPr>
              <w:t>表3-3  特征因子监测结果一览表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432"/>
              <w:gridCol w:w="2070"/>
              <w:gridCol w:w="2388"/>
              <w:gridCol w:w="9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gridSpan w:val="2"/>
                  <w:vMerge w:val="restart"/>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监测因子</w:t>
                  </w:r>
                </w:p>
              </w:tc>
              <w:tc>
                <w:tcPr>
                  <w:tcW w:w="3969" w:type="dxa"/>
                  <w:gridSpan w:val="2"/>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检测点位</w:t>
                  </w:r>
                </w:p>
              </w:tc>
              <w:tc>
                <w:tcPr>
                  <w:tcW w:w="827" w:type="dxa"/>
                  <w:vMerge w:val="restart"/>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gridSpan w:val="2"/>
                  <w:vMerge w:val="continue"/>
                  <w:vAlign w:val="center"/>
                </w:tcPr>
                <w:p>
                  <w:pPr>
                    <w:pStyle w:val="2"/>
                    <w:spacing w:after="0"/>
                    <w:ind w:left="0" w:leftChars="0" w:firstLine="0" w:firstLineChars="0"/>
                    <w:jc w:val="center"/>
                    <w:rPr>
                      <w:rFonts w:ascii="Times New Roman" w:hAnsi="Times New Roman"/>
                      <w:szCs w:val="21"/>
                      <w:lang w:val="en-US"/>
                    </w:rPr>
                  </w:pPr>
                </w:p>
              </w:tc>
              <w:tc>
                <w:tcPr>
                  <w:tcW w:w="1843" w:type="dxa"/>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中郢村</w:t>
                  </w:r>
                </w:p>
              </w:tc>
              <w:tc>
                <w:tcPr>
                  <w:tcW w:w="2126" w:type="dxa"/>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勇敢村</w:t>
                  </w:r>
                </w:p>
              </w:tc>
              <w:tc>
                <w:tcPr>
                  <w:tcW w:w="827" w:type="dxa"/>
                  <w:vMerge w:val="continue"/>
                  <w:vAlign w:val="center"/>
                </w:tcPr>
                <w:p>
                  <w:pPr>
                    <w:pStyle w:val="2"/>
                    <w:spacing w:after="0"/>
                    <w:ind w:left="0" w:leftChars="0" w:firstLine="0" w:firstLineChars="0"/>
                    <w:jc w:val="center"/>
                    <w:rPr>
                      <w:rFonts w:ascii="Times New Roman" w:hAnsi="Times New Roman"/>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非甲烷总烃（mg/m</w:t>
                  </w:r>
                  <w:r>
                    <w:rPr>
                      <w:rFonts w:ascii="Times New Roman" w:hAnsi="Times New Roman"/>
                      <w:szCs w:val="21"/>
                      <w:vertAlign w:val="superscript"/>
                      <w:lang w:val="en-US"/>
                    </w:rPr>
                    <w:t>3</w:t>
                  </w:r>
                  <w:r>
                    <w:rPr>
                      <w:rFonts w:ascii="Times New Roman" w:hAnsi="Times New Roman"/>
                      <w:szCs w:val="21"/>
                      <w:lang w:val="en-US"/>
                    </w:rPr>
                    <w:t>）</w:t>
                  </w:r>
                </w:p>
              </w:tc>
              <w:tc>
                <w:tcPr>
                  <w:tcW w:w="1275" w:type="dxa"/>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小时值</w:t>
                  </w:r>
                </w:p>
              </w:tc>
              <w:tc>
                <w:tcPr>
                  <w:tcW w:w="1843" w:type="dxa"/>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0.39-0.54</w:t>
                  </w:r>
                </w:p>
              </w:tc>
              <w:tc>
                <w:tcPr>
                  <w:tcW w:w="2126" w:type="dxa"/>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0.39-0.51</w:t>
                  </w:r>
                </w:p>
              </w:tc>
              <w:tc>
                <w:tcPr>
                  <w:tcW w:w="827" w:type="dxa"/>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2.0</w:t>
                  </w:r>
                </w:p>
              </w:tc>
            </w:tr>
          </w:tbl>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通过对以上监测结果的分析可知，评价区域各大气监测点的非甲烷总烃满足《大气污染物综合排放标准详解》中的标准限值要求。</w:t>
            </w:r>
          </w:p>
          <w:p>
            <w:pPr>
              <w:widowControl/>
              <w:jc w:val="center"/>
              <w:rPr>
                <w:rFonts w:ascii="Times New Roman" w:hAnsi="Times New Roman"/>
                <w:b/>
                <w:sz w:val="24"/>
                <w:szCs w:val="24"/>
                <w:lang w:val="en-US"/>
              </w:rPr>
            </w:pPr>
            <w:r>
              <w:rPr>
                <w:rFonts w:ascii="Times New Roman" w:hAnsi="Times New Roman"/>
                <w:b/>
                <w:bCs/>
                <w:sz w:val="24"/>
                <w:szCs w:val="24"/>
                <w:lang w:val="en-US" w:bidi="ar-SA"/>
              </w:rPr>
              <mc:AlternateContent>
                <mc:Choice Requires="wps">
                  <w:drawing>
                    <wp:anchor distT="0" distB="0" distL="114300" distR="114300" simplePos="0" relativeHeight="251664384" behindDoc="0" locked="0" layoutInCell="1" allowOverlap="1">
                      <wp:simplePos x="0" y="0"/>
                      <wp:positionH relativeFrom="column">
                        <wp:posOffset>1668145</wp:posOffset>
                      </wp:positionH>
                      <wp:positionV relativeFrom="paragraph">
                        <wp:posOffset>433070</wp:posOffset>
                      </wp:positionV>
                      <wp:extent cx="841375" cy="294640"/>
                      <wp:effectExtent l="3175" t="0" r="3175" b="3175"/>
                      <wp:wrapNone/>
                      <wp:docPr id="34" name="Rectangle 58"/>
                      <wp:cNvGraphicFramePr/>
                      <a:graphic xmlns:a="http://schemas.openxmlformats.org/drawingml/2006/main">
                        <a:graphicData uri="http://schemas.microsoft.com/office/word/2010/wordprocessingShape">
                          <wps:wsp>
                            <wps:cNvSpPr>
                              <a:spLocks noChangeArrowheads="1"/>
                            </wps:cNvSpPr>
                            <wps:spPr bwMode="auto">
                              <a:xfrm>
                                <a:off x="0" y="0"/>
                                <a:ext cx="841375" cy="294640"/>
                              </a:xfrm>
                              <a:prstGeom prst="rect">
                                <a:avLst/>
                              </a:prstGeom>
                              <a:noFill/>
                              <a:ln>
                                <a:noFill/>
                              </a:ln>
                            </wps:spPr>
                            <wps:txbx>
                              <w:txbxContent>
                                <w:p>
                                  <w:pPr>
                                    <w:rPr>
                                      <w:rFonts w:ascii="黑体" w:hAnsi="黑体" w:eastAsia="黑体"/>
                                      <w:b/>
                                      <w:bCs/>
                                      <w:color w:val="FFFF00"/>
                                    </w:rPr>
                                  </w:pPr>
                                  <w:r>
                                    <w:rPr>
                                      <w:rFonts w:ascii="黑体" w:hAnsi="黑体" w:eastAsia="黑体"/>
                                      <w:b/>
                                      <w:bCs/>
                                      <w:color w:val="FFFF00"/>
                                    </w:rPr>
                                    <w:t>552</w:t>
                                  </w:r>
                                  <w:r>
                                    <w:rPr>
                                      <w:rFonts w:hint="eastAsia" w:ascii="黑体" w:hAnsi="黑体" w:eastAsia="黑体"/>
                                      <w:b/>
                                      <w:bCs/>
                                      <w:color w:val="FFFF00"/>
                                    </w:rPr>
                                    <w:t>m</w:t>
                                  </w:r>
                                </w:p>
                              </w:txbxContent>
                            </wps:txbx>
                            <wps:bodyPr rot="0" vert="horz" wrap="square" lIns="91440" tIns="45720" rIns="91440" bIns="45720" anchor="t" anchorCtr="0" upright="1">
                              <a:noAutofit/>
                            </wps:bodyPr>
                          </wps:wsp>
                        </a:graphicData>
                      </a:graphic>
                    </wp:anchor>
                  </w:drawing>
                </mc:Choice>
                <mc:Fallback>
                  <w:pict>
                    <v:rect id="Rectangle 58" o:spid="_x0000_s1026" o:spt="1" style="position:absolute;left:0pt;margin-left:131.35pt;margin-top:34.1pt;height:23.2pt;width:66.25pt;z-index:251664384;mso-width-relative:page;mso-height-relative:page;" filled="f" stroked="f" coordsize="21600,21600" o:gfxdata="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sYAenbAAAACgEAAA8AAAAAAAAAAQAgAAAAIgAA&#10;AGRycy9kb3ducmV2LnhtbFBLAQIUABQAAAAIAIdO4kDZ8qrSBQIAAAwEAAAOAAAAAAAAAAEAIAAA&#10;ACoBAABkcnMvZTJvRG9jLnhtbFBLBQYAAAAABgAGAFkBAAChBQAAAAA=&#10;">
                      <v:fill on="f" focussize="0,0"/>
                      <v:stroke on="f"/>
                      <v:imagedata o:title=""/>
                      <o:lock v:ext="edit" aspectratio="f"/>
                      <v:textbox>
                        <w:txbxContent>
                          <w:p>
                            <w:pPr>
                              <w:rPr>
                                <w:rFonts w:ascii="黑体" w:hAnsi="黑体" w:eastAsia="黑体"/>
                                <w:b/>
                                <w:bCs/>
                                <w:color w:val="FFFF00"/>
                              </w:rPr>
                            </w:pPr>
                            <w:r>
                              <w:rPr>
                                <w:rFonts w:ascii="黑体" w:hAnsi="黑体" w:eastAsia="黑体"/>
                                <w:b/>
                                <w:bCs/>
                                <w:color w:val="FFFF00"/>
                              </w:rPr>
                              <w:t>552</w:t>
                            </w:r>
                            <w:r>
                              <w:rPr>
                                <w:rFonts w:hint="eastAsia" w:ascii="黑体" w:hAnsi="黑体" w:eastAsia="黑体"/>
                                <w:b/>
                                <w:bCs/>
                                <w:color w:val="FFFF00"/>
                              </w:rPr>
                              <w:t>m</w:t>
                            </w:r>
                          </w:p>
                        </w:txbxContent>
                      </v:textbox>
                    </v:rect>
                  </w:pict>
                </mc:Fallback>
              </mc:AlternateContent>
            </w:r>
            <w:r>
              <w:rPr>
                <w:rFonts w:ascii="Times New Roman" w:hAnsi="Times New Roman"/>
                <w:lang w:val="en-US" w:bidi="ar-SA"/>
              </w:rPr>
              <mc:AlternateContent>
                <mc:Choice Requires="wps">
                  <w:drawing>
                    <wp:anchor distT="0" distB="0" distL="114300" distR="114300" simplePos="0" relativeHeight="251663360" behindDoc="0" locked="0" layoutInCell="1" allowOverlap="1">
                      <wp:simplePos x="0" y="0"/>
                      <wp:positionH relativeFrom="column">
                        <wp:posOffset>3315335</wp:posOffset>
                      </wp:positionH>
                      <wp:positionV relativeFrom="paragraph">
                        <wp:posOffset>1833880</wp:posOffset>
                      </wp:positionV>
                      <wp:extent cx="841375" cy="294640"/>
                      <wp:effectExtent l="2540" t="0" r="3810" b="2540"/>
                      <wp:wrapNone/>
                      <wp:docPr id="33" name="Rectangle 57"/>
                      <wp:cNvGraphicFramePr/>
                      <a:graphic xmlns:a="http://schemas.openxmlformats.org/drawingml/2006/main">
                        <a:graphicData uri="http://schemas.microsoft.com/office/word/2010/wordprocessingShape">
                          <wps:wsp>
                            <wps:cNvSpPr>
                              <a:spLocks noChangeArrowheads="1"/>
                            </wps:cNvSpPr>
                            <wps:spPr bwMode="auto">
                              <a:xfrm>
                                <a:off x="0" y="0"/>
                                <a:ext cx="841375" cy="294640"/>
                              </a:xfrm>
                              <a:prstGeom prst="rect">
                                <a:avLst/>
                              </a:prstGeom>
                              <a:noFill/>
                              <a:ln>
                                <a:noFill/>
                              </a:ln>
                            </wps:spPr>
                            <wps:txbx>
                              <w:txbxContent>
                                <w:p>
                                  <w:pPr>
                                    <w:rPr>
                                      <w:rFonts w:ascii="黑体" w:hAnsi="黑体" w:eastAsia="黑体"/>
                                      <w:b/>
                                      <w:bCs/>
                                      <w:color w:val="FFFF00"/>
                                    </w:rPr>
                                  </w:pPr>
                                  <w:r>
                                    <w:rPr>
                                      <w:rFonts w:ascii="黑体" w:hAnsi="黑体" w:eastAsia="黑体"/>
                                      <w:b/>
                                      <w:bCs/>
                                      <w:color w:val="FFFF00"/>
                                    </w:rPr>
                                    <w:t>880</w:t>
                                  </w:r>
                                  <w:r>
                                    <w:rPr>
                                      <w:rFonts w:hint="eastAsia" w:ascii="黑体" w:hAnsi="黑体" w:eastAsia="黑体"/>
                                      <w:b/>
                                      <w:bCs/>
                                      <w:color w:val="FFFF00"/>
                                    </w:rPr>
                                    <w:t>m</w:t>
                                  </w:r>
                                </w:p>
                              </w:txbxContent>
                            </wps:txbx>
                            <wps:bodyPr rot="0" vert="horz" wrap="square" lIns="91440" tIns="45720" rIns="91440" bIns="45720" anchor="t" anchorCtr="0" upright="1">
                              <a:noAutofit/>
                            </wps:bodyPr>
                          </wps:wsp>
                        </a:graphicData>
                      </a:graphic>
                    </wp:anchor>
                  </w:drawing>
                </mc:Choice>
                <mc:Fallback>
                  <w:pict>
                    <v:rect id="Rectangle 57" o:spid="_x0000_s1026" o:spt="1" style="position:absolute;left:0pt;margin-left:261.05pt;margin-top:144.4pt;height:23.2pt;width:66.25pt;z-index:251663360;mso-width-relative:page;mso-height-relative:page;" filled="f" stroked="f" coordsize="21600,21600" o:gfxdata="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JbaD3AAAAAsBAAAPAAAAAAAAAAEAIAAAACIA&#10;AABkcnMvZG93bnJldi54bWxQSwECFAAUAAAACACHTuJAEUU/ZgUCAAAMBAAADgAAAAAAAAABACAA&#10;AAArAQAAZHJzL2Uyb0RvYy54bWxQSwUGAAAAAAYABgBZAQAAogUAAAAA&#10;">
                      <v:fill on="f" focussize="0,0"/>
                      <v:stroke on="f"/>
                      <v:imagedata o:title=""/>
                      <o:lock v:ext="edit" aspectratio="f"/>
                      <v:textbox>
                        <w:txbxContent>
                          <w:p>
                            <w:pPr>
                              <w:rPr>
                                <w:rFonts w:ascii="黑体" w:hAnsi="黑体" w:eastAsia="黑体"/>
                                <w:b/>
                                <w:bCs/>
                                <w:color w:val="FFFF00"/>
                              </w:rPr>
                            </w:pPr>
                            <w:r>
                              <w:rPr>
                                <w:rFonts w:ascii="黑体" w:hAnsi="黑体" w:eastAsia="黑体"/>
                                <w:b/>
                                <w:bCs/>
                                <w:color w:val="FFFF00"/>
                              </w:rPr>
                              <w:t>880</w:t>
                            </w:r>
                            <w:r>
                              <w:rPr>
                                <w:rFonts w:hint="eastAsia" w:ascii="黑体" w:hAnsi="黑体" w:eastAsia="黑体"/>
                                <w:b/>
                                <w:bCs/>
                                <w:color w:val="FFFF00"/>
                              </w:rPr>
                              <w:t>m</w:t>
                            </w:r>
                          </w:p>
                        </w:txbxContent>
                      </v:textbox>
                    </v:rect>
                  </w:pict>
                </mc:Fallback>
              </mc:AlternateContent>
            </w:r>
            <w:r>
              <w:rPr>
                <w:rFonts w:ascii="Times New Roman" w:hAnsi="Times New Roman"/>
                <w:lang w:val="en-US" w:bidi="ar-SA"/>
              </w:rPr>
              <mc:AlternateContent>
                <mc:Choice Requires="wps">
                  <w:drawing>
                    <wp:anchor distT="0" distB="0" distL="114300" distR="114300" simplePos="0" relativeHeight="251662336" behindDoc="0" locked="0" layoutInCell="1" allowOverlap="1">
                      <wp:simplePos x="0" y="0"/>
                      <wp:positionH relativeFrom="column">
                        <wp:posOffset>2909570</wp:posOffset>
                      </wp:positionH>
                      <wp:positionV relativeFrom="paragraph">
                        <wp:posOffset>1567180</wp:posOffset>
                      </wp:positionV>
                      <wp:extent cx="983615" cy="1108710"/>
                      <wp:effectExtent l="15875" t="17145" r="57785" b="55245"/>
                      <wp:wrapNone/>
                      <wp:docPr id="32" name="AutoShape 55"/>
                      <wp:cNvGraphicFramePr/>
                      <a:graphic xmlns:a="http://schemas.openxmlformats.org/drawingml/2006/main">
                        <a:graphicData uri="http://schemas.microsoft.com/office/word/2010/wordprocessingShape">
                          <wps:wsp>
                            <wps:cNvCnPr>
                              <a:cxnSpLocks noChangeShapeType="1"/>
                            </wps:cNvCnPr>
                            <wps:spPr bwMode="auto">
                              <a:xfrm>
                                <a:off x="0" y="0"/>
                                <a:ext cx="983615" cy="1108710"/>
                              </a:xfrm>
                              <a:prstGeom prst="straightConnector1">
                                <a:avLst/>
                              </a:prstGeom>
                              <a:noFill/>
                              <a:ln w="19050">
                                <a:solidFill>
                                  <a:srgbClr val="FFFF00"/>
                                </a:solidFill>
                                <a:round/>
                                <a:tailEnd type="triangle" w="med" len="med"/>
                              </a:ln>
                            </wps:spPr>
                            <wps:bodyPr/>
                          </wps:wsp>
                        </a:graphicData>
                      </a:graphic>
                    </wp:anchor>
                  </w:drawing>
                </mc:Choice>
                <mc:Fallback>
                  <w:pict>
                    <v:shape id="AutoShape 55" o:spid="_x0000_s1026" o:spt="32" type="#_x0000_t32" style="position:absolute;left:0pt;margin-left:229.1pt;margin-top:123.4pt;height:87.3pt;width:77.45pt;z-index:251662336;mso-width-relative:page;mso-height-relative:page;" filled="f" stroked="t" coordsize="21600,21600" o:gfxdata="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Bc+BtgAAAALAQAADwAAAAAAAAABACAAAAAiAAAAZHJzL2Rvd25yZXYueG1s&#10;UEsBAhQAFAAAAAgAh07iQPhWs774AQAA6AMAAA4AAAAAAAAAAQAgAAAAJwEAAGRycy9lMm9Eb2Mu&#10;eG1sUEsFBgAAAAAGAAYAWQEAAJEFAAAAAA==&#10;">
                      <v:fill on="f" focussize="0,0"/>
                      <v:stroke weight="1.5pt" color="#FFFF00" joinstyle="round" endarrow="block"/>
                      <v:imagedata o:title=""/>
                      <o:lock v:ext="edit" aspectratio="f"/>
                    </v:shape>
                  </w:pict>
                </mc:Fallback>
              </mc:AlternateContent>
            </w:r>
            <w:r>
              <w:rPr>
                <w:rFonts w:ascii="Times New Roman" w:hAnsi="Times New Roman"/>
                <w:lang w:val="en-US" w:bidi="ar-SA"/>
              </w:rPr>
              <mc:AlternateContent>
                <mc:Choice Requires="wps">
                  <w:drawing>
                    <wp:anchor distT="0" distB="0" distL="114300" distR="114300" simplePos="0" relativeHeight="251663360" behindDoc="0" locked="0" layoutInCell="1" allowOverlap="1">
                      <wp:simplePos x="0" y="0"/>
                      <wp:positionH relativeFrom="column">
                        <wp:posOffset>1436370</wp:posOffset>
                      </wp:positionH>
                      <wp:positionV relativeFrom="paragraph">
                        <wp:posOffset>527685</wp:posOffset>
                      </wp:positionV>
                      <wp:extent cx="1027430" cy="582930"/>
                      <wp:effectExtent l="47625" t="63500" r="10795" b="10795"/>
                      <wp:wrapNone/>
                      <wp:docPr id="20" name="AutoShape 54"/>
                      <wp:cNvGraphicFramePr/>
                      <a:graphic xmlns:a="http://schemas.openxmlformats.org/drawingml/2006/main">
                        <a:graphicData uri="http://schemas.microsoft.com/office/word/2010/wordprocessingShape">
                          <wps:wsp>
                            <wps:cNvCnPr>
                              <a:cxnSpLocks noChangeShapeType="1"/>
                            </wps:cNvCnPr>
                            <wps:spPr bwMode="auto">
                              <a:xfrm flipH="1" flipV="1">
                                <a:off x="0" y="0"/>
                                <a:ext cx="1027430" cy="582930"/>
                              </a:xfrm>
                              <a:prstGeom prst="straightConnector1">
                                <a:avLst/>
                              </a:prstGeom>
                              <a:noFill/>
                              <a:ln w="19050">
                                <a:solidFill>
                                  <a:srgbClr val="FFFF00"/>
                                </a:solidFill>
                                <a:round/>
                                <a:tailEnd type="triangle" w="med" len="med"/>
                              </a:ln>
                            </wps:spPr>
                            <wps:bodyPr/>
                          </wps:wsp>
                        </a:graphicData>
                      </a:graphic>
                    </wp:anchor>
                  </w:drawing>
                </mc:Choice>
                <mc:Fallback>
                  <w:pict>
                    <v:shape id="AutoShape 54" o:spid="_x0000_s1026" o:spt="32" type="#_x0000_t32" style="position:absolute;left:0pt;flip:x y;margin-left:113.1pt;margin-top:41.55pt;height:45.9pt;width:80.9pt;z-index:251663360;mso-width-relative:page;mso-height-relative:page;" filled="f" stroked="t" coordsize="21600,21600" o:gfxdata="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wLxzTYAAAACgEAAA8AAAAAAAAAAQAgAAAAIgAAAGRycy9k&#10;b3ducmV2LnhtbFBLAQIUABQAAAAIAIdO4kA3GjlsAgIAAPwDAAAOAAAAAAAAAAEAIAAAACcBAABk&#10;cnMvZTJvRG9jLnhtbFBLBQYAAAAABgAGAFkBAACbBQAAAAA=&#10;">
                      <v:fill on="f" focussize="0,0"/>
                      <v:stroke weight="1.5pt" color="#FFFF00" joinstyle="round" endarrow="block"/>
                      <v:imagedata o:title=""/>
                      <o:lock v:ext="edit" aspectratio="f"/>
                    </v:shape>
                  </w:pict>
                </mc:Fallback>
              </mc:AlternateContent>
            </w:r>
            <w:r>
              <w:rPr>
                <w:rFonts w:ascii="Times New Roman" w:hAnsi="Times New Roman"/>
                <w:lang w:val="en-US" w:bidi="ar-SA"/>
              </w:rPr>
              <w:drawing>
                <wp:anchor distT="0" distB="0" distL="114300" distR="114300" simplePos="0" relativeHeight="251661312" behindDoc="0" locked="0" layoutInCell="1" allowOverlap="1">
                  <wp:simplePos x="0" y="0"/>
                  <wp:positionH relativeFrom="column">
                    <wp:posOffset>4367530</wp:posOffset>
                  </wp:positionH>
                  <wp:positionV relativeFrom="paragraph">
                    <wp:posOffset>8890</wp:posOffset>
                  </wp:positionV>
                  <wp:extent cx="697865" cy="616585"/>
                  <wp:effectExtent l="0" t="0" r="0" b="0"/>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97865" cy="616585"/>
                          </a:xfrm>
                          <a:prstGeom prst="rect">
                            <a:avLst/>
                          </a:prstGeom>
                          <a:noFill/>
                          <a:ln>
                            <a:noFill/>
                          </a:ln>
                        </pic:spPr>
                      </pic:pic>
                    </a:graphicData>
                  </a:graphic>
                </wp:anchor>
              </w:drawing>
            </w:r>
            <w:r>
              <w:rPr>
                <w:rFonts w:ascii="Times New Roman" w:hAnsi="Times New Roman"/>
                <w:lang w:val="en-US" w:bidi="ar-SA"/>
              </w:rPr>
              <mc:AlternateContent>
                <mc:Choice Requires="wps">
                  <w:drawing>
                    <wp:anchor distT="0" distB="0" distL="114300" distR="114300" simplePos="0" relativeHeight="251660288" behindDoc="0" locked="0" layoutInCell="1" allowOverlap="1">
                      <wp:simplePos x="0" y="0"/>
                      <wp:positionH relativeFrom="column">
                        <wp:posOffset>4679315</wp:posOffset>
                      </wp:positionH>
                      <wp:positionV relativeFrom="paragraph">
                        <wp:posOffset>2379345</wp:posOffset>
                      </wp:positionV>
                      <wp:extent cx="26670" cy="635"/>
                      <wp:effectExtent l="13970" t="10160" r="6985" b="8255"/>
                      <wp:wrapNone/>
                      <wp:docPr id="11" name="Freeform 51"/>
                      <wp:cNvGraphicFramePr/>
                      <a:graphic xmlns:a="http://schemas.openxmlformats.org/drawingml/2006/main">
                        <a:graphicData uri="http://schemas.microsoft.com/office/word/2010/wordprocessingShape">
                          <wps:wsp>
                            <wps:cNvSpPr/>
                            <wps:spPr bwMode="auto">
                              <a:xfrm>
                                <a:off x="0" y="0"/>
                                <a:ext cx="26670" cy="635"/>
                              </a:xfrm>
                              <a:custGeom>
                                <a:avLst/>
                                <a:gdLst>
                                  <a:gd name="T0" fmla="*/ 0 w 42"/>
                                  <a:gd name="T1" fmla="*/ 0 h 1"/>
                                  <a:gd name="T2" fmla="*/ 42 w 42"/>
                                  <a:gd name="T3" fmla="*/ 0 h 1"/>
                                </a:gdLst>
                                <a:ahLst/>
                                <a:cxnLst>
                                  <a:cxn ang="0">
                                    <a:pos x="T0" y="T1"/>
                                  </a:cxn>
                                  <a:cxn ang="0">
                                    <a:pos x="T2" y="T3"/>
                                  </a:cxn>
                                </a:cxnLst>
                                <a:rect l="0" t="0" r="r" b="b"/>
                                <a:pathLst>
                                  <a:path w="42" h="1">
                                    <a:moveTo>
                                      <a:pt x="0" y="0"/>
                                    </a:moveTo>
                                    <a:cubicBezTo>
                                      <a:pt x="14" y="0"/>
                                      <a:pt x="28" y="0"/>
                                      <a:pt x="42" y="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reeform 51" o:spid="_x0000_s1026" o:spt="100" style="position:absolute;left:0pt;margin-left:368.45pt;margin-top:187.35pt;height:0.05pt;width:2.1pt;z-index:251660288;mso-width-relative:page;mso-height-relative:page;" filled="f" stroked="t" coordsize="42,1" o:gfxdata="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iUeg+2gAAAAsBAAAPAAAAAAAAAAEAIAAAACIAAABk&#10;cnMvZG93bnJldi54bWxQSwECFAAUAAAACACHTuJAF0qGba8CAADmBQAADgAAAAAAAAABACAAAAAp&#10;AQAAZHJzL2Uyb0RvYy54bWxQSwUGAAAAAAYABgBZAQAASgYAAAAA&#10;" path="m0,0c14,0,28,0,42,0e">
                      <v:path o:connectlocs="0,0;26670,0" o:connectangles="0,0"/>
                      <v:fill on="f" focussize="0,0"/>
                      <v:stroke color="#000000" joinstyle="round"/>
                      <v:imagedata o:title=""/>
                      <o:lock v:ext="edit" aspectratio="f"/>
                    </v:shape>
                  </w:pict>
                </mc:Fallback>
              </mc:AlternateContent>
            </w:r>
            <w:r>
              <w:rPr>
                <w:rFonts w:ascii="Times New Roman" w:hAnsi="Times New Roman"/>
                <w:lang w:val="en-US" w:bidi="ar-SA"/>
              </w:rPr>
              <w:drawing>
                <wp:inline distT="0" distB="0" distL="0" distR="0">
                  <wp:extent cx="5056505" cy="317309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56505" cy="3173095"/>
                          </a:xfrm>
                          <a:prstGeom prst="rect">
                            <a:avLst/>
                          </a:prstGeom>
                          <a:noFill/>
                          <a:ln>
                            <a:noFill/>
                          </a:ln>
                        </pic:spPr>
                      </pic:pic>
                    </a:graphicData>
                  </a:graphic>
                </wp:inline>
              </w:drawing>
            </w:r>
          </w:p>
          <w:p>
            <w:pPr>
              <w:widowControl/>
              <w:spacing w:line="440" w:lineRule="exact"/>
              <w:jc w:val="center"/>
              <w:rPr>
                <w:rFonts w:ascii="Times New Roman" w:hAnsi="Times New Roman"/>
                <w:b/>
                <w:lang w:val="en-US"/>
              </w:rPr>
            </w:pPr>
            <w:r>
              <w:rPr>
                <w:rFonts w:ascii="Times New Roman" w:hAnsi="Times New Roman"/>
                <w:b/>
                <w:lang w:val="en-US"/>
              </w:rPr>
              <w:t>图3-1  环境空气监测引用点位图</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2、地表水环境</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w:t>
            </w:r>
            <w:r>
              <w:rPr>
                <w:rFonts w:hint="eastAsia" w:ascii="Times New Roman" w:hAnsi="Times New Roman"/>
                <w:bCs/>
                <w:sz w:val="24"/>
                <w:szCs w:val="24"/>
                <w:lang w:val="en-US"/>
              </w:rPr>
              <w:t>1</w:t>
            </w:r>
            <w:r>
              <w:rPr>
                <w:rFonts w:ascii="Times New Roman" w:hAnsi="Times New Roman"/>
                <w:bCs/>
                <w:sz w:val="24"/>
                <w:szCs w:val="24"/>
                <w:lang w:val="en-US"/>
              </w:rPr>
              <w:t>）环境质量公告</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根据《2021年淮南市环境质量状况公报》，2021年，全市地表水26个监测断面（点位）中Ⅰ-Ⅲ类水质比例为76.9%，无劣Ⅴ类水质，总体水质状况为良好。比上年增加0.7个百分点，水质状况保持良好。</w:t>
            </w:r>
          </w:p>
          <w:p>
            <w:pPr>
              <w:widowControl/>
              <w:spacing w:line="440" w:lineRule="exact"/>
              <w:ind w:firstLine="480" w:firstLineChars="200"/>
              <w:jc w:val="both"/>
              <w:rPr>
                <w:rFonts w:ascii="Times New Roman" w:hAnsi="Times New Roman"/>
                <w:bCs/>
                <w:sz w:val="24"/>
                <w:szCs w:val="24"/>
                <w:lang w:val="en-US"/>
              </w:rPr>
            </w:pPr>
            <w:r>
              <w:rPr>
                <w:rFonts w:hint="eastAsia" w:ascii="Times New Roman" w:hAnsi="Times New Roman"/>
                <w:bCs/>
                <w:sz w:val="24"/>
                <w:szCs w:val="24"/>
                <w:lang w:val="en-US"/>
              </w:rPr>
              <w:t>市辖淮河干流及其支流</w:t>
            </w:r>
            <w:r>
              <w:rPr>
                <w:rFonts w:ascii="Times New Roman" w:hAnsi="Times New Roman"/>
                <w:bCs/>
                <w:sz w:val="24"/>
                <w:szCs w:val="24"/>
                <w:lang w:val="en-US"/>
              </w:rPr>
              <w:t>22个监测断面中Ⅰ-Ⅲ类水质比例为 86.4%，无劣Ⅴ类水质，总体水质良好。与2020年相比水质比例增加5.2个百分点，水质状况保持良好。出境断面新城口和入境断面鲁台孜水质评价指标年平均浓度值均符合《地表水环境质量标准》（GB3838-2002）Ⅱ类标准。</w:t>
            </w:r>
            <w:r>
              <w:rPr>
                <w:rFonts w:hint="eastAsia" w:ascii="Times New Roman" w:hAnsi="Times New Roman"/>
                <w:bCs/>
                <w:sz w:val="24"/>
                <w:szCs w:val="24"/>
                <w:lang w:val="en-US"/>
              </w:rPr>
              <w:t>主要超标断面为永幸河入淮口断面、架河入淮口和南中心沟河口断面，水质均劣于《地表水环境质量标准》（</w:t>
            </w:r>
            <w:r>
              <w:rPr>
                <w:rFonts w:ascii="Times New Roman" w:hAnsi="Times New Roman"/>
                <w:bCs/>
                <w:sz w:val="24"/>
                <w:szCs w:val="24"/>
                <w:lang w:val="en-US"/>
              </w:rPr>
              <w:t>GB3838-2002）Ⅲ类水质标准，为Ⅳ类水质，主要污染物为化学需氧量、高锰酸盐指数和总磷。</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（2）</w:t>
            </w:r>
            <w:r>
              <w:rPr>
                <w:rFonts w:hint="eastAsia" w:ascii="Times New Roman" w:hAnsi="Times New Roman"/>
                <w:bCs/>
                <w:sz w:val="24"/>
                <w:szCs w:val="24"/>
                <w:lang w:val="en-US"/>
              </w:rPr>
              <w:t>地表水</w:t>
            </w:r>
            <w:r>
              <w:rPr>
                <w:rFonts w:ascii="Times New Roman" w:hAnsi="Times New Roman"/>
                <w:bCs/>
                <w:sz w:val="24"/>
                <w:szCs w:val="24"/>
                <w:lang w:val="en-US"/>
              </w:rPr>
              <w:t>质量现状</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项目位于凤台县凤台经济开发区桂集孵化器产业园，本项目生产废水经厂区污水处理设施处理达标后接管至桂集镇污水处理厂处理后排放至永幸河；地表水现状引用《</w:t>
            </w:r>
            <w:r>
              <w:rPr>
                <w:rFonts w:ascii="Times New Roman" w:hAnsi="Times New Roman"/>
                <w:sz w:val="24"/>
                <w:szCs w:val="24"/>
                <w:lang w:val="en-US"/>
              </w:rPr>
              <w:t>安徽凤台经济开发区环境影响区域评估报告（2020版）</w:t>
            </w:r>
            <w:r>
              <w:rPr>
                <w:rFonts w:ascii="Times New Roman" w:hAnsi="Times New Roman"/>
                <w:bCs/>
                <w:sz w:val="24"/>
                <w:szCs w:val="24"/>
                <w:lang w:val="en-US"/>
              </w:rPr>
              <w:t>》中的相关监测数据。</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1）监测布点及监测因子</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本次评价共布设3个监测断面，具体位置及监测因子见表3-4。</w:t>
            </w:r>
          </w:p>
          <w:p>
            <w:pPr>
              <w:widowControl/>
              <w:spacing w:line="440" w:lineRule="exact"/>
              <w:ind w:firstLine="422" w:firstLineChars="200"/>
              <w:jc w:val="center"/>
              <w:rPr>
                <w:rFonts w:ascii="Times New Roman" w:hAnsi="Times New Roman"/>
                <w:b/>
                <w:lang w:val="en-US"/>
              </w:rPr>
            </w:pPr>
            <w:r>
              <w:rPr>
                <w:rFonts w:ascii="Times New Roman" w:hAnsi="Times New Roman"/>
                <w:b/>
                <w:lang w:val="en-US"/>
              </w:rPr>
              <w:t>表3-4  地表水环境质量现状监测断面及监测因子</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997"/>
              <w:gridCol w:w="4191"/>
              <w:gridCol w:w="1263"/>
              <w:gridCol w:w="16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0" w:type="dxa"/>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断面编号</w:t>
                  </w:r>
                </w:p>
              </w:tc>
              <w:tc>
                <w:tcPr>
                  <w:tcW w:w="910" w:type="dxa"/>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河流</w:t>
                  </w:r>
                </w:p>
              </w:tc>
              <w:tc>
                <w:tcPr>
                  <w:tcW w:w="3827" w:type="dxa"/>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rPr>
                    <w:t>断面位置</w:t>
                  </w:r>
                </w:p>
              </w:tc>
              <w:tc>
                <w:tcPr>
                  <w:tcW w:w="1153" w:type="dxa"/>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rPr>
                    <w:t>布点原则</w:t>
                  </w:r>
                </w:p>
              </w:tc>
              <w:tc>
                <w:tcPr>
                  <w:tcW w:w="1487" w:type="dxa"/>
                  <w:vAlign w:val="center"/>
                </w:tcPr>
                <w:p>
                  <w:pPr>
                    <w:pStyle w:val="2"/>
                    <w:spacing w:after="0"/>
                    <w:ind w:left="0" w:leftChars="0" w:firstLine="0" w:firstLineChars="0"/>
                    <w:jc w:val="center"/>
                    <w:rPr>
                      <w:rFonts w:ascii="Times New Roman" w:hAnsi="Times New Roman"/>
                      <w:b/>
                      <w:bCs/>
                      <w:szCs w:val="21"/>
                      <w:lang w:val="en-US"/>
                    </w:rPr>
                  </w:pPr>
                  <w:r>
                    <w:rPr>
                      <w:rFonts w:ascii="Times New Roman" w:hAnsi="Times New Roman"/>
                      <w:b/>
                      <w:bCs/>
                      <w:szCs w:val="21"/>
                      <w:lang w:val="en-US"/>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0" w:type="dxa"/>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1</w:t>
                  </w:r>
                </w:p>
              </w:tc>
              <w:tc>
                <w:tcPr>
                  <w:tcW w:w="910" w:type="dxa"/>
                  <w:vMerge w:val="restart"/>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永幸河</w:t>
                  </w:r>
                </w:p>
              </w:tc>
              <w:tc>
                <w:tcPr>
                  <w:tcW w:w="3827" w:type="dxa"/>
                  <w:vAlign w:val="center"/>
                </w:tcPr>
                <w:p>
                  <w:pPr>
                    <w:adjustRightInd w:val="0"/>
                    <w:snapToGrid w:val="0"/>
                    <w:jc w:val="center"/>
                    <w:rPr>
                      <w:rFonts w:ascii="Times New Roman" w:hAnsi="Times New Roman"/>
                    </w:rPr>
                  </w:pPr>
                  <w:r>
                    <w:rPr>
                      <w:rFonts w:ascii="Times New Roman" w:hAnsi="Times New Roman"/>
                    </w:rPr>
                    <w:t>桂集镇污水处理厂排污口入永幸河上游500m</w:t>
                  </w:r>
                </w:p>
              </w:tc>
              <w:tc>
                <w:tcPr>
                  <w:tcW w:w="1153" w:type="dxa"/>
                  <w:vAlign w:val="center"/>
                </w:tcPr>
                <w:p>
                  <w:pPr>
                    <w:pStyle w:val="116"/>
                    <w:rPr>
                      <w:rFonts w:ascii="Times New Roman"/>
                      <w:color w:val="auto"/>
                      <w:kern w:val="0"/>
                      <w:szCs w:val="21"/>
                    </w:rPr>
                  </w:pPr>
                  <w:r>
                    <w:rPr>
                      <w:rFonts w:ascii="Times New Roman"/>
                      <w:color w:val="auto"/>
                      <w:kern w:val="0"/>
                      <w:szCs w:val="21"/>
                    </w:rPr>
                    <w:t>对照断面</w:t>
                  </w:r>
                </w:p>
              </w:tc>
              <w:tc>
                <w:tcPr>
                  <w:tcW w:w="1487" w:type="dxa"/>
                  <w:vMerge w:val="restart"/>
                  <w:vAlign w:val="center"/>
                </w:tcPr>
                <w:p>
                  <w:pPr>
                    <w:pStyle w:val="9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pH、DO、COD、BOD</w:t>
                  </w:r>
                  <w:r>
                    <w:rPr>
                      <w:rFonts w:ascii="Times New Roman" w:hAnsi="Times New Roman" w:cs="Times New Roman"/>
                      <w:sz w:val="21"/>
                      <w:szCs w:val="21"/>
                      <w:vertAlign w:val="subscript"/>
                    </w:rPr>
                    <w:t>5</w:t>
                  </w:r>
                  <w:r>
                    <w:rPr>
                      <w:rFonts w:ascii="Times New Roman" w:hAnsi="Times New Roman" w:cs="Times New Roman"/>
                      <w:sz w:val="21"/>
                      <w:szCs w:val="21"/>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0" w:type="dxa"/>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2</w:t>
                  </w:r>
                </w:p>
              </w:tc>
              <w:tc>
                <w:tcPr>
                  <w:tcW w:w="910" w:type="dxa"/>
                  <w:vMerge w:val="continue"/>
                  <w:vAlign w:val="center"/>
                </w:tcPr>
                <w:p>
                  <w:pPr>
                    <w:pStyle w:val="2"/>
                    <w:spacing w:after="0"/>
                    <w:ind w:left="0" w:leftChars="0" w:firstLine="0" w:firstLineChars="0"/>
                    <w:jc w:val="center"/>
                    <w:rPr>
                      <w:rFonts w:ascii="Times New Roman" w:hAnsi="Times New Roman"/>
                      <w:szCs w:val="21"/>
                      <w:lang w:val="en-US"/>
                    </w:rPr>
                  </w:pPr>
                </w:p>
              </w:tc>
              <w:tc>
                <w:tcPr>
                  <w:tcW w:w="3827" w:type="dxa"/>
                  <w:vAlign w:val="center"/>
                </w:tcPr>
                <w:p>
                  <w:pPr>
                    <w:adjustRightInd w:val="0"/>
                    <w:snapToGrid w:val="0"/>
                    <w:jc w:val="center"/>
                    <w:rPr>
                      <w:rFonts w:ascii="Times New Roman" w:hAnsi="Times New Roman"/>
                    </w:rPr>
                  </w:pPr>
                  <w:r>
                    <w:rPr>
                      <w:rFonts w:ascii="Times New Roman" w:hAnsi="Times New Roman"/>
                    </w:rPr>
                    <w:t>桂集镇污水处理厂排污口入永幸河下游500m</w:t>
                  </w:r>
                </w:p>
              </w:tc>
              <w:tc>
                <w:tcPr>
                  <w:tcW w:w="1153" w:type="dxa"/>
                  <w:vAlign w:val="center"/>
                </w:tcPr>
                <w:p>
                  <w:pPr>
                    <w:pStyle w:val="116"/>
                    <w:rPr>
                      <w:rFonts w:ascii="Times New Roman"/>
                      <w:color w:val="auto"/>
                      <w:kern w:val="0"/>
                      <w:szCs w:val="21"/>
                    </w:rPr>
                  </w:pPr>
                  <w:r>
                    <w:rPr>
                      <w:rFonts w:ascii="Times New Roman"/>
                      <w:color w:val="auto"/>
                      <w:kern w:val="0"/>
                      <w:szCs w:val="21"/>
                    </w:rPr>
                    <w:t>控制断面</w:t>
                  </w:r>
                </w:p>
              </w:tc>
              <w:tc>
                <w:tcPr>
                  <w:tcW w:w="1487" w:type="dxa"/>
                  <w:vMerge w:val="continue"/>
                  <w:vAlign w:val="center"/>
                </w:tcPr>
                <w:p>
                  <w:pPr>
                    <w:pStyle w:val="2"/>
                    <w:spacing w:after="0"/>
                    <w:ind w:left="0" w:leftChars="0" w:firstLine="0" w:firstLineChars="0"/>
                    <w:jc w:val="center"/>
                    <w:rPr>
                      <w:rFonts w:ascii="Times New Roman" w:hAnsi="Times New Roman"/>
                      <w:szCs w:val="21"/>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0" w:type="dxa"/>
                  <w:vAlign w:val="center"/>
                </w:tcPr>
                <w:p>
                  <w:pPr>
                    <w:pStyle w:val="2"/>
                    <w:spacing w:after="0"/>
                    <w:ind w:left="0" w:leftChars="0" w:firstLine="0" w:firstLineChars="0"/>
                    <w:jc w:val="center"/>
                    <w:rPr>
                      <w:rFonts w:ascii="Times New Roman" w:hAnsi="Times New Roman"/>
                      <w:szCs w:val="21"/>
                      <w:lang w:val="en-US"/>
                    </w:rPr>
                  </w:pPr>
                  <w:r>
                    <w:rPr>
                      <w:rFonts w:ascii="Times New Roman" w:hAnsi="Times New Roman"/>
                      <w:szCs w:val="21"/>
                      <w:lang w:val="en-US"/>
                    </w:rPr>
                    <w:t>3</w:t>
                  </w:r>
                </w:p>
              </w:tc>
              <w:tc>
                <w:tcPr>
                  <w:tcW w:w="910" w:type="dxa"/>
                  <w:vMerge w:val="continue"/>
                  <w:vAlign w:val="center"/>
                </w:tcPr>
                <w:p>
                  <w:pPr>
                    <w:pStyle w:val="2"/>
                    <w:spacing w:after="0"/>
                    <w:ind w:left="0" w:leftChars="0" w:firstLine="0" w:firstLineChars="0"/>
                    <w:jc w:val="center"/>
                    <w:rPr>
                      <w:rFonts w:ascii="Times New Roman" w:hAnsi="Times New Roman"/>
                      <w:szCs w:val="21"/>
                      <w:lang w:val="en-US"/>
                    </w:rPr>
                  </w:pPr>
                </w:p>
              </w:tc>
              <w:tc>
                <w:tcPr>
                  <w:tcW w:w="3827" w:type="dxa"/>
                  <w:vAlign w:val="center"/>
                </w:tcPr>
                <w:p>
                  <w:pPr>
                    <w:adjustRightInd w:val="0"/>
                    <w:snapToGrid w:val="0"/>
                    <w:jc w:val="center"/>
                    <w:rPr>
                      <w:rFonts w:ascii="Times New Roman" w:hAnsi="Times New Roman"/>
                    </w:rPr>
                  </w:pPr>
                  <w:r>
                    <w:rPr>
                      <w:rFonts w:ascii="Times New Roman" w:hAnsi="Times New Roman"/>
                    </w:rPr>
                    <w:t>桂集镇污水处理厂排污口入永幸河上游5000m</w:t>
                  </w:r>
                </w:p>
              </w:tc>
              <w:tc>
                <w:tcPr>
                  <w:tcW w:w="1153" w:type="dxa"/>
                  <w:vAlign w:val="center"/>
                </w:tcPr>
                <w:p>
                  <w:pPr>
                    <w:pStyle w:val="116"/>
                    <w:rPr>
                      <w:rFonts w:ascii="Times New Roman"/>
                      <w:color w:val="auto"/>
                      <w:kern w:val="0"/>
                      <w:szCs w:val="21"/>
                    </w:rPr>
                  </w:pPr>
                  <w:r>
                    <w:rPr>
                      <w:rFonts w:ascii="Times New Roman"/>
                      <w:color w:val="auto"/>
                      <w:kern w:val="0"/>
                      <w:szCs w:val="21"/>
                    </w:rPr>
                    <w:t>控制断面</w:t>
                  </w:r>
                </w:p>
              </w:tc>
              <w:tc>
                <w:tcPr>
                  <w:tcW w:w="1487" w:type="dxa"/>
                  <w:vMerge w:val="continue"/>
                  <w:vAlign w:val="center"/>
                </w:tcPr>
                <w:p>
                  <w:pPr>
                    <w:pStyle w:val="2"/>
                    <w:spacing w:after="0"/>
                    <w:ind w:left="0" w:leftChars="0" w:firstLine="0" w:firstLineChars="0"/>
                    <w:jc w:val="center"/>
                    <w:rPr>
                      <w:rFonts w:ascii="Times New Roman" w:hAnsi="Times New Roman"/>
                      <w:szCs w:val="21"/>
                      <w:lang w:val="en-US"/>
                    </w:rPr>
                  </w:pPr>
                </w:p>
              </w:tc>
            </w:tr>
          </w:tbl>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2）监测时间与频率</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监测时间为2020年10月24日和10月25日，连续监测2天。</w:t>
            </w:r>
          </w:p>
          <w:p>
            <w:pPr>
              <w:widowControl/>
              <w:spacing w:line="440" w:lineRule="exact"/>
              <w:ind w:left="480"/>
              <w:jc w:val="both"/>
              <w:rPr>
                <w:rFonts w:ascii="Times New Roman" w:hAnsi="Times New Roman"/>
                <w:bCs/>
                <w:sz w:val="24"/>
                <w:szCs w:val="24"/>
                <w:lang w:val="en-US"/>
              </w:rPr>
            </w:pPr>
            <w:r>
              <w:rPr>
                <w:rFonts w:ascii="Times New Roman" w:hAnsi="Times New Roman"/>
                <w:bCs/>
                <w:sz w:val="24"/>
                <w:szCs w:val="24"/>
                <w:lang w:val="en-US"/>
              </w:rPr>
              <w:t>3）监测结果</w:t>
            </w:r>
          </w:p>
          <w:p>
            <w:pPr>
              <w:pStyle w:val="2"/>
              <w:spacing w:line="440" w:lineRule="exact"/>
              <w:ind w:left="0" w:leftChars="0" w:firstLine="0" w:firstLineChars="0"/>
              <w:jc w:val="center"/>
              <w:rPr>
                <w:rFonts w:ascii="Times New Roman" w:hAnsi="Times New Roman"/>
                <w:b/>
                <w:szCs w:val="21"/>
                <w:lang w:val="en-US"/>
              </w:rPr>
            </w:pPr>
            <w:r>
              <w:rPr>
                <w:rFonts w:ascii="Times New Roman" w:hAnsi="Times New Roman"/>
                <w:b/>
                <w:szCs w:val="21"/>
                <w:lang w:val="en-US"/>
              </w:rPr>
              <w:t>表3-5  地表水环境现状监测结果一览表（单位：mg/L，pH无量纲）</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9"/>
              <w:gridCol w:w="925"/>
              <w:gridCol w:w="2292"/>
              <w:gridCol w:w="2292"/>
              <w:gridCol w:w="23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19" w:type="pct"/>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采样日期</w:t>
                  </w:r>
                </w:p>
              </w:tc>
              <w:tc>
                <w:tcPr>
                  <w:tcW w:w="528" w:type="pct"/>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项目名称</w:t>
                  </w:r>
                </w:p>
              </w:tc>
              <w:tc>
                <w:tcPr>
                  <w:tcW w:w="6489" w:type="dxa"/>
                  <w:gridSpan w:val="3"/>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检测结果（mg/L，pH无量纲）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vMerge w:val="continue"/>
                  <w:vAlign w:val="center"/>
                </w:tcPr>
                <w:p>
                  <w:pPr>
                    <w:widowControl/>
                    <w:autoSpaceDE/>
                    <w:autoSpaceDN/>
                    <w:jc w:val="both"/>
                    <w:rPr>
                      <w:rFonts w:ascii="Times New Roman" w:hAnsi="Times New Roman"/>
                      <w:lang w:val="en-US" w:bidi="ar-SA"/>
                    </w:rPr>
                  </w:pPr>
                </w:p>
              </w:tc>
              <w:tc>
                <w:tcPr>
                  <w:tcW w:w="6489" w:type="dxa"/>
                  <w:gridSpan w:val="3"/>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永幸河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vMerge w:val="continue"/>
                  <w:vAlign w:val="center"/>
                </w:tcPr>
                <w:p>
                  <w:pPr>
                    <w:widowControl/>
                    <w:autoSpaceDE/>
                    <w:autoSpaceDN/>
                    <w:jc w:val="both"/>
                    <w:rPr>
                      <w:rFonts w:ascii="Times New Roman" w:hAnsi="Times New Roman"/>
                      <w:lang w:val="en-US" w:bidi="ar-SA"/>
                    </w:rPr>
                  </w:pPr>
                </w:p>
              </w:tc>
              <w:tc>
                <w:tcPr>
                  <w:tcW w:w="2148"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桂集镇污水处理厂排污口入永幸河上游500m</w:t>
                  </w:r>
                </w:p>
              </w:tc>
              <w:tc>
                <w:tcPr>
                  <w:tcW w:w="2148"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桂集镇污水处理厂排污口入永幸河下游500m</w:t>
                  </w:r>
                </w:p>
              </w:tc>
              <w:tc>
                <w:tcPr>
                  <w:tcW w:w="2193"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桂集镇污水处理厂排污口入永幸河上游5000m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19" w:type="pct"/>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2020年10月24日</w:t>
                  </w: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pH</w:t>
                  </w:r>
                </w:p>
              </w:tc>
              <w:tc>
                <w:tcPr>
                  <w:tcW w:w="2148" w:type="dxa"/>
                  <w:noWrap/>
                  <w:vAlign w:val="center"/>
                </w:tcPr>
                <w:p>
                  <w:pPr>
                    <w:widowControl/>
                    <w:jc w:val="center"/>
                    <w:textAlignment w:val="center"/>
                    <w:rPr>
                      <w:rFonts w:ascii="Times New Roman" w:hAnsi="Times New Roman"/>
                    </w:rPr>
                  </w:pPr>
                  <w:r>
                    <w:rPr>
                      <w:rFonts w:ascii="Times New Roman" w:hAnsi="Times New Roman"/>
                    </w:rPr>
                    <w:t>7.85</w:t>
                  </w:r>
                </w:p>
              </w:tc>
              <w:tc>
                <w:tcPr>
                  <w:tcW w:w="2148" w:type="dxa"/>
                  <w:noWrap/>
                  <w:vAlign w:val="center"/>
                </w:tcPr>
                <w:p>
                  <w:pPr>
                    <w:widowControl/>
                    <w:jc w:val="center"/>
                    <w:textAlignment w:val="center"/>
                    <w:rPr>
                      <w:rFonts w:ascii="Times New Roman" w:hAnsi="Times New Roman"/>
                    </w:rPr>
                  </w:pPr>
                  <w:r>
                    <w:rPr>
                      <w:rFonts w:ascii="Times New Roman" w:hAnsi="Times New Roman"/>
                    </w:rPr>
                    <w:t>7.95</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rPr>
                    <w:t>7.64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DO</w:t>
                  </w:r>
                </w:p>
              </w:tc>
              <w:tc>
                <w:tcPr>
                  <w:tcW w:w="2148" w:type="dxa"/>
                  <w:noWrap/>
                  <w:vAlign w:val="center"/>
                </w:tcPr>
                <w:p>
                  <w:pPr>
                    <w:widowControl/>
                    <w:jc w:val="center"/>
                    <w:textAlignment w:val="center"/>
                    <w:rPr>
                      <w:rFonts w:ascii="Times New Roman" w:hAnsi="Times New Roman"/>
                    </w:rPr>
                  </w:pPr>
                  <w:r>
                    <w:rPr>
                      <w:rFonts w:ascii="Times New Roman" w:hAnsi="Times New Roman"/>
                    </w:rPr>
                    <w:t>5.8</w:t>
                  </w:r>
                </w:p>
              </w:tc>
              <w:tc>
                <w:tcPr>
                  <w:tcW w:w="2148" w:type="dxa"/>
                  <w:noWrap/>
                  <w:vAlign w:val="center"/>
                </w:tcPr>
                <w:p>
                  <w:pPr>
                    <w:widowControl/>
                    <w:jc w:val="center"/>
                    <w:textAlignment w:val="center"/>
                    <w:rPr>
                      <w:rFonts w:ascii="Times New Roman" w:hAnsi="Times New Roman"/>
                    </w:rPr>
                  </w:pPr>
                  <w:r>
                    <w:rPr>
                      <w:rFonts w:ascii="Times New Roman" w:hAnsi="Times New Roman"/>
                    </w:rPr>
                    <w:t>5.4</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BOD</w:t>
                  </w:r>
                  <w:r>
                    <w:rPr>
                      <w:rFonts w:ascii="Times New Roman" w:hAnsi="Times New Roman"/>
                      <w:vertAlign w:val="subscript"/>
                      <w:lang w:val="en-US" w:bidi="ar-SA"/>
                    </w:rPr>
                    <w:t>5</w:t>
                  </w:r>
                </w:p>
              </w:tc>
              <w:tc>
                <w:tcPr>
                  <w:tcW w:w="2148" w:type="dxa"/>
                  <w:noWrap/>
                  <w:vAlign w:val="center"/>
                </w:tcPr>
                <w:p>
                  <w:pPr>
                    <w:widowControl/>
                    <w:jc w:val="center"/>
                    <w:textAlignment w:val="center"/>
                    <w:rPr>
                      <w:rFonts w:ascii="Times New Roman" w:hAnsi="Times New Roman"/>
                    </w:rPr>
                  </w:pPr>
                  <w:r>
                    <w:rPr>
                      <w:rFonts w:ascii="Times New Roman" w:hAnsi="Times New Roman"/>
                    </w:rPr>
                    <w:t>3.9</w:t>
                  </w:r>
                </w:p>
              </w:tc>
              <w:tc>
                <w:tcPr>
                  <w:tcW w:w="2148" w:type="dxa"/>
                  <w:noWrap/>
                  <w:vAlign w:val="center"/>
                </w:tcPr>
                <w:p>
                  <w:pPr>
                    <w:widowControl/>
                    <w:jc w:val="center"/>
                    <w:textAlignment w:val="center"/>
                    <w:rPr>
                      <w:rFonts w:ascii="Times New Roman" w:hAnsi="Times New Roman"/>
                    </w:rPr>
                  </w:pPr>
                  <w:r>
                    <w:rPr>
                      <w:rFonts w:ascii="Times New Roman" w:hAnsi="Times New Roman"/>
                    </w:rPr>
                    <w:t>5.7</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COD</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15</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26</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氨氮</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0.339</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0.347</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0.382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19" w:type="pct"/>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2020年10月25日</w:t>
                  </w: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pH</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7.57</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7.64</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7.71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DO</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5.5</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5.7</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BOD</w:t>
                  </w:r>
                  <w:r>
                    <w:rPr>
                      <w:rFonts w:ascii="Times New Roman" w:hAnsi="Times New Roman"/>
                      <w:vertAlign w:val="subscript"/>
                      <w:lang w:val="en-US" w:bidi="ar-SA"/>
                    </w:rPr>
                    <w:t>5</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5</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5.5</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COD</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16</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25</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9" w:type="pct"/>
                  <w:vMerge w:val="continue"/>
                  <w:vAlign w:val="center"/>
                </w:tcPr>
                <w:p>
                  <w:pPr>
                    <w:widowControl/>
                    <w:autoSpaceDE/>
                    <w:autoSpaceDN/>
                    <w:jc w:val="both"/>
                    <w:rPr>
                      <w:rFonts w:ascii="Times New Roman" w:hAnsi="Times New Roman"/>
                      <w:lang w:val="en-US" w:bidi="ar-SA"/>
                    </w:rPr>
                  </w:pPr>
                </w:p>
              </w:tc>
              <w:tc>
                <w:tcPr>
                  <w:tcW w:w="528" w:type="pc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氨氮</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0.38</w:t>
                  </w:r>
                </w:p>
              </w:tc>
              <w:tc>
                <w:tcPr>
                  <w:tcW w:w="2148" w:type="dxa"/>
                  <w:noWrap/>
                  <w:vAlign w:val="center"/>
                </w:tcPr>
                <w:p>
                  <w:pPr>
                    <w:widowControl/>
                    <w:jc w:val="center"/>
                    <w:textAlignment w:val="center"/>
                    <w:rPr>
                      <w:rFonts w:ascii="Times New Roman" w:hAnsi="Times New Roman"/>
                      <w:lang w:val="en-US"/>
                    </w:rPr>
                  </w:pPr>
                  <w:r>
                    <w:rPr>
                      <w:rFonts w:ascii="Times New Roman" w:hAnsi="Times New Roman"/>
                      <w:lang w:val="en-US"/>
                    </w:rPr>
                    <w:t>0.382</w:t>
                  </w:r>
                </w:p>
              </w:tc>
              <w:tc>
                <w:tcPr>
                  <w:tcW w:w="2193"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0.403</w:t>
                  </w:r>
                </w:p>
              </w:tc>
            </w:tr>
          </w:tbl>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由表可知，各监测断面水环境质量均满足《地表水环境质量标准》（GB3838-2002）中</w:t>
            </w:r>
            <w:r>
              <w:rPr>
                <w:rFonts w:hint="eastAsia" w:cs="宋体"/>
                <w:sz w:val="24"/>
                <w:szCs w:val="24"/>
                <w:lang w:val="en-US"/>
              </w:rPr>
              <w:t>Ⅳ</w:t>
            </w:r>
            <w:r>
              <w:rPr>
                <w:rFonts w:ascii="Times New Roman" w:hAnsi="Times New Roman"/>
                <w:bCs/>
                <w:sz w:val="24"/>
                <w:szCs w:val="24"/>
                <w:lang w:val="en-US"/>
              </w:rPr>
              <w:t>标准要求。</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3、声环境现状</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根据现场调查，项目厂房及所在厂界50米范围内均为工业企业，无环境保护目标。根据《建设项目环境影响报告表编制技术指南（污染影响类）（试行）》，无需进行声环境质量现状监测。</w:t>
            </w:r>
          </w:p>
          <w:p>
            <w:pPr>
              <w:widowControl/>
              <w:spacing w:line="440" w:lineRule="exact"/>
              <w:ind w:firstLine="482" w:firstLineChars="200"/>
              <w:jc w:val="both"/>
              <w:rPr>
                <w:rFonts w:ascii="Times New Roman" w:hAnsi="Times New Roman"/>
              </w:rPr>
            </w:pPr>
            <w:r>
              <w:rPr>
                <w:rFonts w:ascii="Times New Roman" w:hAnsi="Times New Roman"/>
                <w:b/>
                <w:sz w:val="24"/>
                <w:szCs w:val="24"/>
                <w:lang w:val="en-US"/>
              </w:rPr>
              <w:t>4、生态环境质量</w:t>
            </w:r>
          </w:p>
          <w:p>
            <w:pPr>
              <w:autoSpaceDE/>
              <w:autoSpaceDN/>
              <w:adjustRightInd w:val="0"/>
              <w:snapToGrid w:val="0"/>
              <w:spacing w:line="440" w:lineRule="exact"/>
              <w:ind w:firstLine="480" w:firstLineChars="200"/>
              <w:jc w:val="both"/>
              <w:rPr>
                <w:rFonts w:ascii="Times New Roman" w:hAnsi="Times New Roman"/>
                <w:sz w:val="24"/>
                <w:szCs w:val="24"/>
                <w:lang w:val="en-US"/>
              </w:rPr>
            </w:pPr>
            <w:r>
              <w:rPr>
                <w:rFonts w:ascii="Times New Roman" w:hAnsi="Times New Roman"/>
                <w:sz w:val="24"/>
                <w:szCs w:val="24"/>
              </w:rPr>
              <w:t>本项目位于淮南市凤台县凤台经济开发区桂集孵化器产业园，</w:t>
            </w:r>
            <w:r>
              <w:rPr>
                <w:rFonts w:ascii="Times New Roman" w:hAnsi="Times New Roman"/>
                <w:sz w:val="24"/>
                <w:szCs w:val="24"/>
                <w:lang w:val="en-US"/>
              </w:rPr>
              <w:t>用地范围内不含有生态环境保护目标。故无需进行生态现状调查。</w:t>
            </w:r>
          </w:p>
          <w:p>
            <w:pPr>
              <w:widowControl/>
              <w:spacing w:line="440" w:lineRule="exact"/>
              <w:ind w:firstLine="482" w:firstLineChars="200"/>
              <w:jc w:val="both"/>
              <w:rPr>
                <w:rFonts w:ascii="Times New Roman" w:hAnsi="Times New Roman"/>
                <w:sz w:val="24"/>
                <w:szCs w:val="24"/>
              </w:rPr>
            </w:pPr>
            <w:r>
              <w:rPr>
                <w:rFonts w:ascii="Times New Roman" w:hAnsi="Times New Roman"/>
                <w:b/>
                <w:bCs/>
                <w:sz w:val="24"/>
                <w:szCs w:val="24"/>
                <w:lang w:val="en-US"/>
              </w:rPr>
              <w:t>5、</w:t>
            </w:r>
            <w:r>
              <w:rPr>
                <w:rFonts w:ascii="Times New Roman" w:hAnsi="Times New Roman"/>
                <w:b/>
                <w:sz w:val="24"/>
                <w:szCs w:val="24"/>
                <w:lang w:val="en-US"/>
              </w:rPr>
              <w:t>电磁辐射</w:t>
            </w:r>
          </w:p>
          <w:p>
            <w:pPr>
              <w:widowControl/>
              <w:spacing w:line="440" w:lineRule="exact"/>
              <w:ind w:firstLine="480" w:firstLineChars="200"/>
              <w:jc w:val="both"/>
              <w:rPr>
                <w:rFonts w:ascii="Times New Roman" w:hAnsi="Times New Roman"/>
                <w:sz w:val="24"/>
                <w:szCs w:val="24"/>
                <w:lang w:val="en-US"/>
              </w:rPr>
            </w:pPr>
            <w:r>
              <w:rPr>
                <w:rFonts w:ascii="Times New Roman" w:hAnsi="Times New Roman"/>
                <w:sz w:val="24"/>
                <w:szCs w:val="24"/>
                <w:lang w:val="en-US"/>
              </w:rPr>
              <w:t>新建或改建、扩建广播电台、差转台、电视塔台、卫星地球上行站、雷达等电磁辐射类项目，应根据相关技术导则对项目电磁辐射现状开展监测与评价；本项目不属于上述行业，无需开展电磁辐射现状监测与评价。</w:t>
            </w:r>
          </w:p>
          <w:p>
            <w:pPr>
              <w:pStyle w:val="2"/>
              <w:rPr>
                <w:rFonts w:ascii="Times New Roman" w:hAnsi="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7" w:hRule="atLeast"/>
          <w:jc w:val="center"/>
        </w:trPr>
        <w:tc>
          <w:tcPr>
            <w:tcW w:w="665" w:type="dxa"/>
            <w:vAlign w:val="center"/>
          </w:tcPr>
          <w:p>
            <w:pPr>
              <w:widowControl/>
              <w:spacing w:line="440" w:lineRule="exact"/>
              <w:jc w:val="center"/>
              <w:rPr>
                <w:rFonts w:ascii="Times New Roman" w:hAnsi="Times New Roman"/>
                <w:sz w:val="24"/>
                <w:szCs w:val="24"/>
                <w:lang w:val="en-US"/>
              </w:rPr>
            </w:pPr>
            <w:r>
              <w:rPr>
                <w:rFonts w:ascii="Times New Roman" w:hAnsi="Times New Roman"/>
                <w:sz w:val="24"/>
                <w:szCs w:val="24"/>
                <w:lang w:val="en-US"/>
              </w:rPr>
              <w:t>环境保护目标</w:t>
            </w:r>
          </w:p>
        </w:tc>
        <w:tc>
          <w:tcPr>
            <w:tcW w:w="8974" w:type="dxa"/>
            <w:vAlign w:val="center"/>
          </w:tcPr>
          <w:p>
            <w:pPr>
              <w:pStyle w:val="2"/>
              <w:spacing w:after="0" w:line="440" w:lineRule="exact"/>
              <w:ind w:left="0" w:leftChars="0" w:firstLine="482"/>
              <w:rPr>
                <w:rFonts w:ascii="Times New Roman" w:hAnsi="Times New Roman"/>
                <w:b/>
                <w:sz w:val="24"/>
                <w:lang w:val="en-US"/>
              </w:rPr>
            </w:pPr>
            <w:r>
              <w:rPr>
                <w:rFonts w:ascii="Times New Roman" w:hAnsi="Times New Roman"/>
                <w:b/>
                <w:sz w:val="24"/>
                <w:lang w:val="en-US"/>
              </w:rPr>
              <w:t>1、大气环境</w:t>
            </w:r>
          </w:p>
          <w:p>
            <w:pPr>
              <w:autoSpaceDE/>
              <w:autoSpaceDN/>
              <w:adjustRightInd w:val="0"/>
              <w:snapToGrid w:val="0"/>
              <w:spacing w:line="440" w:lineRule="exact"/>
              <w:ind w:firstLine="480" w:firstLineChars="200"/>
              <w:jc w:val="both"/>
              <w:rPr>
                <w:rFonts w:ascii="Times New Roman" w:hAnsi="Times New Roman"/>
                <w:sz w:val="24"/>
                <w:szCs w:val="24"/>
              </w:rPr>
            </w:pPr>
            <w:r>
              <w:rPr>
                <w:rFonts w:ascii="Times New Roman" w:hAnsi="Times New Roman"/>
                <w:sz w:val="24"/>
                <w:szCs w:val="24"/>
              </w:rPr>
              <w:t>安徽恺卓昂智能制造科技有限公司位于淮南市凤台县内，项目厂区四周均为工业企业和市政道路。本项目厂界外500m范围内无自然保护区、风景名胜区、文化区、居住区等敏感目标，但500米范围内有居民点，本项目具体的大气环境保护目标详见下表：</w:t>
            </w:r>
          </w:p>
          <w:p>
            <w:pPr>
              <w:pStyle w:val="66"/>
              <w:spacing w:line="440" w:lineRule="exact"/>
              <w:rPr>
                <w:rFonts w:ascii="Times New Roman" w:hAnsi="Times New Roman"/>
                <w:sz w:val="21"/>
                <w:szCs w:val="21"/>
              </w:rPr>
            </w:pPr>
            <w:r>
              <w:rPr>
                <w:rFonts w:ascii="Times New Roman" w:hAnsi="Times New Roman"/>
                <w:sz w:val="21"/>
                <w:szCs w:val="21"/>
              </w:rPr>
              <w:t>表3-6  项目周边主要大气环境保护目标一览表</w:t>
            </w:r>
          </w:p>
          <w:tbl>
            <w:tblPr>
              <w:tblStyle w:val="2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3"/>
              <w:gridCol w:w="831"/>
              <w:gridCol w:w="1001"/>
              <w:gridCol w:w="697"/>
              <w:gridCol w:w="858"/>
              <w:gridCol w:w="896"/>
              <w:gridCol w:w="1933"/>
              <w:gridCol w:w="901"/>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28" w:type="pct"/>
                  <w:vMerge w:val="restar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序</w:t>
                  </w:r>
                </w:p>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号</w:t>
                  </w:r>
                </w:p>
              </w:tc>
              <w:tc>
                <w:tcPr>
                  <w:tcW w:w="484" w:type="pct"/>
                  <w:vMerge w:val="restar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环境保护目标名称</w:t>
                  </w:r>
                </w:p>
              </w:tc>
              <w:tc>
                <w:tcPr>
                  <w:tcW w:w="989" w:type="pct"/>
                  <w:gridSpan w:val="2"/>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坐标（m）</w:t>
                  </w:r>
                </w:p>
              </w:tc>
              <w:tc>
                <w:tcPr>
                  <w:tcW w:w="500" w:type="pct"/>
                  <w:vMerge w:val="restar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保护</w:t>
                  </w:r>
                </w:p>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对象</w:t>
                  </w:r>
                </w:p>
              </w:tc>
              <w:tc>
                <w:tcPr>
                  <w:tcW w:w="522" w:type="pct"/>
                  <w:vMerge w:val="restar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保护</w:t>
                  </w:r>
                </w:p>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内容</w:t>
                  </w:r>
                </w:p>
              </w:tc>
              <w:tc>
                <w:tcPr>
                  <w:tcW w:w="1126" w:type="pct"/>
                  <w:vMerge w:val="restar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环境</w:t>
                  </w:r>
                </w:p>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功能区</w:t>
                  </w:r>
                </w:p>
              </w:tc>
              <w:tc>
                <w:tcPr>
                  <w:tcW w:w="525" w:type="pct"/>
                  <w:vMerge w:val="restar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相对厂址方位</w:t>
                  </w:r>
                </w:p>
              </w:tc>
              <w:tc>
                <w:tcPr>
                  <w:tcW w:w="527" w:type="pct"/>
                  <w:vMerge w:val="restar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rPr>
                    <w:t>相对厂界距离</w:t>
                  </w:r>
                  <w:r>
                    <w:rPr>
                      <w:rFonts w:ascii="Times New Roman" w:hAnsi="Times New Roman" w:cs="Times New Roman"/>
                      <w:b/>
                      <w:bCs/>
                      <w:lang w:val="en-US"/>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28" w:type="pct"/>
                  <w:vMerge w:val="continue"/>
                  <w:vAlign w:val="center"/>
                </w:tcPr>
                <w:p>
                  <w:pPr>
                    <w:pStyle w:val="62"/>
                    <w:kinsoku w:val="0"/>
                    <w:overflowPunct w:val="0"/>
                    <w:snapToGrid w:val="0"/>
                    <w:jc w:val="center"/>
                    <w:rPr>
                      <w:rFonts w:ascii="Times New Roman" w:hAnsi="Times New Roman" w:cs="Times New Roman"/>
                    </w:rPr>
                  </w:pPr>
                </w:p>
              </w:tc>
              <w:tc>
                <w:tcPr>
                  <w:tcW w:w="484" w:type="pct"/>
                  <w:vMerge w:val="continue"/>
                  <w:vAlign w:val="center"/>
                </w:tcPr>
                <w:p>
                  <w:pPr>
                    <w:pStyle w:val="62"/>
                    <w:kinsoku w:val="0"/>
                    <w:overflowPunct w:val="0"/>
                    <w:snapToGrid w:val="0"/>
                    <w:jc w:val="center"/>
                    <w:rPr>
                      <w:rFonts w:ascii="Times New Roman" w:hAnsi="Times New Roman" w:cs="Times New Roman"/>
                    </w:rPr>
                  </w:pPr>
                </w:p>
              </w:tc>
              <w:tc>
                <w:tcPr>
                  <w:tcW w:w="583" w:type="pc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iCs/>
                    </w:rPr>
                    <w:t>X</w:t>
                  </w:r>
                </w:p>
              </w:tc>
              <w:tc>
                <w:tcPr>
                  <w:tcW w:w="406" w:type="pct"/>
                  <w:vAlign w:val="center"/>
                </w:tcPr>
                <w:p>
                  <w:pPr>
                    <w:pStyle w:val="62"/>
                    <w:kinsoku w:val="0"/>
                    <w:overflowPunct w:val="0"/>
                    <w:snapToGrid w:val="0"/>
                    <w:jc w:val="center"/>
                    <w:rPr>
                      <w:rFonts w:ascii="Times New Roman" w:hAnsi="Times New Roman" w:cs="Times New Roman"/>
                      <w:b/>
                      <w:bCs/>
                    </w:rPr>
                  </w:pPr>
                  <w:r>
                    <w:rPr>
                      <w:rFonts w:ascii="Times New Roman" w:hAnsi="Times New Roman" w:cs="Times New Roman"/>
                      <w:b/>
                      <w:bCs/>
                      <w:iCs/>
                    </w:rPr>
                    <w:t>Y</w:t>
                  </w:r>
                </w:p>
              </w:tc>
              <w:tc>
                <w:tcPr>
                  <w:tcW w:w="500" w:type="pct"/>
                  <w:vMerge w:val="continue"/>
                  <w:vAlign w:val="center"/>
                </w:tcPr>
                <w:p>
                  <w:pPr>
                    <w:pStyle w:val="62"/>
                    <w:kinsoku w:val="0"/>
                    <w:overflowPunct w:val="0"/>
                    <w:snapToGrid w:val="0"/>
                    <w:jc w:val="center"/>
                    <w:rPr>
                      <w:rFonts w:ascii="Times New Roman" w:hAnsi="Times New Roman" w:cs="Times New Roman"/>
                    </w:rPr>
                  </w:pPr>
                </w:p>
              </w:tc>
              <w:tc>
                <w:tcPr>
                  <w:tcW w:w="522" w:type="pct"/>
                  <w:vMerge w:val="continue"/>
                  <w:vAlign w:val="center"/>
                </w:tcPr>
                <w:p>
                  <w:pPr>
                    <w:pStyle w:val="62"/>
                    <w:kinsoku w:val="0"/>
                    <w:overflowPunct w:val="0"/>
                    <w:snapToGrid w:val="0"/>
                    <w:jc w:val="center"/>
                    <w:rPr>
                      <w:rFonts w:ascii="Times New Roman" w:hAnsi="Times New Roman" w:cs="Times New Roman"/>
                    </w:rPr>
                  </w:pPr>
                </w:p>
              </w:tc>
              <w:tc>
                <w:tcPr>
                  <w:tcW w:w="1126" w:type="pct"/>
                  <w:vMerge w:val="continue"/>
                  <w:vAlign w:val="center"/>
                </w:tcPr>
                <w:p>
                  <w:pPr>
                    <w:pStyle w:val="62"/>
                    <w:kinsoku w:val="0"/>
                    <w:overflowPunct w:val="0"/>
                    <w:snapToGrid w:val="0"/>
                    <w:jc w:val="center"/>
                    <w:rPr>
                      <w:rFonts w:ascii="Times New Roman" w:hAnsi="Times New Roman" w:cs="Times New Roman"/>
                    </w:rPr>
                  </w:pPr>
                </w:p>
              </w:tc>
              <w:tc>
                <w:tcPr>
                  <w:tcW w:w="525" w:type="pct"/>
                  <w:vMerge w:val="continue"/>
                  <w:vAlign w:val="center"/>
                </w:tcPr>
                <w:p>
                  <w:pPr>
                    <w:pStyle w:val="62"/>
                    <w:kinsoku w:val="0"/>
                    <w:overflowPunct w:val="0"/>
                    <w:snapToGrid w:val="0"/>
                    <w:jc w:val="center"/>
                    <w:rPr>
                      <w:rFonts w:ascii="Times New Roman" w:hAnsi="Times New Roman" w:cs="Times New Roman"/>
                    </w:rPr>
                  </w:pPr>
                </w:p>
              </w:tc>
              <w:tc>
                <w:tcPr>
                  <w:tcW w:w="527" w:type="pct"/>
                  <w:vMerge w:val="continue"/>
                  <w:vAlign w:val="center"/>
                </w:tcPr>
                <w:p>
                  <w:pPr>
                    <w:pStyle w:val="62"/>
                    <w:kinsoku w:val="0"/>
                    <w:overflowPunct w:val="0"/>
                    <w:snapToGrid w:val="0"/>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28" w:type="pct"/>
                  <w:vAlign w:val="center"/>
                </w:tcPr>
                <w:p>
                  <w:pPr>
                    <w:snapToGrid w:val="0"/>
                    <w:jc w:val="center"/>
                    <w:rPr>
                      <w:rFonts w:ascii="Times New Roman" w:hAnsi="Times New Roman"/>
                    </w:rPr>
                  </w:pPr>
                  <w:r>
                    <w:rPr>
                      <w:rFonts w:ascii="Times New Roman" w:hAnsi="Times New Roman"/>
                    </w:rPr>
                    <w:t>1</w:t>
                  </w:r>
                </w:p>
              </w:tc>
              <w:tc>
                <w:tcPr>
                  <w:tcW w:w="484" w:type="pct"/>
                  <w:vAlign w:val="center"/>
                </w:tcPr>
                <w:p>
                  <w:pPr>
                    <w:jc w:val="center"/>
                    <w:rPr>
                      <w:rFonts w:ascii="Times New Roman" w:hAnsi="Times New Roman"/>
                      <w:lang w:val="en-US"/>
                    </w:rPr>
                  </w:pPr>
                  <w:r>
                    <w:rPr>
                      <w:rFonts w:ascii="Times New Roman" w:hAnsi="Times New Roman"/>
                      <w:lang w:val="en-US"/>
                    </w:rPr>
                    <w:t>大吴新村</w:t>
                  </w:r>
                </w:p>
              </w:tc>
              <w:tc>
                <w:tcPr>
                  <w:tcW w:w="583" w:type="pct"/>
                  <w:vAlign w:val="center"/>
                </w:tcPr>
                <w:p>
                  <w:pPr>
                    <w:jc w:val="center"/>
                    <w:rPr>
                      <w:rFonts w:ascii="Times New Roman" w:hAnsi="Times New Roman"/>
                      <w:lang w:val="en-US"/>
                    </w:rPr>
                  </w:pPr>
                  <w:r>
                    <w:rPr>
                      <w:rFonts w:ascii="Times New Roman" w:hAnsi="Times New Roman"/>
                      <w:lang w:val="en-US"/>
                    </w:rPr>
                    <w:t>74</w:t>
                  </w:r>
                </w:p>
              </w:tc>
              <w:tc>
                <w:tcPr>
                  <w:tcW w:w="406" w:type="pct"/>
                  <w:vAlign w:val="center"/>
                </w:tcPr>
                <w:p>
                  <w:pPr>
                    <w:jc w:val="center"/>
                    <w:rPr>
                      <w:rFonts w:ascii="Times New Roman" w:hAnsi="Times New Roman"/>
                      <w:lang w:val="en-US"/>
                    </w:rPr>
                  </w:pPr>
                  <w:r>
                    <w:rPr>
                      <w:rFonts w:ascii="Times New Roman" w:hAnsi="Times New Roman"/>
                      <w:lang w:val="en-US"/>
                    </w:rPr>
                    <w:t>502</w:t>
                  </w:r>
                </w:p>
              </w:tc>
              <w:tc>
                <w:tcPr>
                  <w:tcW w:w="500" w:type="pct"/>
                  <w:vAlign w:val="center"/>
                </w:tcPr>
                <w:p>
                  <w:pPr>
                    <w:snapToGrid w:val="0"/>
                    <w:jc w:val="center"/>
                    <w:rPr>
                      <w:rFonts w:ascii="Times New Roman" w:hAnsi="Times New Roman"/>
                    </w:rPr>
                  </w:pPr>
                  <w:r>
                    <w:rPr>
                      <w:rFonts w:ascii="Times New Roman" w:hAnsi="Times New Roman"/>
                    </w:rPr>
                    <w:t>居民</w:t>
                  </w:r>
                </w:p>
              </w:tc>
              <w:tc>
                <w:tcPr>
                  <w:tcW w:w="522" w:type="pct"/>
                  <w:vAlign w:val="center"/>
                </w:tcPr>
                <w:p>
                  <w:pPr>
                    <w:jc w:val="center"/>
                    <w:rPr>
                      <w:rFonts w:ascii="Times New Roman" w:hAnsi="Times New Roman"/>
                    </w:rPr>
                  </w:pPr>
                  <w:r>
                    <w:rPr>
                      <w:rFonts w:ascii="Times New Roman" w:hAnsi="Times New Roman"/>
                    </w:rPr>
                    <w:t>约</w:t>
                  </w:r>
                  <w:r>
                    <w:rPr>
                      <w:rFonts w:ascii="Times New Roman" w:hAnsi="Times New Roman"/>
                      <w:lang w:val="en-US"/>
                    </w:rPr>
                    <w:t>200</w:t>
                  </w:r>
                  <w:r>
                    <w:rPr>
                      <w:rFonts w:ascii="Times New Roman" w:hAnsi="Times New Roman"/>
                    </w:rPr>
                    <w:t>人</w:t>
                  </w:r>
                </w:p>
              </w:tc>
              <w:tc>
                <w:tcPr>
                  <w:tcW w:w="1126" w:type="pct"/>
                  <w:vMerge w:val="restart"/>
                  <w:vAlign w:val="center"/>
                </w:tcPr>
                <w:p>
                  <w:pPr>
                    <w:snapToGrid w:val="0"/>
                    <w:jc w:val="center"/>
                    <w:rPr>
                      <w:rFonts w:ascii="Times New Roman" w:hAnsi="Times New Roman"/>
                    </w:rPr>
                  </w:pPr>
                  <w:r>
                    <w:rPr>
                      <w:rFonts w:ascii="Times New Roman" w:hAnsi="Times New Roman"/>
                    </w:rPr>
                    <w:t>二类区，质量满足（GB3095-2012）及修改单中二级标准</w:t>
                  </w:r>
                </w:p>
              </w:tc>
              <w:tc>
                <w:tcPr>
                  <w:tcW w:w="525" w:type="pct"/>
                  <w:vAlign w:val="center"/>
                </w:tcPr>
                <w:p>
                  <w:pPr>
                    <w:snapToGrid w:val="0"/>
                    <w:jc w:val="center"/>
                    <w:rPr>
                      <w:rFonts w:ascii="Times New Roman" w:hAnsi="Times New Roman"/>
                      <w:lang w:val="en-US"/>
                    </w:rPr>
                  </w:pPr>
                  <w:r>
                    <w:rPr>
                      <w:rFonts w:ascii="Times New Roman" w:hAnsi="Times New Roman"/>
                      <w:lang w:val="en-US"/>
                    </w:rPr>
                    <w:t>N</w:t>
                  </w:r>
                </w:p>
              </w:tc>
              <w:tc>
                <w:tcPr>
                  <w:tcW w:w="527" w:type="pct"/>
                  <w:vAlign w:val="center"/>
                </w:tcPr>
                <w:p>
                  <w:pPr>
                    <w:jc w:val="center"/>
                    <w:rPr>
                      <w:rFonts w:ascii="Times New Roman" w:hAnsi="Times New Roman"/>
                      <w:lang w:val="en-US"/>
                    </w:rPr>
                  </w:pPr>
                  <w:r>
                    <w:rPr>
                      <w:rFonts w:ascii="Times New Roman" w:hAnsi="Times New Roman"/>
                      <w:lang w:val="en-US"/>
                    </w:rPr>
                    <w:t>158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8" w:type="pct"/>
                  <w:vAlign w:val="center"/>
                </w:tcPr>
                <w:p>
                  <w:pPr>
                    <w:snapToGrid w:val="0"/>
                    <w:jc w:val="center"/>
                    <w:rPr>
                      <w:rFonts w:ascii="Times New Roman" w:hAnsi="Times New Roman"/>
                      <w:lang w:val="en-US"/>
                    </w:rPr>
                  </w:pPr>
                  <w:r>
                    <w:rPr>
                      <w:rFonts w:ascii="Times New Roman" w:hAnsi="Times New Roman"/>
                      <w:lang w:val="en-US"/>
                    </w:rPr>
                    <w:t>2</w:t>
                  </w:r>
                </w:p>
              </w:tc>
              <w:tc>
                <w:tcPr>
                  <w:tcW w:w="484" w:type="pct"/>
                  <w:vAlign w:val="center"/>
                </w:tcPr>
                <w:p>
                  <w:pPr>
                    <w:jc w:val="center"/>
                    <w:rPr>
                      <w:rFonts w:ascii="Times New Roman" w:hAnsi="Times New Roman"/>
                      <w:lang w:val="en-US"/>
                    </w:rPr>
                  </w:pPr>
                  <w:r>
                    <w:rPr>
                      <w:rFonts w:ascii="Times New Roman" w:hAnsi="Times New Roman"/>
                      <w:lang w:val="en-US"/>
                    </w:rPr>
                    <w:t>朱王庄</w:t>
                  </w:r>
                </w:p>
              </w:tc>
              <w:tc>
                <w:tcPr>
                  <w:tcW w:w="583" w:type="pct"/>
                  <w:vAlign w:val="center"/>
                </w:tcPr>
                <w:p>
                  <w:pPr>
                    <w:jc w:val="center"/>
                    <w:rPr>
                      <w:rFonts w:ascii="Times New Roman" w:hAnsi="Times New Roman"/>
                      <w:lang w:val="en-US"/>
                    </w:rPr>
                  </w:pPr>
                  <w:r>
                    <w:rPr>
                      <w:rFonts w:ascii="Times New Roman" w:hAnsi="Times New Roman"/>
                      <w:lang w:val="en-US"/>
                    </w:rPr>
                    <w:t>321</w:t>
                  </w:r>
                </w:p>
              </w:tc>
              <w:tc>
                <w:tcPr>
                  <w:tcW w:w="406" w:type="pct"/>
                  <w:vAlign w:val="center"/>
                </w:tcPr>
                <w:p>
                  <w:pPr>
                    <w:jc w:val="center"/>
                    <w:rPr>
                      <w:rFonts w:ascii="Times New Roman" w:hAnsi="Times New Roman"/>
                      <w:lang w:val="en-US"/>
                    </w:rPr>
                  </w:pPr>
                  <w:r>
                    <w:rPr>
                      <w:rFonts w:ascii="Times New Roman" w:hAnsi="Times New Roman"/>
                      <w:lang w:val="en-US"/>
                    </w:rPr>
                    <w:t>198</w:t>
                  </w:r>
                </w:p>
              </w:tc>
              <w:tc>
                <w:tcPr>
                  <w:tcW w:w="500" w:type="pct"/>
                  <w:vAlign w:val="center"/>
                </w:tcPr>
                <w:p>
                  <w:pPr>
                    <w:snapToGrid w:val="0"/>
                    <w:jc w:val="center"/>
                    <w:rPr>
                      <w:rFonts w:ascii="Times New Roman" w:hAnsi="Times New Roman"/>
                      <w:lang w:val="en-US"/>
                    </w:rPr>
                  </w:pPr>
                  <w:r>
                    <w:rPr>
                      <w:rFonts w:ascii="Times New Roman" w:hAnsi="Times New Roman"/>
                    </w:rPr>
                    <w:t>居民</w:t>
                  </w:r>
                </w:p>
              </w:tc>
              <w:tc>
                <w:tcPr>
                  <w:tcW w:w="522" w:type="pct"/>
                  <w:vAlign w:val="center"/>
                </w:tcPr>
                <w:p>
                  <w:pPr>
                    <w:jc w:val="center"/>
                    <w:rPr>
                      <w:rFonts w:ascii="Times New Roman" w:hAnsi="Times New Roman"/>
                      <w:lang w:val="en-US"/>
                    </w:rPr>
                  </w:pPr>
                  <w:r>
                    <w:rPr>
                      <w:rFonts w:ascii="Times New Roman" w:hAnsi="Times New Roman"/>
                    </w:rPr>
                    <w:t>约</w:t>
                  </w:r>
                  <w:r>
                    <w:rPr>
                      <w:rFonts w:ascii="Times New Roman" w:hAnsi="Times New Roman"/>
                      <w:lang w:val="en-US"/>
                    </w:rPr>
                    <w:t>220</w:t>
                  </w:r>
                  <w:r>
                    <w:rPr>
                      <w:rFonts w:ascii="Times New Roman" w:hAnsi="Times New Roman"/>
                    </w:rPr>
                    <w:t>人</w:t>
                  </w:r>
                </w:p>
              </w:tc>
              <w:tc>
                <w:tcPr>
                  <w:tcW w:w="1126" w:type="pct"/>
                  <w:vMerge w:val="continue"/>
                  <w:vAlign w:val="center"/>
                </w:tcPr>
                <w:p>
                  <w:pPr>
                    <w:snapToGrid w:val="0"/>
                    <w:jc w:val="center"/>
                    <w:rPr>
                      <w:rFonts w:ascii="Times New Roman" w:hAnsi="Times New Roman"/>
                    </w:rPr>
                  </w:pPr>
                </w:p>
              </w:tc>
              <w:tc>
                <w:tcPr>
                  <w:tcW w:w="525" w:type="pct"/>
                  <w:vAlign w:val="center"/>
                </w:tcPr>
                <w:p>
                  <w:pPr>
                    <w:snapToGrid w:val="0"/>
                    <w:jc w:val="center"/>
                    <w:rPr>
                      <w:rFonts w:ascii="Times New Roman" w:hAnsi="Times New Roman"/>
                      <w:lang w:val="en-US"/>
                    </w:rPr>
                  </w:pPr>
                  <w:r>
                    <w:rPr>
                      <w:rFonts w:ascii="Times New Roman" w:hAnsi="Times New Roman"/>
                      <w:lang w:val="en-US"/>
                    </w:rPr>
                    <w:t>E</w:t>
                  </w:r>
                </w:p>
              </w:tc>
              <w:tc>
                <w:tcPr>
                  <w:tcW w:w="527" w:type="pct"/>
                  <w:vAlign w:val="center"/>
                </w:tcPr>
                <w:p>
                  <w:pPr>
                    <w:jc w:val="center"/>
                    <w:rPr>
                      <w:rFonts w:ascii="Times New Roman" w:hAnsi="Times New Roman"/>
                      <w:lang w:val="en-US"/>
                    </w:rPr>
                  </w:pPr>
                  <w:r>
                    <w:rPr>
                      <w:rFonts w:ascii="Times New Roman" w:hAnsi="Times New Roman"/>
                      <w:lang w:val="en-US"/>
                    </w:rPr>
                    <w:t>187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28" w:type="pct"/>
                  <w:vAlign w:val="center"/>
                </w:tcPr>
                <w:p>
                  <w:pPr>
                    <w:snapToGrid w:val="0"/>
                    <w:jc w:val="center"/>
                    <w:rPr>
                      <w:rFonts w:ascii="Times New Roman" w:hAnsi="Times New Roman"/>
                      <w:lang w:val="en-US"/>
                    </w:rPr>
                  </w:pPr>
                  <w:r>
                    <w:rPr>
                      <w:rFonts w:ascii="Times New Roman" w:hAnsi="Times New Roman"/>
                      <w:lang w:val="en-US"/>
                    </w:rPr>
                    <w:t>3</w:t>
                  </w:r>
                </w:p>
              </w:tc>
              <w:tc>
                <w:tcPr>
                  <w:tcW w:w="484" w:type="pct"/>
                  <w:vAlign w:val="center"/>
                </w:tcPr>
                <w:p>
                  <w:pPr>
                    <w:jc w:val="center"/>
                    <w:rPr>
                      <w:rFonts w:ascii="Times New Roman" w:hAnsi="Times New Roman"/>
                      <w:lang w:val="en-US"/>
                    </w:rPr>
                  </w:pPr>
                  <w:r>
                    <w:rPr>
                      <w:rFonts w:ascii="Times New Roman" w:hAnsi="Times New Roman"/>
                      <w:lang w:val="en-US"/>
                    </w:rPr>
                    <w:t>拐王村</w:t>
                  </w:r>
                </w:p>
              </w:tc>
              <w:tc>
                <w:tcPr>
                  <w:tcW w:w="583" w:type="pct"/>
                  <w:vAlign w:val="center"/>
                </w:tcPr>
                <w:p>
                  <w:pPr>
                    <w:jc w:val="center"/>
                    <w:rPr>
                      <w:rFonts w:ascii="Times New Roman" w:hAnsi="Times New Roman"/>
                      <w:lang w:val="en-US"/>
                    </w:rPr>
                  </w:pPr>
                  <w:r>
                    <w:rPr>
                      <w:rFonts w:ascii="Times New Roman" w:hAnsi="Times New Roman"/>
                      <w:lang w:val="en-US"/>
                    </w:rPr>
                    <w:t>-657</w:t>
                  </w:r>
                </w:p>
              </w:tc>
              <w:tc>
                <w:tcPr>
                  <w:tcW w:w="406" w:type="pct"/>
                  <w:vAlign w:val="center"/>
                </w:tcPr>
                <w:p>
                  <w:pPr>
                    <w:jc w:val="center"/>
                    <w:rPr>
                      <w:rFonts w:ascii="Times New Roman" w:hAnsi="Times New Roman"/>
                      <w:lang w:val="en-US"/>
                    </w:rPr>
                  </w:pPr>
                  <w:r>
                    <w:rPr>
                      <w:rFonts w:ascii="Times New Roman" w:hAnsi="Times New Roman"/>
                      <w:lang w:val="en-US"/>
                    </w:rPr>
                    <w:t>10</w:t>
                  </w:r>
                </w:p>
              </w:tc>
              <w:tc>
                <w:tcPr>
                  <w:tcW w:w="500" w:type="pct"/>
                  <w:vAlign w:val="center"/>
                </w:tcPr>
                <w:p>
                  <w:pPr>
                    <w:snapToGrid w:val="0"/>
                    <w:jc w:val="center"/>
                    <w:rPr>
                      <w:rFonts w:ascii="Times New Roman" w:hAnsi="Times New Roman"/>
                      <w:lang w:val="en-US"/>
                    </w:rPr>
                  </w:pPr>
                  <w:r>
                    <w:rPr>
                      <w:rFonts w:ascii="Times New Roman" w:hAnsi="Times New Roman"/>
                    </w:rPr>
                    <w:t>居民</w:t>
                  </w:r>
                </w:p>
              </w:tc>
              <w:tc>
                <w:tcPr>
                  <w:tcW w:w="522" w:type="pct"/>
                  <w:vAlign w:val="center"/>
                </w:tcPr>
                <w:p>
                  <w:pPr>
                    <w:jc w:val="center"/>
                    <w:rPr>
                      <w:rFonts w:ascii="Times New Roman" w:hAnsi="Times New Roman"/>
                      <w:lang w:val="en-US"/>
                    </w:rPr>
                  </w:pPr>
                  <w:r>
                    <w:rPr>
                      <w:rFonts w:ascii="Times New Roman" w:hAnsi="Times New Roman"/>
                    </w:rPr>
                    <w:t>约</w:t>
                  </w:r>
                  <w:r>
                    <w:rPr>
                      <w:rFonts w:ascii="Times New Roman" w:hAnsi="Times New Roman"/>
                      <w:lang w:val="en-US"/>
                    </w:rPr>
                    <w:t>150</w:t>
                  </w:r>
                  <w:r>
                    <w:rPr>
                      <w:rFonts w:ascii="Times New Roman" w:hAnsi="Times New Roman"/>
                    </w:rPr>
                    <w:t>人</w:t>
                  </w:r>
                </w:p>
              </w:tc>
              <w:tc>
                <w:tcPr>
                  <w:tcW w:w="1126" w:type="pct"/>
                  <w:vMerge w:val="continue"/>
                  <w:vAlign w:val="center"/>
                </w:tcPr>
                <w:p>
                  <w:pPr>
                    <w:snapToGrid w:val="0"/>
                    <w:jc w:val="center"/>
                    <w:rPr>
                      <w:rFonts w:ascii="Times New Roman" w:hAnsi="Times New Roman"/>
                    </w:rPr>
                  </w:pPr>
                </w:p>
              </w:tc>
              <w:tc>
                <w:tcPr>
                  <w:tcW w:w="525" w:type="pct"/>
                  <w:vAlign w:val="center"/>
                </w:tcPr>
                <w:p>
                  <w:pPr>
                    <w:snapToGrid w:val="0"/>
                    <w:jc w:val="center"/>
                    <w:rPr>
                      <w:rFonts w:ascii="Times New Roman" w:hAnsi="Times New Roman"/>
                      <w:lang w:val="en-US"/>
                    </w:rPr>
                  </w:pPr>
                  <w:r>
                    <w:rPr>
                      <w:rFonts w:ascii="Times New Roman" w:hAnsi="Times New Roman"/>
                      <w:lang w:val="en-US"/>
                    </w:rPr>
                    <w:t>W</w:t>
                  </w:r>
                </w:p>
              </w:tc>
              <w:tc>
                <w:tcPr>
                  <w:tcW w:w="527" w:type="pct"/>
                  <w:vAlign w:val="center"/>
                </w:tcPr>
                <w:p>
                  <w:pPr>
                    <w:jc w:val="center"/>
                    <w:rPr>
                      <w:rFonts w:ascii="Times New Roman" w:hAnsi="Times New Roman"/>
                      <w:lang w:val="en-US"/>
                    </w:rPr>
                  </w:pPr>
                  <w:r>
                    <w:rPr>
                      <w:rFonts w:ascii="Times New Roman" w:hAnsi="Times New Roman"/>
                      <w:lang w:val="en-US"/>
                    </w:rPr>
                    <w:t>369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28" w:type="pct"/>
                  <w:vAlign w:val="center"/>
                </w:tcPr>
                <w:p>
                  <w:pPr>
                    <w:snapToGrid w:val="0"/>
                    <w:jc w:val="center"/>
                    <w:rPr>
                      <w:rFonts w:ascii="Times New Roman" w:hAnsi="Times New Roman"/>
                      <w:lang w:val="en-US"/>
                    </w:rPr>
                  </w:pPr>
                  <w:r>
                    <w:rPr>
                      <w:rFonts w:ascii="Times New Roman" w:hAnsi="Times New Roman"/>
                      <w:lang w:val="en-US"/>
                    </w:rPr>
                    <w:t>4</w:t>
                  </w:r>
                </w:p>
              </w:tc>
              <w:tc>
                <w:tcPr>
                  <w:tcW w:w="484" w:type="pct"/>
                  <w:vAlign w:val="center"/>
                </w:tcPr>
                <w:p>
                  <w:pPr>
                    <w:jc w:val="center"/>
                    <w:rPr>
                      <w:rFonts w:ascii="Times New Roman" w:hAnsi="Times New Roman"/>
                      <w:lang w:val="en-US"/>
                    </w:rPr>
                  </w:pPr>
                  <w:r>
                    <w:rPr>
                      <w:rFonts w:ascii="Times New Roman" w:hAnsi="Times New Roman"/>
                      <w:lang w:val="en-US"/>
                    </w:rPr>
                    <w:t>桥王村</w:t>
                  </w:r>
                </w:p>
              </w:tc>
              <w:tc>
                <w:tcPr>
                  <w:tcW w:w="583" w:type="pct"/>
                  <w:vAlign w:val="center"/>
                </w:tcPr>
                <w:p>
                  <w:pPr>
                    <w:jc w:val="center"/>
                    <w:rPr>
                      <w:rFonts w:ascii="Times New Roman" w:hAnsi="Times New Roman"/>
                      <w:lang w:val="en-US"/>
                    </w:rPr>
                  </w:pPr>
                  <w:r>
                    <w:rPr>
                      <w:rFonts w:ascii="Times New Roman" w:hAnsi="Times New Roman"/>
                      <w:lang w:val="en-US"/>
                    </w:rPr>
                    <w:t>-257</w:t>
                  </w:r>
                </w:p>
              </w:tc>
              <w:tc>
                <w:tcPr>
                  <w:tcW w:w="406" w:type="pct"/>
                  <w:vAlign w:val="center"/>
                </w:tcPr>
                <w:p>
                  <w:pPr>
                    <w:jc w:val="center"/>
                    <w:rPr>
                      <w:rFonts w:ascii="Times New Roman" w:hAnsi="Times New Roman"/>
                      <w:lang w:val="en-US"/>
                    </w:rPr>
                  </w:pPr>
                  <w:r>
                    <w:rPr>
                      <w:rFonts w:ascii="Times New Roman" w:hAnsi="Times New Roman"/>
                      <w:lang w:val="en-US"/>
                    </w:rPr>
                    <w:t>-202</w:t>
                  </w:r>
                </w:p>
              </w:tc>
              <w:tc>
                <w:tcPr>
                  <w:tcW w:w="500" w:type="pct"/>
                  <w:vAlign w:val="center"/>
                </w:tcPr>
                <w:p>
                  <w:pPr>
                    <w:snapToGrid w:val="0"/>
                    <w:jc w:val="center"/>
                    <w:rPr>
                      <w:rFonts w:ascii="Times New Roman" w:hAnsi="Times New Roman"/>
                      <w:lang w:val="en-US"/>
                    </w:rPr>
                  </w:pPr>
                  <w:r>
                    <w:rPr>
                      <w:rFonts w:ascii="Times New Roman" w:hAnsi="Times New Roman"/>
                    </w:rPr>
                    <w:t>居民</w:t>
                  </w:r>
                </w:p>
              </w:tc>
              <w:tc>
                <w:tcPr>
                  <w:tcW w:w="522" w:type="pct"/>
                  <w:vAlign w:val="center"/>
                </w:tcPr>
                <w:p>
                  <w:pPr>
                    <w:jc w:val="center"/>
                    <w:rPr>
                      <w:rFonts w:ascii="Times New Roman" w:hAnsi="Times New Roman"/>
                    </w:rPr>
                  </w:pPr>
                  <w:r>
                    <w:rPr>
                      <w:rFonts w:ascii="Times New Roman" w:hAnsi="Times New Roman"/>
                    </w:rPr>
                    <w:t>约</w:t>
                  </w:r>
                  <w:r>
                    <w:rPr>
                      <w:rFonts w:ascii="Times New Roman" w:hAnsi="Times New Roman"/>
                      <w:lang w:val="en-US"/>
                    </w:rPr>
                    <w:t>270</w:t>
                  </w:r>
                  <w:r>
                    <w:rPr>
                      <w:rFonts w:ascii="Times New Roman" w:hAnsi="Times New Roman"/>
                    </w:rPr>
                    <w:t>人</w:t>
                  </w:r>
                </w:p>
              </w:tc>
              <w:tc>
                <w:tcPr>
                  <w:tcW w:w="1126" w:type="pct"/>
                  <w:vMerge w:val="continue"/>
                  <w:vAlign w:val="center"/>
                </w:tcPr>
                <w:p>
                  <w:pPr>
                    <w:snapToGrid w:val="0"/>
                    <w:jc w:val="center"/>
                    <w:rPr>
                      <w:rFonts w:ascii="Times New Roman" w:hAnsi="Times New Roman"/>
                    </w:rPr>
                  </w:pPr>
                </w:p>
              </w:tc>
              <w:tc>
                <w:tcPr>
                  <w:tcW w:w="525" w:type="pct"/>
                  <w:vAlign w:val="center"/>
                </w:tcPr>
                <w:p>
                  <w:pPr>
                    <w:snapToGrid w:val="0"/>
                    <w:jc w:val="center"/>
                    <w:rPr>
                      <w:rFonts w:ascii="Times New Roman" w:hAnsi="Times New Roman"/>
                      <w:lang w:val="en-US"/>
                    </w:rPr>
                  </w:pPr>
                  <w:r>
                    <w:rPr>
                      <w:rFonts w:ascii="Times New Roman" w:hAnsi="Times New Roman"/>
                      <w:lang w:val="en-US"/>
                    </w:rPr>
                    <w:t>WS</w:t>
                  </w:r>
                </w:p>
              </w:tc>
              <w:tc>
                <w:tcPr>
                  <w:tcW w:w="527" w:type="pct"/>
                  <w:vAlign w:val="center"/>
                </w:tcPr>
                <w:p>
                  <w:pPr>
                    <w:jc w:val="center"/>
                    <w:rPr>
                      <w:rFonts w:ascii="Times New Roman" w:hAnsi="Times New Roman"/>
                      <w:lang w:val="en-US"/>
                    </w:rPr>
                  </w:pPr>
                  <w:r>
                    <w:rPr>
                      <w:rFonts w:ascii="Times New Roman" w:hAnsi="Times New Roman"/>
                      <w:lang w:val="en-US"/>
                    </w:rPr>
                    <w:t>327</w:t>
                  </w:r>
                </w:p>
              </w:tc>
            </w:tr>
          </w:tbl>
          <w:p>
            <w:pPr>
              <w:spacing w:line="440" w:lineRule="exact"/>
              <w:ind w:firstLine="422" w:firstLineChars="200"/>
              <w:jc w:val="both"/>
              <w:rPr>
                <w:rFonts w:ascii="Times New Roman" w:hAnsi="Times New Roman"/>
                <w:b/>
              </w:rPr>
            </w:pPr>
            <w:r>
              <w:rPr>
                <w:rFonts w:ascii="Times New Roman" w:hAnsi="Times New Roman"/>
                <w:b/>
              </w:rPr>
              <w:t>注：</w:t>
            </w:r>
            <w:r>
              <w:rPr>
                <w:rFonts w:ascii="Times New Roman" w:hAnsi="Times New Roman"/>
                <w:b/>
                <w:lang w:val="en-US"/>
              </w:rPr>
              <w:t>以西南</w:t>
            </w:r>
            <w:r>
              <w:rPr>
                <w:rFonts w:ascii="Times New Roman" w:hAnsi="Times New Roman"/>
                <w:b/>
              </w:rPr>
              <w:t>角为坐标原点。</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2、声环境</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根据现场调查，厂界外50米范围内无声环境保护目标。</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3、地下水</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厂界外500米范围内无地下水集中式饮用水水源和热水、矿泉水、温泉等特殊地下水资源。</w:t>
            </w:r>
          </w:p>
          <w:p>
            <w:pPr>
              <w:widowControl/>
              <w:spacing w:line="440" w:lineRule="exact"/>
              <w:ind w:firstLine="482" w:firstLineChars="200"/>
              <w:jc w:val="both"/>
              <w:rPr>
                <w:rFonts w:ascii="Times New Roman" w:hAnsi="Times New Roman"/>
                <w:b/>
                <w:sz w:val="24"/>
                <w:szCs w:val="24"/>
                <w:lang w:val="en-US"/>
              </w:rPr>
            </w:pPr>
            <w:r>
              <w:rPr>
                <w:rFonts w:ascii="Times New Roman" w:hAnsi="Times New Roman"/>
                <w:b/>
                <w:sz w:val="24"/>
                <w:szCs w:val="24"/>
                <w:lang w:val="en-US"/>
              </w:rPr>
              <w:t>4、生态环境</w:t>
            </w:r>
          </w:p>
          <w:p>
            <w:pPr>
              <w:widowControl/>
              <w:spacing w:line="440" w:lineRule="exact"/>
              <w:ind w:firstLine="480" w:firstLineChars="200"/>
              <w:jc w:val="both"/>
              <w:rPr>
                <w:rFonts w:ascii="Times New Roman" w:hAnsi="Times New Roman"/>
                <w:bCs/>
                <w:sz w:val="24"/>
                <w:szCs w:val="24"/>
                <w:lang w:val="en-US"/>
              </w:rPr>
            </w:pPr>
            <w:r>
              <w:rPr>
                <w:rFonts w:ascii="Times New Roman" w:hAnsi="Times New Roman"/>
                <w:bCs/>
                <w:sz w:val="24"/>
                <w:szCs w:val="24"/>
                <w:lang w:val="en-US"/>
              </w:rPr>
              <w:t>项目位于淮南市凤台县凤台经济开发区桂集孵化器产业园内，为产业园区，无生态环境保护目标。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27" w:hRule="atLeast"/>
          <w:jc w:val="center"/>
        </w:trPr>
        <w:tc>
          <w:tcPr>
            <w:tcW w:w="665" w:type="dxa"/>
            <w:vAlign w:val="center"/>
          </w:tcPr>
          <w:p>
            <w:pPr>
              <w:widowControl/>
              <w:spacing w:line="440" w:lineRule="exact"/>
              <w:jc w:val="center"/>
              <w:rPr>
                <w:rFonts w:ascii="Times New Roman" w:hAnsi="Times New Roman"/>
                <w:sz w:val="24"/>
                <w:szCs w:val="24"/>
              </w:rPr>
            </w:pPr>
            <w:r>
              <w:rPr>
                <w:rFonts w:ascii="Times New Roman" w:hAnsi="Times New Roman"/>
                <w:sz w:val="24"/>
                <w:szCs w:val="24"/>
                <w:lang w:val="en-US"/>
              </w:rPr>
              <w:t>污染物排放控制标准</w:t>
            </w:r>
          </w:p>
          <w:p>
            <w:pPr>
              <w:widowControl/>
              <w:spacing w:line="440" w:lineRule="exact"/>
              <w:jc w:val="center"/>
              <w:rPr>
                <w:rFonts w:ascii="Times New Roman" w:hAnsi="Times New Roman"/>
              </w:rPr>
            </w:pPr>
          </w:p>
        </w:tc>
        <w:tc>
          <w:tcPr>
            <w:tcW w:w="8974" w:type="dxa"/>
            <w:vAlign w:val="center"/>
          </w:tcPr>
          <w:p>
            <w:pPr>
              <w:widowControl/>
              <w:spacing w:line="440" w:lineRule="exact"/>
              <w:ind w:firstLine="482" w:firstLineChars="200"/>
              <w:jc w:val="both"/>
              <w:rPr>
                <w:rFonts w:ascii="Times New Roman" w:hAnsi="Times New Roman"/>
              </w:rPr>
            </w:pPr>
            <w:bookmarkStart w:id="47" w:name="_Hlk112773159"/>
            <w:r>
              <w:rPr>
                <w:rFonts w:ascii="Times New Roman" w:hAnsi="Times New Roman"/>
                <w:b/>
                <w:sz w:val="24"/>
                <w:szCs w:val="24"/>
                <w:lang w:val="en-US"/>
              </w:rPr>
              <w:t>1、水污染物排放标准</w:t>
            </w:r>
          </w:p>
          <w:p>
            <w:pPr>
              <w:spacing w:line="440" w:lineRule="exact"/>
              <w:ind w:firstLine="480" w:firstLineChars="200"/>
              <w:jc w:val="both"/>
              <w:rPr>
                <w:rFonts w:ascii="Times New Roman" w:hAnsi="Times New Roman"/>
                <w:sz w:val="24"/>
                <w:szCs w:val="24"/>
              </w:rPr>
            </w:pPr>
            <w:r>
              <w:rPr>
                <w:rFonts w:hint="eastAsia" w:ascii="Times New Roman" w:hAnsi="Times New Roman"/>
                <w:sz w:val="24"/>
                <w:szCs w:val="24"/>
              </w:rPr>
              <w:t>项目外排生活废水经化粪池预处理，生产废水经三级絮凝沉淀池处理后通过市政污水管网，进入桂集镇污水处理厂进行深度处理</w:t>
            </w:r>
            <w:r>
              <w:rPr>
                <w:rFonts w:ascii="Times New Roman" w:hAnsi="Times New Roman"/>
                <w:sz w:val="24"/>
                <w:szCs w:val="24"/>
              </w:rPr>
              <w:t>，</w:t>
            </w:r>
            <w:bookmarkStart w:id="48" w:name="_Hlk112681675"/>
            <w:r>
              <w:rPr>
                <w:rFonts w:ascii="Times New Roman" w:hAnsi="Times New Roman"/>
                <w:sz w:val="24"/>
                <w:szCs w:val="24"/>
              </w:rPr>
              <w:t>项目废水排放执行《污水综合排放标准》（GB8978-1996）中三级排放标准及桂集镇污水处理厂接管标准</w:t>
            </w:r>
            <w:bookmarkEnd w:id="48"/>
            <w:r>
              <w:rPr>
                <w:rFonts w:ascii="Times New Roman" w:hAnsi="Times New Roman"/>
                <w:sz w:val="24"/>
                <w:szCs w:val="24"/>
              </w:rPr>
              <w:t>，具体标准值见下表。</w:t>
            </w:r>
          </w:p>
          <w:p>
            <w:pPr>
              <w:pStyle w:val="28"/>
              <w:spacing w:line="440" w:lineRule="exact"/>
              <w:jc w:val="center"/>
              <w:rPr>
                <w:rFonts w:ascii="Times New Roman" w:hAnsi="Times New Roman"/>
                <w:b/>
                <w:bCs/>
              </w:rPr>
            </w:pPr>
            <w:r>
              <w:rPr>
                <w:rFonts w:ascii="Times New Roman" w:hAnsi="Times New Roman"/>
                <w:b/>
                <w:bCs/>
                <w:sz w:val="21"/>
                <w:szCs w:val="21"/>
              </w:rPr>
              <w:t>表3-7  项目废水排放标准（单位：mg/L）</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55"/>
              <w:gridCol w:w="705"/>
              <w:gridCol w:w="566"/>
              <w:gridCol w:w="844"/>
              <w:gridCol w:w="706"/>
              <w:gridCol w:w="566"/>
              <w:gridCol w:w="694"/>
              <w:gridCol w:w="743"/>
              <w:gridCol w:w="743"/>
              <w:gridCol w:w="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02" w:type="pct"/>
                  <w:vAlign w:val="center"/>
                </w:tcPr>
                <w:p>
                  <w:pPr>
                    <w:pStyle w:val="102"/>
                    <w:rPr>
                      <w:b/>
                      <w:bCs/>
                    </w:rPr>
                  </w:pPr>
                  <w:r>
                    <w:rPr>
                      <w:b/>
                      <w:bCs/>
                    </w:rPr>
                    <w:t>项目</w:t>
                  </w:r>
                </w:p>
              </w:tc>
              <w:tc>
                <w:tcPr>
                  <w:tcW w:w="403" w:type="pct"/>
                  <w:vAlign w:val="center"/>
                </w:tcPr>
                <w:p>
                  <w:pPr>
                    <w:pStyle w:val="102"/>
                    <w:rPr>
                      <w:b/>
                      <w:bCs/>
                    </w:rPr>
                  </w:pPr>
                  <w:r>
                    <w:rPr>
                      <w:b/>
                      <w:bCs/>
                    </w:rPr>
                    <w:t>pH</w:t>
                  </w:r>
                </w:p>
              </w:tc>
              <w:tc>
                <w:tcPr>
                  <w:tcW w:w="323" w:type="pct"/>
                  <w:vAlign w:val="center"/>
                </w:tcPr>
                <w:p>
                  <w:pPr>
                    <w:pStyle w:val="102"/>
                    <w:rPr>
                      <w:b/>
                      <w:bCs/>
                    </w:rPr>
                  </w:pPr>
                  <w:r>
                    <w:rPr>
                      <w:b/>
                      <w:bCs/>
                    </w:rPr>
                    <w:t>COD</w:t>
                  </w:r>
                </w:p>
              </w:tc>
              <w:tc>
                <w:tcPr>
                  <w:tcW w:w="482" w:type="pct"/>
                  <w:vAlign w:val="center"/>
                </w:tcPr>
                <w:p>
                  <w:pPr>
                    <w:pStyle w:val="102"/>
                    <w:rPr>
                      <w:b/>
                      <w:bCs/>
                    </w:rPr>
                  </w:pPr>
                  <w:r>
                    <w:rPr>
                      <w:b/>
                      <w:bCs/>
                    </w:rPr>
                    <w:t>BOD</w:t>
                  </w:r>
                  <w:r>
                    <w:rPr>
                      <w:b/>
                      <w:bCs/>
                      <w:vertAlign w:val="subscript"/>
                    </w:rPr>
                    <w:t>5</w:t>
                  </w:r>
                </w:p>
              </w:tc>
              <w:tc>
                <w:tcPr>
                  <w:tcW w:w="403" w:type="pct"/>
                  <w:vAlign w:val="center"/>
                </w:tcPr>
                <w:p>
                  <w:pPr>
                    <w:pStyle w:val="102"/>
                    <w:rPr>
                      <w:b/>
                      <w:bCs/>
                    </w:rPr>
                  </w:pPr>
                  <w:r>
                    <w:rPr>
                      <w:b/>
                      <w:bCs/>
                    </w:rPr>
                    <w:t>氨氮</w:t>
                  </w:r>
                </w:p>
              </w:tc>
              <w:tc>
                <w:tcPr>
                  <w:tcW w:w="323" w:type="pct"/>
                  <w:vAlign w:val="center"/>
                </w:tcPr>
                <w:p>
                  <w:pPr>
                    <w:pStyle w:val="102"/>
                    <w:rPr>
                      <w:b/>
                      <w:bCs/>
                    </w:rPr>
                  </w:pPr>
                  <w:r>
                    <w:rPr>
                      <w:b/>
                      <w:bCs/>
                    </w:rPr>
                    <w:t>SS</w:t>
                  </w:r>
                </w:p>
              </w:tc>
              <w:tc>
                <w:tcPr>
                  <w:tcW w:w="396" w:type="pct"/>
                  <w:vAlign w:val="center"/>
                </w:tcPr>
                <w:p>
                  <w:pPr>
                    <w:pStyle w:val="102"/>
                    <w:rPr>
                      <w:b/>
                      <w:bCs/>
                    </w:rPr>
                  </w:pPr>
                  <w:r>
                    <w:rPr>
                      <w:b/>
                      <w:bCs/>
                    </w:rPr>
                    <w:t>TN</w:t>
                  </w:r>
                </w:p>
              </w:tc>
              <w:tc>
                <w:tcPr>
                  <w:tcW w:w="424" w:type="pct"/>
                  <w:vAlign w:val="center"/>
                </w:tcPr>
                <w:p>
                  <w:pPr>
                    <w:pStyle w:val="102"/>
                    <w:rPr>
                      <w:b/>
                      <w:bCs/>
                    </w:rPr>
                  </w:pPr>
                  <w:r>
                    <w:rPr>
                      <w:b/>
                      <w:bCs/>
                    </w:rPr>
                    <w:t>LAS</w:t>
                  </w:r>
                </w:p>
              </w:tc>
              <w:tc>
                <w:tcPr>
                  <w:tcW w:w="424" w:type="pct"/>
                  <w:vAlign w:val="center"/>
                </w:tcPr>
                <w:p>
                  <w:pPr>
                    <w:pStyle w:val="102"/>
                    <w:jc w:val="left"/>
                    <w:rPr>
                      <w:b/>
                      <w:bCs/>
                    </w:rPr>
                  </w:pPr>
                  <w:r>
                    <w:rPr>
                      <w:b/>
                      <w:bCs/>
                    </w:rPr>
                    <w:t>动植物油</w:t>
                  </w:r>
                </w:p>
              </w:tc>
              <w:tc>
                <w:tcPr>
                  <w:tcW w:w="420" w:type="pct"/>
                  <w:vAlign w:val="center"/>
                </w:tcPr>
                <w:p>
                  <w:pPr>
                    <w:pStyle w:val="102"/>
                    <w:rPr>
                      <w:b/>
                      <w:bCs/>
                    </w:rPr>
                  </w:pPr>
                  <w:r>
                    <w:rPr>
                      <w:b/>
                      <w:bCs/>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02" w:type="pct"/>
                  <w:vAlign w:val="center"/>
                </w:tcPr>
                <w:p>
                  <w:pPr>
                    <w:pStyle w:val="102"/>
                  </w:pPr>
                  <w:r>
                    <w:rPr>
                      <w:bCs/>
                    </w:rPr>
                    <w:t>桂集镇污水处理厂接管标准</w:t>
                  </w:r>
                </w:p>
              </w:tc>
              <w:tc>
                <w:tcPr>
                  <w:tcW w:w="403" w:type="pct"/>
                  <w:vAlign w:val="center"/>
                </w:tcPr>
                <w:p>
                  <w:pPr>
                    <w:pStyle w:val="102"/>
                  </w:pPr>
                  <w:r>
                    <w:t>6～9</w:t>
                  </w:r>
                </w:p>
              </w:tc>
              <w:tc>
                <w:tcPr>
                  <w:tcW w:w="323" w:type="pct"/>
                  <w:vAlign w:val="center"/>
                </w:tcPr>
                <w:p>
                  <w:pPr>
                    <w:pStyle w:val="102"/>
                  </w:pPr>
                  <w:r>
                    <w:t>500</w:t>
                  </w:r>
                </w:p>
              </w:tc>
              <w:tc>
                <w:tcPr>
                  <w:tcW w:w="482" w:type="pct"/>
                  <w:vAlign w:val="center"/>
                </w:tcPr>
                <w:p>
                  <w:pPr>
                    <w:pStyle w:val="102"/>
                  </w:pPr>
                  <w:r>
                    <w:t>300</w:t>
                  </w:r>
                </w:p>
              </w:tc>
              <w:tc>
                <w:tcPr>
                  <w:tcW w:w="403" w:type="pct"/>
                  <w:vAlign w:val="center"/>
                </w:tcPr>
                <w:p>
                  <w:pPr>
                    <w:pStyle w:val="102"/>
                  </w:pPr>
                  <w:r>
                    <w:t>45</w:t>
                  </w:r>
                </w:p>
              </w:tc>
              <w:tc>
                <w:tcPr>
                  <w:tcW w:w="323" w:type="pct"/>
                  <w:vAlign w:val="center"/>
                </w:tcPr>
                <w:p>
                  <w:pPr>
                    <w:pStyle w:val="102"/>
                  </w:pPr>
                  <w:r>
                    <w:t>400</w:t>
                  </w:r>
                </w:p>
              </w:tc>
              <w:tc>
                <w:tcPr>
                  <w:tcW w:w="396" w:type="pct"/>
                  <w:vAlign w:val="center"/>
                </w:tcPr>
                <w:p>
                  <w:pPr>
                    <w:pStyle w:val="102"/>
                  </w:pPr>
                  <w:r>
                    <w:t>70</w:t>
                  </w:r>
                </w:p>
              </w:tc>
              <w:tc>
                <w:tcPr>
                  <w:tcW w:w="424" w:type="pct"/>
                  <w:vAlign w:val="center"/>
                </w:tcPr>
                <w:p>
                  <w:pPr>
                    <w:pStyle w:val="102"/>
                  </w:pPr>
                  <w:r>
                    <w:t>/</w:t>
                  </w:r>
                </w:p>
              </w:tc>
              <w:tc>
                <w:tcPr>
                  <w:tcW w:w="424" w:type="pct"/>
                  <w:vAlign w:val="center"/>
                </w:tcPr>
                <w:p>
                  <w:pPr>
                    <w:pStyle w:val="102"/>
                  </w:pPr>
                  <w:r>
                    <w:t>100</w:t>
                  </w:r>
                </w:p>
              </w:tc>
              <w:tc>
                <w:tcPr>
                  <w:tcW w:w="420" w:type="pct"/>
                  <w:vAlign w:val="center"/>
                </w:tcPr>
                <w:p>
                  <w:pPr>
                    <w:pStyle w:val="102"/>
                  </w:pPr>
                  <w: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36" w:hRule="atLeast"/>
                <w:jc w:val="center"/>
              </w:trPr>
              <w:tc>
                <w:tcPr>
                  <w:tcW w:w="1402" w:type="pct"/>
                  <w:vAlign w:val="center"/>
                </w:tcPr>
                <w:p>
                  <w:pPr>
                    <w:adjustRightInd w:val="0"/>
                    <w:snapToGrid w:val="0"/>
                    <w:jc w:val="center"/>
                    <w:rPr>
                      <w:rFonts w:ascii="Times New Roman" w:hAnsi="Times New Roman"/>
                    </w:rPr>
                  </w:pPr>
                  <w:r>
                    <w:rPr>
                      <w:rFonts w:hint="eastAsia" w:ascii="Times New Roman" w:hAnsi="Times New Roman"/>
                    </w:rPr>
                    <w:t>《污水综合排放标准》（</w:t>
                  </w:r>
                  <w:r>
                    <w:rPr>
                      <w:rFonts w:ascii="Times New Roman" w:hAnsi="Times New Roman"/>
                    </w:rPr>
                    <w:t>GB8978-1996）</w:t>
                  </w:r>
                </w:p>
              </w:tc>
              <w:tc>
                <w:tcPr>
                  <w:tcW w:w="403" w:type="pct"/>
                  <w:vAlign w:val="center"/>
                </w:tcPr>
                <w:p>
                  <w:pPr>
                    <w:pStyle w:val="102"/>
                  </w:pPr>
                  <w:r>
                    <w:t>6～9</w:t>
                  </w:r>
                </w:p>
              </w:tc>
              <w:tc>
                <w:tcPr>
                  <w:tcW w:w="323" w:type="pct"/>
                  <w:vAlign w:val="center"/>
                </w:tcPr>
                <w:p>
                  <w:pPr>
                    <w:pStyle w:val="102"/>
                  </w:pPr>
                  <w:r>
                    <w:t>500</w:t>
                  </w:r>
                </w:p>
              </w:tc>
              <w:tc>
                <w:tcPr>
                  <w:tcW w:w="482" w:type="pct"/>
                  <w:vAlign w:val="center"/>
                </w:tcPr>
                <w:p>
                  <w:pPr>
                    <w:pStyle w:val="102"/>
                  </w:pPr>
                  <w:r>
                    <w:t>300</w:t>
                  </w:r>
                </w:p>
              </w:tc>
              <w:tc>
                <w:tcPr>
                  <w:tcW w:w="403" w:type="pct"/>
                  <w:vAlign w:val="center"/>
                </w:tcPr>
                <w:p>
                  <w:pPr>
                    <w:pStyle w:val="102"/>
                  </w:pPr>
                  <w:r>
                    <w:t>/</w:t>
                  </w:r>
                </w:p>
              </w:tc>
              <w:tc>
                <w:tcPr>
                  <w:tcW w:w="323" w:type="pct"/>
                  <w:vAlign w:val="center"/>
                </w:tcPr>
                <w:p>
                  <w:pPr>
                    <w:pStyle w:val="102"/>
                  </w:pPr>
                  <w:r>
                    <w:t>400</w:t>
                  </w:r>
                </w:p>
              </w:tc>
              <w:tc>
                <w:tcPr>
                  <w:tcW w:w="396" w:type="pct"/>
                  <w:vAlign w:val="center"/>
                </w:tcPr>
                <w:p>
                  <w:pPr>
                    <w:pStyle w:val="102"/>
                  </w:pPr>
                  <w:r>
                    <w:t>/</w:t>
                  </w:r>
                </w:p>
              </w:tc>
              <w:tc>
                <w:tcPr>
                  <w:tcW w:w="424" w:type="pct"/>
                  <w:vAlign w:val="center"/>
                </w:tcPr>
                <w:p>
                  <w:pPr>
                    <w:pStyle w:val="102"/>
                  </w:pPr>
                  <w:r>
                    <w:t>20</w:t>
                  </w:r>
                </w:p>
              </w:tc>
              <w:tc>
                <w:tcPr>
                  <w:tcW w:w="424" w:type="pct"/>
                  <w:vAlign w:val="center"/>
                </w:tcPr>
                <w:p>
                  <w:pPr>
                    <w:pStyle w:val="102"/>
                  </w:pPr>
                  <w:r>
                    <w:t>/</w:t>
                  </w:r>
                </w:p>
              </w:tc>
              <w:tc>
                <w:tcPr>
                  <w:tcW w:w="420" w:type="pct"/>
                  <w:vAlign w:val="center"/>
                </w:tcPr>
                <w:p>
                  <w:pPr>
                    <w:pStyle w:val="102"/>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6" w:hRule="atLeast"/>
                <w:jc w:val="center"/>
              </w:trPr>
              <w:tc>
                <w:tcPr>
                  <w:tcW w:w="1402" w:type="pct"/>
                  <w:vAlign w:val="center"/>
                </w:tcPr>
                <w:p>
                  <w:pPr>
                    <w:adjustRightInd w:val="0"/>
                    <w:snapToGrid w:val="0"/>
                    <w:jc w:val="center"/>
                    <w:rPr>
                      <w:rFonts w:ascii="Times New Roman" w:hAnsi="Times New Roman"/>
                      <w:b/>
                    </w:rPr>
                  </w:pPr>
                  <w:r>
                    <w:rPr>
                      <w:rFonts w:ascii="Times New Roman" w:hAnsi="Times New Roman"/>
                      <w:b/>
                    </w:rPr>
                    <w:t>本项目废水排放标准</w:t>
                  </w:r>
                </w:p>
              </w:tc>
              <w:tc>
                <w:tcPr>
                  <w:tcW w:w="403" w:type="pct"/>
                  <w:vAlign w:val="center"/>
                </w:tcPr>
                <w:p>
                  <w:pPr>
                    <w:pStyle w:val="102"/>
                    <w:rPr>
                      <w:b/>
                    </w:rPr>
                  </w:pPr>
                  <w:r>
                    <w:rPr>
                      <w:b/>
                    </w:rPr>
                    <w:t>6～9</w:t>
                  </w:r>
                </w:p>
              </w:tc>
              <w:tc>
                <w:tcPr>
                  <w:tcW w:w="323" w:type="pct"/>
                  <w:vAlign w:val="center"/>
                </w:tcPr>
                <w:p>
                  <w:pPr>
                    <w:pStyle w:val="102"/>
                    <w:rPr>
                      <w:b/>
                    </w:rPr>
                  </w:pPr>
                  <w:r>
                    <w:rPr>
                      <w:b/>
                    </w:rPr>
                    <w:t>500</w:t>
                  </w:r>
                </w:p>
              </w:tc>
              <w:tc>
                <w:tcPr>
                  <w:tcW w:w="482" w:type="pct"/>
                  <w:vAlign w:val="center"/>
                </w:tcPr>
                <w:p>
                  <w:pPr>
                    <w:pStyle w:val="102"/>
                    <w:rPr>
                      <w:b/>
                    </w:rPr>
                  </w:pPr>
                  <w:r>
                    <w:rPr>
                      <w:b/>
                    </w:rPr>
                    <w:t>300</w:t>
                  </w:r>
                </w:p>
              </w:tc>
              <w:tc>
                <w:tcPr>
                  <w:tcW w:w="403" w:type="pct"/>
                  <w:vAlign w:val="center"/>
                </w:tcPr>
                <w:p>
                  <w:pPr>
                    <w:pStyle w:val="102"/>
                    <w:rPr>
                      <w:b/>
                    </w:rPr>
                  </w:pPr>
                  <w:r>
                    <w:rPr>
                      <w:b/>
                    </w:rPr>
                    <w:t>45</w:t>
                  </w:r>
                </w:p>
              </w:tc>
              <w:tc>
                <w:tcPr>
                  <w:tcW w:w="323" w:type="pct"/>
                  <w:vAlign w:val="center"/>
                </w:tcPr>
                <w:p>
                  <w:pPr>
                    <w:pStyle w:val="102"/>
                    <w:rPr>
                      <w:b/>
                    </w:rPr>
                  </w:pPr>
                  <w:r>
                    <w:rPr>
                      <w:b/>
                    </w:rPr>
                    <w:t>400</w:t>
                  </w:r>
                </w:p>
              </w:tc>
              <w:tc>
                <w:tcPr>
                  <w:tcW w:w="396" w:type="pct"/>
                  <w:vAlign w:val="center"/>
                </w:tcPr>
                <w:p>
                  <w:pPr>
                    <w:pStyle w:val="102"/>
                    <w:rPr>
                      <w:b/>
                    </w:rPr>
                  </w:pPr>
                  <w:r>
                    <w:rPr>
                      <w:b/>
                    </w:rPr>
                    <w:t>70</w:t>
                  </w:r>
                </w:p>
              </w:tc>
              <w:tc>
                <w:tcPr>
                  <w:tcW w:w="424" w:type="pct"/>
                  <w:vAlign w:val="center"/>
                </w:tcPr>
                <w:p>
                  <w:pPr>
                    <w:pStyle w:val="102"/>
                    <w:rPr>
                      <w:b/>
                    </w:rPr>
                  </w:pPr>
                  <w:r>
                    <w:rPr>
                      <w:b/>
                    </w:rPr>
                    <w:t>20</w:t>
                  </w:r>
                </w:p>
              </w:tc>
              <w:tc>
                <w:tcPr>
                  <w:tcW w:w="424" w:type="pct"/>
                  <w:vAlign w:val="center"/>
                </w:tcPr>
                <w:p>
                  <w:pPr>
                    <w:pStyle w:val="102"/>
                    <w:rPr>
                      <w:b/>
                    </w:rPr>
                  </w:pPr>
                  <w:r>
                    <w:rPr>
                      <w:b/>
                    </w:rPr>
                    <w:t>100</w:t>
                  </w:r>
                </w:p>
              </w:tc>
              <w:tc>
                <w:tcPr>
                  <w:tcW w:w="420" w:type="pct"/>
                  <w:vAlign w:val="center"/>
                </w:tcPr>
                <w:p>
                  <w:pPr>
                    <w:pStyle w:val="102"/>
                    <w:rPr>
                      <w:b/>
                    </w:rPr>
                  </w:pPr>
                  <w:r>
                    <w:rPr>
                      <w:b/>
                    </w:rPr>
                    <w:t>8</w:t>
                  </w:r>
                </w:p>
              </w:tc>
            </w:tr>
          </w:tbl>
          <w:p>
            <w:pPr>
              <w:widowControl/>
              <w:spacing w:before="120" w:beforeLines="50" w:line="440" w:lineRule="exact"/>
              <w:ind w:firstLine="482" w:firstLineChars="200"/>
              <w:jc w:val="both"/>
              <w:rPr>
                <w:rFonts w:ascii="Times New Roman" w:hAnsi="Times New Roman"/>
              </w:rPr>
            </w:pPr>
            <w:r>
              <w:rPr>
                <w:rFonts w:ascii="Times New Roman" w:hAnsi="Times New Roman"/>
                <w:b/>
                <w:sz w:val="24"/>
                <w:szCs w:val="24"/>
                <w:lang w:val="en-US"/>
              </w:rPr>
              <w:t>2、大气污染物排放标准</w:t>
            </w:r>
          </w:p>
          <w:p>
            <w:pPr>
              <w:spacing w:line="440" w:lineRule="exact"/>
              <w:ind w:firstLine="480" w:firstLineChars="200"/>
              <w:jc w:val="both"/>
              <w:rPr>
                <w:rFonts w:ascii="Times New Roman" w:hAnsi="Times New Roman"/>
                <w:sz w:val="24"/>
              </w:rPr>
            </w:pPr>
            <w:r>
              <w:rPr>
                <w:rFonts w:ascii="Times New Roman" w:hAnsi="Times New Roman"/>
                <w:sz w:val="24"/>
              </w:rPr>
              <w:t>项目废气排放执行《大气污染物综合排放标准》（GB16297-1996）表2二级标准限值及无组织排放监控浓度限值；厂区内</w:t>
            </w:r>
            <w:r>
              <w:rPr>
                <w:rFonts w:ascii="Times New Roman" w:hAnsi="Times New Roman"/>
                <w:sz w:val="24"/>
                <w:lang w:val="en-US"/>
              </w:rPr>
              <w:t>非甲烷总烃</w:t>
            </w:r>
            <w:r>
              <w:rPr>
                <w:rFonts w:ascii="Times New Roman" w:hAnsi="Times New Roman"/>
                <w:sz w:val="24"/>
              </w:rPr>
              <w:t>无组织排放浓度限值执行《挥发性有机物无组织排放控制标准》（GB37822-2019）</w:t>
            </w:r>
            <w:r>
              <w:rPr>
                <w:rFonts w:ascii="Times New Roman" w:hAnsi="Times New Roman"/>
                <w:bCs/>
                <w:sz w:val="24"/>
                <w:lang w:val="en-US"/>
              </w:rPr>
              <w:t>表A.1中特别排放限值</w:t>
            </w:r>
            <w:r>
              <w:rPr>
                <w:rFonts w:ascii="Times New Roman" w:hAnsi="Times New Roman"/>
                <w:sz w:val="24"/>
              </w:rPr>
              <w:t>要求；食堂油烟废气排放执行《饮食业油烟排放标准》（试行）（GB18483-2001）中型标准，即最高允许排放浓度2mg/m</w:t>
            </w:r>
            <w:r>
              <w:rPr>
                <w:rFonts w:ascii="Times New Roman" w:hAnsi="Times New Roman"/>
                <w:sz w:val="24"/>
                <w:vertAlign w:val="superscript"/>
              </w:rPr>
              <w:t>3</w:t>
            </w:r>
            <w:r>
              <w:rPr>
                <w:rFonts w:ascii="Times New Roman" w:hAnsi="Times New Roman"/>
                <w:sz w:val="24"/>
              </w:rPr>
              <w:t>，</w:t>
            </w:r>
            <w:r>
              <w:rPr>
                <w:rFonts w:ascii="Times New Roman" w:hAnsi="Times New Roman"/>
                <w:sz w:val="24"/>
                <w:lang w:val="en-US"/>
              </w:rPr>
              <w:t>详</w:t>
            </w:r>
            <w:r>
              <w:rPr>
                <w:rFonts w:ascii="Times New Roman" w:hAnsi="Times New Roman"/>
                <w:sz w:val="24"/>
              </w:rPr>
              <w:t>见表</w:t>
            </w:r>
            <w:r>
              <w:rPr>
                <w:rFonts w:ascii="Times New Roman" w:hAnsi="Times New Roman"/>
                <w:sz w:val="24"/>
                <w:lang w:val="en-US"/>
              </w:rPr>
              <w:t>3-8~表3-10</w:t>
            </w:r>
            <w:r>
              <w:rPr>
                <w:rFonts w:ascii="Times New Roman" w:hAnsi="Times New Roman"/>
                <w:sz w:val="24"/>
              </w:rPr>
              <w:t>。</w:t>
            </w:r>
          </w:p>
          <w:p>
            <w:pPr>
              <w:pStyle w:val="2"/>
              <w:spacing w:after="0" w:line="440" w:lineRule="exact"/>
              <w:ind w:left="0" w:leftChars="0" w:firstLine="0" w:firstLineChars="0"/>
              <w:jc w:val="center"/>
              <w:rPr>
                <w:rFonts w:ascii="Times New Roman" w:hAnsi="Times New Roman"/>
                <w:b/>
                <w:bCs/>
                <w:szCs w:val="21"/>
              </w:rPr>
            </w:pPr>
            <w:r>
              <w:rPr>
                <w:rFonts w:ascii="Times New Roman" w:hAnsi="Times New Roman"/>
                <w:b/>
                <w:bCs/>
                <w:szCs w:val="21"/>
              </w:rPr>
              <w:t>表3-8  《大气污染物综合排放标准》（GB16297-1996）</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336"/>
              <w:gridCol w:w="1133"/>
              <w:gridCol w:w="778"/>
              <w:gridCol w:w="931"/>
              <w:gridCol w:w="31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pPr>
                    <w:jc w:val="center"/>
                    <w:rPr>
                      <w:rFonts w:ascii="Times New Roman" w:hAnsi="Times New Roman"/>
                    </w:rPr>
                  </w:pPr>
                  <w:r>
                    <w:rPr>
                      <w:rFonts w:ascii="Times New Roman" w:hAnsi="Times New Roman"/>
                      <w:b/>
                      <w:bCs/>
                    </w:rPr>
                    <w:t>污染物</w:t>
                  </w:r>
                </w:p>
              </w:tc>
              <w:tc>
                <w:tcPr>
                  <w:tcW w:w="1336" w:type="dxa"/>
                  <w:vAlign w:val="center"/>
                </w:tcPr>
                <w:p>
                  <w:pPr>
                    <w:jc w:val="center"/>
                    <w:rPr>
                      <w:rFonts w:ascii="Times New Roman" w:hAnsi="Times New Roman"/>
                    </w:rPr>
                  </w:pPr>
                  <w:r>
                    <w:rPr>
                      <w:rFonts w:ascii="Times New Roman" w:hAnsi="Times New Roman"/>
                      <w:b/>
                      <w:bCs/>
                    </w:rPr>
                    <w:t>排放浓度</w:t>
                  </w:r>
                  <w:r>
                    <w:rPr>
                      <w:rFonts w:ascii="Times New Roman" w:hAnsi="Times New Roman"/>
                      <w:b/>
                    </w:rPr>
                    <w:t>限值</w:t>
                  </w:r>
                  <w:r>
                    <w:rPr>
                      <w:rFonts w:ascii="Times New Roman" w:hAnsi="Times New Roman"/>
                      <w:b/>
                      <w:bCs/>
                    </w:rPr>
                    <w:t>（mg/m</w:t>
                  </w:r>
                  <w:r>
                    <w:rPr>
                      <w:rFonts w:ascii="Times New Roman" w:hAnsi="Times New Roman"/>
                      <w:b/>
                      <w:bCs/>
                      <w:vertAlign w:val="superscript"/>
                    </w:rPr>
                    <w:t>3</w:t>
                  </w:r>
                  <w:r>
                    <w:rPr>
                      <w:rFonts w:ascii="Times New Roman" w:hAnsi="Times New Roman"/>
                      <w:b/>
                      <w:bCs/>
                    </w:rPr>
                    <w:t>）</w:t>
                  </w:r>
                </w:p>
              </w:tc>
              <w:tc>
                <w:tcPr>
                  <w:tcW w:w="1133" w:type="dxa"/>
                  <w:vAlign w:val="center"/>
                </w:tcPr>
                <w:p>
                  <w:pPr>
                    <w:jc w:val="center"/>
                    <w:rPr>
                      <w:rFonts w:ascii="Times New Roman" w:hAnsi="Times New Roman"/>
                    </w:rPr>
                  </w:pPr>
                  <w:r>
                    <w:rPr>
                      <w:rFonts w:ascii="Times New Roman" w:hAnsi="Times New Roman"/>
                      <w:b/>
                      <w:bCs/>
                    </w:rPr>
                    <w:t>排放速率（kg/h）</w:t>
                  </w:r>
                </w:p>
              </w:tc>
              <w:tc>
                <w:tcPr>
                  <w:tcW w:w="778" w:type="dxa"/>
                  <w:vAlign w:val="center"/>
                </w:tcPr>
                <w:p>
                  <w:pPr>
                    <w:jc w:val="center"/>
                    <w:rPr>
                      <w:rFonts w:ascii="Times New Roman" w:hAnsi="Times New Roman"/>
                    </w:rPr>
                  </w:pPr>
                  <w:r>
                    <w:rPr>
                      <w:rFonts w:ascii="Times New Roman" w:hAnsi="Times New Roman"/>
                      <w:b/>
                      <w:bCs/>
                    </w:rPr>
                    <w:t>监控位置</w:t>
                  </w:r>
                </w:p>
              </w:tc>
              <w:tc>
                <w:tcPr>
                  <w:tcW w:w="931" w:type="dxa"/>
                  <w:vAlign w:val="center"/>
                </w:tcPr>
                <w:p>
                  <w:pPr>
                    <w:jc w:val="center"/>
                    <w:rPr>
                      <w:rFonts w:ascii="Times New Roman" w:hAnsi="Times New Roman"/>
                      <w:b/>
                      <w:bCs/>
                    </w:rPr>
                  </w:pPr>
                  <w:r>
                    <w:rPr>
                      <w:rFonts w:ascii="Times New Roman" w:hAnsi="Times New Roman"/>
                      <w:b/>
                      <w:bCs/>
                    </w:rPr>
                    <w:t>废气种类</w:t>
                  </w:r>
                </w:p>
              </w:tc>
              <w:tc>
                <w:tcPr>
                  <w:tcW w:w="3193" w:type="dxa"/>
                  <w:vAlign w:val="center"/>
                </w:tcPr>
                <w:p>
                  <w:pPr>
                    <w:jc w:val="center"/>
                    <w:rPr>
                      <w:rFonts w:ascii="Times New Roman" w:hAnsi="Times New Roman"/>
                    </w:rPr>
                  </w:pPr>
                  <w:r>
                    <w:rPr>
                      <w:rFonts w:ascii="Times New Roman" w:hAnsi="Times New Roman"/>
                      <w:b/>
                      <w:bCs/>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vAlign w:val="center"/>
                </w:tcPr>
                <w:p>
                  <w:pPr>
                    <w:jc w:val="center"/>
                    <w:rPr>
                      <w:rFonts w:ascii="Times New Roman" w:hAnsi="Times New Roman"/>
                    </w:rPr>
                  </w:pPr>
                  <w:r>
                    <w:rPr>
                      <w:rFonts w:ascii="Times New Roman" w:hAnsi="Times New Roman"/>
                    </w:rPr>
                    <w:t>非甲烷总烃（</w:t>
                  </w:r>
                  <w:r>
                    <w:rPr>
                      <w:rFonts w:ascii="Times New Roman" w:hAnsi="Times New Roman"/>
                      <w:lang w:val="en-US"/>
                    </w:rPr>
                    <w:t>NMHC</w:t>
                  </w:r>
                  <w:r>
                    <w:rPr>
                      <w:rFonts w:ascii="Times New Roman" w:hAnsi="Times New Roman"/>
                    </w:rPr>
                    <w:t>）</w:t>
                  </w:r>
                </w:p>
              </w:tc>
              <w:tc>
                <w:tcPr>
                  <w:tcW w:w="1336" w:type="dxa"/>
                  <w:vAlign w:val="center"/>
                </w:tcPr>
                <w:p>
                  <w:pPr>
                    <w:jc w:val="center"/>
                    <w:rPr>
                      <w:rFonts w:ascii="Times New Roman" w:hAnsi="Times New Roman"/>
                    </w:rPr>
                  </w:pPr>
                  <w:r>
                    <w:rPr>
                      <w:rFonts w:ascii="Times New Roman" w:hAnsi="Times New Roman"/>
                    </w:rPr>
                    <w:t>120</w:t>
                  </w:r>
                </w:p>
              </w:tc>
              <w:tc>
                <w:tcPr>
                  <w:tcW w:w="1133" w:type="dxa"/>
                  <w:vAlign w:val="center"/>
                </w:tcPr>
                <w:p>
                  <w:pPr>
                    <w:jc w:val="center"/>
                    <w:rPr>
                      <w:rFonts w:ascii="Times New Roman" w:hAnsi="Times New Roman"/>
                    </w:rPr>
                  </w:pPr>
                  <w:r>
                    <w:rPr>
                      <w:rFonts w:ascii="Times New Roman" w:hAnsi="Times New Roman"/>
                    </w:rPr>
                    <w:t>5.3</w:t>
                  </w:r>
                </w:p>
              </w:tc>
              <w:tc>
                <w:tcPr>
                  <w:tcW w:w="778" w:type="dxa"/>
                  <w:vAlign w:val="center"/>
                </w:tcPr>
                <w:p>
                  <w:pPr>
                    <w:jc w:val="center"/>
                    <w:rPr>
                      <w:rFonts w:ascii="Times New Roman" w:hAnsi="Times New Roman"/>
                    </w:rPr>
                  </w:pPr>
                  <w:r>
                    <w:rPr>
                      <w:rFonts w:ascii="Times New Roman" w:hAnsi="Times New Roman"/>
                    </w:rPr>
                    <w:t>生产设施排气筒</w:t>
                  </w:r>
                </w:p>
              </w:tc>
              <w:tc>
                <w:tcPr>
                  <w:tcW w:w="931" w:type="dxa"/>
                  <w:vAlign w:val="center"/>
                </w:tcPr>
                <w:p>
                  <w:pPr>
                    <w:jc w:val="center"/>
                    <w:rPr>
                      <w:rFonts w:ascii="Times New Roman" w:hAnsi="Times New Roman"/>
                    </w:rPr>
                  </w:pPr>
                  <w:r>
                    <w:rPr>
                      <w:rFonts w:ascii="Times New Roman" w:hAnsi="Times New Roman"/>
                    </w:rPr>
                    <w:t>有组织废气</w:t>
                  </w:r>
                </w:p>
              </w:tc>
              <w:tc>
                <w:tcPr>
                  <w:tcW w:w="3193" w:type="dxa"/>
                  <w:vAlign w:val="center"/>
                </w:tcPr>
                <w:p>
                  <w:pPr>
                    <w:jc w:val="center"/>
                    <w:rPr>
                      <w:rFonts w:ascii="Times New Roman" w:hAnsi="Times New Roman"/>
                    </w:rPr>
                  </w:pPr>
                  <w:bookmarkStart w:id="49" w:name="_Hlk112681708"/>
                  <w:r>
                    <w:rPr>
                      <w:rFonts w:ascii="Times New Roman" w:hAnsi="Times New Roman"/>
                    </w:rPr>
                    <w:t>《大气污染物综合排放标准》（GB16297-1996）表2二级标准限值</w:t>
                  </w:r>
                  <w:bookmarkEnd w:id="4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vAlign w:val="center"/>
                </w:tcPr>
                <w:p>
                  <w:pPr>
                    <w:jc w:val="center"/>
                    <w:rPr>
                      <w:rFonts w:ascii="Times New Roman" w:hAnsi="Times New Roman"/>
                    </w:rPr>
                  </w:pPr>
                </w:p>
              </w:tc>
              <w:tc>
                <w:tcPr>
                  <w:tcW w:w="1336" w:type="dxa"/>
                  <w:vAlign w:val="center"/>
                </w:tcPr>
                <w:p>
                  <w:pPr>
                    <w:jc w:val="center"/>
                    <w:rPr>
                      <w:rFonts w:ascii="Times New Roman" w:hAnsi="Times New Roman"/>
                    </w:rPr>
                  </w:pPr>
                  <w:r>
                    <w:rPr>
                      <w:rFonts w:ascii="Times New Roman" w:hAnsi="Times New Roman"/>
                    </w:rPr>
                    <w:t>4.0</w:t>
                  </w:r>
                </w:p>
              </w:tc>
              <w:tc>
                <w:tcPr>
                  <w:tcW w:w="1133" w:type="dxa"/>
                  <w:vAlign w:val="center"/>
                </w:tcPr>
                <w:p>
                  <w:pPr>
                    <w:jc w:val="center"/>
                    <w:rPr>
                      <w:rFonts w:ascii="Times New Roman" w:hAnsi="Times New Roman"/>
                    </w:rPr>
                  </w:pPr>
                  <w:r>
                    <w:rPr>
                      <w:rFonts w:ascii="Times New Roman" w:hAnsi="Times New Roman"/>
                    </w:rPr>
                    <w:t>/</w:t>
                  </w:r>
                </w:p>
              </w:tc>
              <w:tc>
                <w:tcPr>
                  <w:tcW w:w="778" w:type="dxa"/>
                  <w:vAlign w:val="center"/>
                </w:tcPr>
                <w:p>
                  <w:pPr>
                    <w:jc w:val="center"/>
                    <w:rPr>
                      <w:rFonts w:ascii="Times New Roman" w:hAnsi="Times New Roman"/>
                    </w:rPr>
                  </w:pPr>
                  <w:r>
                    <w:rPr>
                      <w:rFonts w:ascii="Times New Roman" w:hAnsi="Times New Roman"/>
                    </w:rPr>
                    <w:t>厂界</w:t>
                  </w:r>
                </w:p>
              </w:tc>
              <w:tc>
                <w:tcPr>
                  <w:tcW w:w="931" w:type="dxa"/>
                  <w:vAlign w:val="center"/>
                </w:tcPr>
                <w:p>
                  <w:pPr>
                    <w:jc w:val="center"/>
                    <w:rPr>
                      <w:rFonts w:ascii="Times New Roman" w:hAnsi="Times New Roman"/>
                    </w:rPr>
                  </w:pPr>
                  <w:bookmarkStart w:id="50" w:name="_Hlk112681722"/>
                  <w:r>
                    <w:rPr>
                      <w:rFonts w:ascii="Times New Roman" w:hAnsi="Times New Roman"/>
                    </w:rPr>
                    <w:t>无组织</w:t>
                  </w:r>
                  <w:bookmarkEnd w:id="50"/>
                  <w:r>
                    <w:rPr>
                      <w:rFonts w:ascii="Times New Roman" w:hAnsi="Times New Roman"/>
                    </w:rPr>
                    <w:t>废气</w:t>
                  </w:r>
                </w:p>
              </w:tc>
              <w:tc>
                <w:tcPr>
                  <w:tcW w:w="3193" w:type="dxa"/>
                  <w:vAlign w:val="center"/>
                </w:tcPr>
                <w:p>
                  <w:pPr>
                    <w:jc w:val="center"/>
                    <w:rPr>
                      <w:rFonts w:ascii="Times New Roman" w:hAnsi="Times New Roman"/>
                    </w:rPr>
                  </w:pPr>
                  <w:bookmarkStart w:id="51" w:name="_Hlk112681728"/>
                  <w:r>
                    <w:rPr>
                      <w:rFonts w:ascii="Times New Roman" w:hAnsi="Times New Roman"/>
                    </w:rPr>
                    <w:t>《大气污染物综合排放标准》（GB16297-1996）表2无组织排放限值标准</w:t>
                  </w:r>
                  <w:bookmarkEnd w:id="51"/>
                </w:p>
              </w:tc>
            </w:tr>
          </w:tbl>
          <w:p>
            <w:pPr>
              <w:pStyle w:val="2"/>
              <w:spacing w:before="120" w:beforeLines="50" w:after="0" w:line="360" w:lineRule="auto"/>
              <w:ind w:left="0" w:leftChars="0" w:firstLine="0" w:firstLineChars="0"/>
              <w:jc w:val="center"/>
              <w:rPr>
                <w:rFonts w:ascii="Times New Roman" w:hAnsi="Times New Roman"/>
                <w:b/>
                <w:bCs/>
                <w:szCs w:val="21"/>
              </w:rPr>
            </w:pPr>
            <w:r>
              <w:rPr>
                <w:rFonts w:ascii="Times New Roman" w:hAnsi="Times New Roman"/>
                <w:b/>
                <w:bCs/>
                <w:szCs w:val="21"/>
              </w:rPr>
              <w:t>表3-9  《挥发性有机物无组织排放控制标准》（GB37822-2019）</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2190"/>
              <w:gridCol w:w="2190"/>
              <w:gridCol w:w="2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8" w:type="dxa"/>
                  <w:vAlign w:val="center"/>
                </w:tcPr>
                <w:p>
                  <w:pPr>
                    <w:autoSpaceDE/>
                    <w:autoSpaceDN/>
                    <w:jc w:val="center"/>
                    <w:rPr>
                      <w:rFonts w:ascii="Times New Roman" w:hAnsi="Times New Roman"/>
                      <w:bCs/>
                    </w:rPr>
                  </w:pPr>
                  <w:r>
                    <w:rPr>
                      <w:rFonts w:ascii="Times New Roman" w:hAnsi="Times New Roman"/>
                      <w:bCs/>
                    </w:rPr>
                    <w:t>污染物项目</w:t>
                  </w:r>
                </w:p>
              </w:tc>
              <w:tc>
                <w:tcPr>
                  <w:tcW w:w="1589" w:type="dxa"/>
                  <w:vAlign w:val="center"/>
                </w:tcPr>
                <w:p>
                  <w:pPr>
                    <w:autoSpaceDE/>
                    <w:autoSpaceDN/>
                    <w:jc w:val="center"/>
                    <w:rPr>
                      <w:rFonts w:ascii="Times New Roman" w:hAnsi="Times New Roman"/>
                      <w:bCs/>
                    </w:rPr>
                  </w:pPr>
                  <w:r>
                    <w:rPr>
                      <w:rFonts w:ascii="Times New Roman" w:hAnsi="Times New Roman"/>
                      <w:bCs/>
                    </w:rPr>
                    <w:t>特别排放限值</w:t>
                  </w:r>
                </w:p>
              </w:tc>
              <w:tc>
                <w:tcPr>
                  <w:tcW w:w="1589" w:type="dxa"/>
                  <w:vAlign w:val="center"/>
                </w:tcPr>
                <w:p>
                  <w:pPr>
                    <w:autoSpaceDE/>
                    <w:autoSpaceDN/>
                    <w:jc w:val="center"/>
                    <w:rPr>
                      <w:rFonts w:ascii="Times New Roman" w:hAnsi="Times New Roman"/>
                      <w:bCs/>
                    </w:rPr>
                  </w:pPr>
                  <w:r>
                    <w:rPr>
                      <w:rFonts w:ascii="Times New Roman" w:hAnsi="Times New Roman"/>
                      <w:bCs/>
                    </w:rPr>
                    <w:t>限值含义</w:t>
                  </w:r>
                </w:p>
              </w:tc>
              <w:tc>
                <w:tcPr>
                  <w:tcW w:w="1589" w:type="dxa"/>
                  <w:vAlign w:val="center"/>
                </w:tcPr>
                <w:p>
                  <w:pPr>
                    <w:autoSpaceDE/>
                    <w:autoSpaceDN/>
                    <w:jc w:val="center"/>
                    <w:rPr>
                      <w:rFonts w:ascii="Times New Roman" w:hAnsi="Times New Roman"/>
                      <w:bCs/>
                    </w:rPr>
                  </w:pPr>
                  <w:r>
                    <w:rPr>
                      <w:rFonts w:ascii="Times New Roman" w:hAnsi="Times New Roman"/>
                      <w:bCs/>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88" w:type="dxa"/>
                  <w:vMerge w:val="restart"/>
                  <w:vAlign w:val="center"/>
                </w:tcPr>
                <w:p>
                  <w:pPr>
                    <w:autoSpaceDE/>
                    <w:autoSpaceDN/>
                    <w:jc w:val="center"/>
                    <w:rPr>
                      <w:rFonts w:ascii="Times New Roman" w:hAnsi="Times New Roman"/>
                      <w:bCs/>
                      <w:lang w:val="en-US"/>
                    </w:rPr>
                  </w:pPr>
                  <w:r>
                    <w:rPr>
                      <w:rFonts w:ascii="Times New Roman" w:hAnsi="Times New Roman"/>
                      <w:bCs/>
                      <w:lang w:val="en-US"/>
                    </w:rPr>
                    <w:t>NMHC</w:t>
                  </w:r>
                </w:p>
              </w:tc>
              <w:tc>
                <w:tcPr>
                  <w:tcW w:w="1589" w:type="dxa"/>
                  <w:vAlign w:val="center"/>
                </w:tcPr>
                <w:p>
                  <w:pPr>
                    <w:autoSpaceDE/>
                    <w:autoSpaceDN/>
                    <w:jc w:val="center"/>
                    <w:rPr>
                      <w:rFonts w:ascii="Times New Roman" w:hAnsi="Times New Roman"/>
                      <w:bCs/>
                      <w:lang w:val="en-US"/>
                    </w:rPr>
                  </w:pPr>
                  <w:r>
                    <w:rPr>
                      <w:rFonts w:ascii="Times New Roman" w:hAnsi="Times New Roman"/>
                      <w:bCs/>
                      <w:lang w:val="en-US"/>
                    </w:rPr>
                    <w:t>6</w:t>
                  </w:r>
                </w:p>
              </w:tc>
              <w:tc>
                <w:tcPr>
                  <w:tcW w:w="1589" w:type="dxa"/>
                  <w:vAlign w:val="center"/>
                </w:tcPr>
                <w:p>
                  <w:pPr>
                    <w:autoSpaceDE/>
                    <w:autoSpaceDN/>
                    <w:jc w:val="center"/>
                    <w:rPr>
                      <w:rFonts w:ascii="Times New Roman" w:hAnsi="Times New Roman"/>
                      <w:bCs/>
                      <w:lang w:val="en-US"/>
                    </w:rPr>
                  </w:pPr>
                  <w:r>
                    <w:rPr>
                      <w:rFonts w:ascii="Times New Roman" w:hAnsi="Times New Roman"/>
                      <w:bCs/>
                    </w:rPr>
                    <w:t>监控点处</w:t>
                  </w:r>
                  <w:r>
                    <w:rPr>
                      <w:rFonts w:ascii="Times New Roman" w:hAnsi="Times New Roman"/>
                      <w:bCs/>
                      <w:lang w:val="en-US"/>
                    </w:rPr>
                    <w:t>1h平均浓度值</w:t>
                  </w:r>
                </w:p>
              </w:tc>
              <w:tc>
                <w:tcPr>
                  <w:tcW w:w="1589" w:type="dxa"/>
                  <w:vMerge w:val="restart"/>
                  <w:vAlign w:val="center"/>
                </w:tcPr>
                <w:p>
                  <w:pPr>
                    <w:autoSpaceDE/>
                    <w:autoSpaceDN/>
                    <w:jc w:val="center"/>
                    <w:rPr>
                      <w:rFonts w:ascii="Times New Roman" w:hAnsi="Times New Roman"/>
                      <w:bCs/>
                    </w:rPr>
                  </w:pPr>
                  <w:r>
                    <w:rPr>
                      <w:rFonts w:ascii="Times New Roman" w:hAnsi="Times New Roman"/>
                      <w:bCs/>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8" w:type="dxa"/>
                  <w:vMerge w:val="continue"/>
                  <w:vAlign w:val="center"/>
                </w:tcPr>
                <w:p>
                  <w:pPr>
                    <w:autoSpaceDE/>
                    <w:autoSpaceDN/>
                    <w:jc w:val="both"/>
                    <w:rPr>
                      <w:rFonts w:ascii="Times New Roman" w:hAnsi="Times New Roman"/>
                      <w:b/>
                    </w:rPr>
                  </w:pPr>
                </w:p>
              </w:tc>
              <w:tc>
                <w:tcPr>
                  <w:tcW w:w="1589" w:type="dxa"/>
                  <w:vAlign w:val="center"/>
                </w:tcPr>
                <w:p>
                  <w:pPr>
                    <w:autoSpaceDE/>
                    <w:autoSpaceDN/>
                    <w:jc w:val="center"/>
                    <w:rPr>
                      <w:rFonts w:ascii="Times New Roman" w:hAnsi="Times New Roman"/>
                      <w:bCs/>
                      <w:lang w:val="en-US"/>
                    </w:rPr>
                  </w:pPr>
                  <w:r>
                    <w:rPr>
                      <w:rFonts w:ascii="Times New Roman" w:hAnsi="Times New Roman"/>
                      <w:bCs/>
                      <w:lang w:val="en-US"/>
                    </w:rPr>
                    <w:t>20</w:t>
                  </w:r>
                </w:p>
              </w:tc>
              <w:tc>
                <w:tcPr>
                  <w:tcW w:w="1589" w:type="dxa"/>
                  <w:vAlign w:val="center"/>
                </w:tcPr>
                <w:p>
                  <w:pPr>
                    <w:autoSpaceDE/>
                    <w:autoSpaceDN/>
                    <w:jc w:val="center"/>
                    <w:rPr>
                      <w:rFonts w:ascii="Times New Roman" w:hAnsi="Times New Roman"/>
                      <w:bCs/>
                    </w:rPr>
                  </w:pPr>
                  <w:r>
                    <w:rPr>
                      <w:rFonts w:ascii="Times New Roman" w:hAnsi="Times New Roman"/>
                      <w:bCs/>
                    </w:rPr>
                    <w:t>监控点处任意一次浓度值</w:t>
                  </w:r>
                </w:p>
              </w:tc>
              <w:tc>
                <w:tcPr>
                  <w:tcW w:w="1589" w:type="dxa"/>
                  <w:vMerge w:val="continue"/>
                  <w:vAlign w:val="center"/>
                </w:tcPr>
                <w:p>
                  <w:pPr>
                    <w:jc w:val="both"/>
                    <w:rPr>
                      <w:rFonts w:ascii="Times New Roman" w:hAnsi="Times New Roman"/>
                      <w:b/>
                    </w:rPr>
                  </w:pPr>
                </w:p>
              </w:tc>
            </w:tr>
          </w:tbl>
          <w:p>
            <w:pPr>
              <w:spacing w:before="120" w:beforeLines="50" w:line="360" w:lineRule="auto"/>
              <w:jc w:val="center"/>
              <w:rPr>
                <w:rFonts w:ascii="Times New Roman" w:hAnsi="Times New Roman"/>
                <w:b/>
                <w:bCs/>
              </w:rPr>
            </w:pPr>
            <w:r>
              <w:rPr>
                <w:rFonts w:ascii="Times New Roman" w:hAnsi="Times New Roman"/>
                <w:b/>
                <w:bCs/>
              </w:rPr>
              <w:t>表3-10  《饮食业油烟排放标准》（试行）（GB18483-2001）</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67"/>
              <w:gridCol w:w="4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126" w:type="dxa"/>
                  <w:vAlign w:val="center"/>
                </w:tcPr>
                <w:p>
                  <w:pPr>
                    <w:jc w:val="center"/>
                    <w:rPr>
                      <w:rFonts w:ascii="Times New Roman" w:hAnsi="Times New Roman"/>
                    </w:rPr>
                  </w:pPr>
                  <w:r>
                    <w:rPr>
                      <w:rFonts w:ascii="Times New Roman" w:hAnsi="Times New Roman"/>
                    </w:rPr>
                    <w:t>规模</w:t>
                  </w:r>
                </w:p>
              </w:tc>
              <w:tc>
                <w:tcPr>
                  <w:tcW w:w="3787" w:type="dxa"/>
                  <w:vAlign w:val="center"/>
                </w:tcPr>
                <w:p>
                  <w:pPr>
                    <w:jc w:val="center"/>
                    <w:rPr>
                      <w:rFonts w:ascii="Times New Roman" w:hAnsi="Times New Roman"/>
                    </w:rPr>
                  </w:pPr>
                  <w:r>
                    <w:rPr>
                      <w:rFonts w:ascii="Times New Roman" w:hAnsi="Times New Roman"/>
                    </w:rPr>
                    <w:t>中型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126" w:type="dxa"/>
                  <w:vAlign w:val="center"/>
                </w:tcPr>
                <w:p>
                  <w:pPr>
                    <w:jc w:val="center"/>
                    <w:rPr>
                      <w:rFonts w:ascii="Times New Roman" w:hAnsi="Times New Roman"/>
                    </w:rPr>
                  </w:pPr>
                  <w:r>
                    <w:rPr>
                      <w:rFonts w:ascii="Times New Roman" w:hAnsi="Times New Roman"/>
                    </w:rPr>
                    <w:t>最高允许油烟排放浓度（mg/m³）</w:t>
                  </w:r>
                </w:p>
              </w:tc>
              <w:tc>
                <w:tcPr>
                  <w:tcW w:w="3787" w:type="dxa"/>
                  <w:vAlign w:val="center"/>
                </w:tcPr>
                <w:p>
                  <w:pPr>
                    <w:jc w:val="center"/>
                    <w:rPr>
                      <w:rFonts w:ascii="Times New Roman" w:hAnsi="Times New Roman"/>
                    </w:rPr>
                  </w:pPr>
                  <w:r>
                    <w:rPr>
                      <w:rFonts w:ascii="Times New Roman" w:hAnsi="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6" w:type="dxa"/>
                  <w:vAlign w:val="center"/>
                </w:tcPr>
                <w:p>
                  <w:pPr>
                    <w:jc w:val="center"/>
                    <w:rPr>
                      <w:rFonts w:ascii="Times New Roman" w:hAnsi="Times New Roman"/>
                    </w:rPr>
                  </w:pPr>
                  <w:r>
                    <w:rPr>
                      <w:rFonts w:ascii="Times New Roman" w:hAnsi="Times New Roman"/>
                    </w:rPr>
                    <w:t>净化设施最低去除效率（%）</w:t>
                  </w:r>
                </w:p>
              </w:tc>
              <w:tc>
                <w:tcPr>
                  <w:tcW w:w="3787" w:type="dxa"/>
                  <w:vAlign w:val="center"/>
                </w:tcPr>
                <w:p>
                  <w:pPr>
                    <w:jc w:val="center"/>
                    <w:rPr>
                      <w:rFonts w:ascii="Times New Roman" w:hAnsi="Times New Roman"/>
                    </w:rPr>
                  </w:pPr>
                  <w:r>
                    <w:rPr>
                      <w:rFonts w:ascii="Times New Roman" w:hAnsi="Times New Roman"/>
                    </w:rPr>
                    <w:t>75</w:t>
                  </w:r>
                </w:p>
              </w:tc>
            </w:tr>
          </w:tbl>
          <w:p>
            <w:pPr>
              <w:widowControl/>
              <w:spacing w:line="440" w:lineRule="exact"/>
              <w:ind w:firstLine="482" w:firstLineChars="200"/>
              <w:jc w:val="both"/>
              <w:rPr>
                <w:rFonts w:ascii="Times New Roman" w:hAnsi="Times New Roman"/>
              </w:rPr>
            </w:pPr>
            <w:r>
              <w:rPr>
                <w:rFonts w:ascii="Times New Roman" w:hAnsi="Times New Roman"/>
                <w:b/>
                <w:sz w:val="24"/>
                <w:szCs w:val="24"/>
                <w:lang w:val="en-US"/>
              </w:rPr>
              <w:t>3、噪声排放标准</w:t>
            </w:r>
          </w:p>
          <w:p>
            <w:pPr>
              <w:widowControl/>
              <w:spacing w:line="440" w:lineRule="exact"/>
              <w:ind w:firstLine="480" w:firstLineChars="200"/>
              <w:jc w:val="both"/>
              <w:rPr>
                <w:rFonts w:ascii="Times New Roman" w:hAnsi="Times New Roman"/>
                <w:b/>
                <w:sz w:val="24"/>
                <w:szCs w:val="24"/>
              </w:rPr>
            </w:pPr>
            <w:r>
              <w:rPr>
                <w:rFonts w:ascii="Times New Roman" w:hAnsi="Times New Roman"/>
                <w:sz w:val="24"/>
              </w:rPr>
              <w:t>项目营运期厂界噪声排放执行《工业企业厂界环境噪声排放标准》（GB12348-2008）中</w:t>
            </w:r>
            <w:r>
              <w:rPr>
                <w:rFonts w:ascii="Times New Roman" w:hAnsi="Times New Roman"/>
                <w:sz w:val="24"/>
                <w:lang w:val="en-US"/>
              </w:rPr>
              <w:t>3</w:t>
            </w:r>
            <w:r>
              <w:rPr>
                <w:rFonts w:ascii="Times New Roman" w:hAnsi="Times New Roman"/>
                <w:sz w:val="24"/>
              </w:rPr>
              <w:t>类标准</w:t>
            </w:r>
            <w:r>
              <w:rPr>
                <w:rFonts w:ascii="Times New Roman" w:hAnsi="Times New Roman"/>
                <w:sz w:val="24"/>
                <w:lang w:val="en-US"/>
              </w:rPr>
              <w:t>，</w:t>
            </w:r>
            <w:r>
              <w:rPr>
                <w:rFonts w:ascii="Times New Roman" w:hAnsi="Times New Roman"/>
                <w:sz w:val="24"/>
              </w:rPr>
              <w:t>具体标准见表</w:t>
            </w:r>
            <w:r>
              <w:rPr>
                <w:rFonts w:ascii="Times New Roman" w:hAnsi="Times New Roman"/>
                <w:sz w:val="24"/>
                <w:lang w:val="en-US"/>
              </w:rPr>
              <w:t>3-11。</w:t>
            </w:r>
          </w:p>
          <w:p>
            <w:pPr>
              <w:autoSpaceDE/>
              <w:autoSpaceDN/>
              <w:snapToGrid w:val="0"/>
              <w:spacing w:line="440" w:lineRule="exact"/>
              <w:jc w:val="center"/>
              <w:rPr>
                <w:rFonts w:ascii="Times New Roman" w:hAnsi="Times New Roman"/>
                <w:b/>
              </w:rPr>
            </w:pPr>
            <w:r>
              <w:rPr>
                <w:rFonts w:ascii="Times New Roman" w:hAnsi="Times New Roman"/>
                <w:b/>
              </w:rPr>
              <w:t>表</w:t>
            </w:r>
            <w:r>
              <w:rPr>
                <w:rFonts w:ascii="Times New Roman" w:hAnsi="Times New Roman"/>
                <w:b/>
                <w:lang w:val="en-US"/>
              </w:rPr>
              <w:t xml:space="preserve">3-11  </w:t>
            </w:r>
            <w:r>
              <w:rPr>
                <w:rFonts w:ascii="Times New Roman" w:hAnsi="Times New Roman"/>
                <w:b/>
              </w:rPr>
              <w:t>《工业企业厂界环境噪声排放标准》（GB12348-2008）</w:t>
            </w:r>
          </w:p>
          <w:tbl>
            <w:tblPr>
              <w:tblStyle w:val="2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9"/>
              <w:gridCol w:w="1464"/>
              <w:gridCol w:w="1591"/>
              <w:gridCol w:w="2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9" w:type="pct"/>
                  <w:vAlign w:val="center"/>
                </w:tcPr>
                <w:p>
                  <w:pPr>
                    <w:jc w:val="center"/>
                    <w:rPr>
                      <w:rFonts w:ascii="Times New Roman" w:hAnsi="Times New Roman"/>
                      <w:b/>
                    </w:rPr>
                  </w:pPr>
                  <w:r>
                    <w:rPr>
                      <w:rFonts w:ascii="Times New Roman" w:hAnsi="Times New Roman"/>
                      <w:b/>
                    </w:rPr>
                    <w:t>类别</w:t>
                  </w:r>
                </w:p>
              </w:tc>
              <w:tc>
                <w:tcPr>
                  <w:tcW w:w="836" w:type="pct"/>
                  <w:vAlign w:val="center"/>
                </w:tcPr>
                <w:p>
                  <w:pPr>
                    <w:jc w:val="center"/>
                    <w:rPr>
                      <w:rFonts w:ascii="Times New Roman" w:hAnsi="Times New Roman"/>
                      <w:b/>
                    </w:rPr>
                  </w:pPr>
                  <w:r>
                    <w:rPr>
                      <w:rFonts w:ascii="Times New Roman" w:hAnsi="Times New Roman"/>
                      <w:b/>
                    </w:rPr>
                    <w:t>昼间</w:t>
                  </w:r>
                </w:p>
              </w:tc>
              <w:tc>
                <w:tcPr>
                  <w:tcW w:w="909" w:type="pct"/>
                  <w:vAlign w:val="center"/>
                </w:tcPr>
                <w:p>
                  <w:pPr>
                    <w:jc w:val="center"/>
                    <w:rPr>
                      <w:rFonts w:ascii="Times New Roman" w:hAnsi="Times New Roman"/>
                      <w:b/>
                    </w:rPr>
                  </w:pPr>
                  <w:r>
                    <w:rPr>
                      <w:rFonts w:ascii="Times New Roman" w:hAnsi="Times New Roman"/>
                      <w:b/>
                    </w:rPr>
                    <w:t>夜间</w:t>
                  </w:r>
                </w:p>
              </w:tc>
              <w:tc>
                <w:tcPr>
                  <w:tcW w:w="1524" w:type="pct"/>
                  <w:vAlign w:val="center"/>
                </w:tcPr>
                <w:p>
                  <w:pPr>
                    <w:jc w:val="center"/>
                    <w:rPr>
                      <w:rFonts w:ascii="Times New Roman" w:hAnsi="Times New Roman"/>
                      <w:b/>
                      <w:lang w:val="en-US"/>
                    </w:rPr>
                  </w:pPr>
                  <w:r>
                    <w:rPr>
                      <w:rFonts w:ascii="Times New Roman" w:hAnsi="Times New Roman"/>
                      <w:b/>
                      <w:lang w:val="en-US"/>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9" w:type="pct"/>
                  <w:vAlign w:val="center"/>
                </w:tcPr>
                <w:p>
                  <w:pPr>
                    <w:jc w:val="center"/>
                    <w:rPr>
                      <w:rFonts w:ascii="Times New Roman" w:hAnsi="Times New Roman"/>
                    </w:rPr>
                  </w:pPr>
                  <w:r>
                    <w:rPr>
                      <w:rFonts w:ascii="Times New Roman" w:hAnsi="Times New Roman"/>
                      <w:lang w:val="en-US"/>
                    </w:rPr>
                    <w:t>噪声限值[Leq：dB（A）]</w:t>
                  </w:r>
                </w:p>
              </w:tc>
              <w:tc>
                <w:tcPr>
                  <w:tcW w:w="836" w:type="pct"/>
                  <w:vAlign w:val="center"/>
                </w:tcPr>
                <w:p>
                  <w:pPr>
                    <w:jc w:val="center"/>
                    <w:rPr>
                      <w:rFonts w:ascii="Times New Roman" w:hAnsi="Times New Roman"/>
                      <w:lang w:val="en-US"/>
                    </w:rPr>
                  </w:pPr>
                  <w:r>
                    <w:rPr>
                      <w:rFonts w:ascii="Times New Roman" w:hAnsi="Times New Roman"/>
                    </w:rPr>
                    <w:t>≤6</w:t>
                  </w:r>
                  <w:r>
                    <w:rPr>
                      <w:rFonts w:ascii="Times New Roman" w:hAnsi="Times New Roman"/>
                      <w:lang w:val="en-US"/>
                    </w:rPr>
                    <w:t>5</w:t>
                  </w:r>
                </w:p>
              </w:tc>
              <w:tc>
                <w:tcPr>
                  <w:tcW w:w="909" w:type="pct"/>
                  <w:vAlign w:val="center"/>
                </w:tcPr>
                <w:p>
                  <w:pPr>
                    <w:jc w:val="center"/>
                    <w:rPr>
                      <w:rFonts w:ascii="Times New Roman" w:hAnsi="Times New Roman"/>
                      <w:lang w:val="en-US"/>
                    </w:rPr>
                  </w:pPr>
                  <w:r>
                    <w:rPr>
                      <w:rFonts w:ascii="Times New Roman" w:hAnsi="Times New Roman"/>
                    </w:rPr>
                    <w:t>≤5</w:t>
                  </w:r>
                  <w:r>
                    <w:rPr>
                      <w:rFonts w:ascii="Times New Roman" w:hAnsi="Times New Roman"/>
                      <w:lang w:val="en-US"/>
                    </w:rPr>
                    <w:t>5</w:t>
                  </w:r>
                </w:p>
              </w:tc>
              <w:tc>
                <w:tcPr>
                  <w:tcW w:w="1524" w:type="pct"/>
                  <w:vAlign w:val="center"/>
                </w:tcPr>
                <w:p>
                  <w:pPr>
                    <w:jc w:val="center"/>
                    <w:rPr>
                      <w:rFonts w:ascii="Times New Roman" w:hAnsi="Times New Roman"/>
                    </w:rPr>
                  </w:pPr>
                  <w:r>
                    <w:rPr>
                      <w:rFonts w:ascii="Times New Roman" w:hAnsi="Times New Roman"/>
                      <w:lang w:val="en-US"/>
                    </w:rPr>
                    <w:t>（GB12348-2008）3类</w:t>
                  </w:r>
                </w:p>
              </w:tc>
            </w:tr>
          </w:tbl>
          <w:p>
            <w:pPr>
              <w:widowControl/>
              <w:spacing w:before="120" w:beforeLines="50" w:line="440" w:lineRule="exact"/>
              <w:ind w:firstLine="482" w:firstLineChars="200"/>
              <w:jc w:val="both"/>
              <w:rPr>
                <w:rFonts w:ascii="Times New Roman" w:hAnsi="Times New Roman"/>
              </w:rPr>
            </w:pPr>
            <w:r>
              <w:rPr>
                <w:rFonts w:ascii="Times New Roman" w:hAnsi="Times New Roman"/>
                <w:b/>
                <w:sz w:val="24"/>
                <w:szCs w:val="24"/>
                <w:lang w:val="en-US"/>
              </w:rPr>
              <w:t>4、固体废物</w:t>
            </w:r>
          </w:p>
          <w:p>
            <w:pPr>
              <w:spacing w:line="440" w:lineRule="exact"/>
              <w:ind w:firstLine="480" w:firstLineChars="200"/>
              <w:jc w:val="both"/>
              <w:rPr>
                <w:rFonts w:ascii="Times New Roman" w:hAnsi="Times New Roman"/>
                <w:sz w:val="24"/>
                <w:szCs w:val="32"/>
                <w:lang w:bidi="ar"/>
              </w:rPr>
            </w:pPr>
            <w:bookmarkStart w:id="52" w:name="_Hlk112405820"/>
            <w:r>
              <w:rPr>
                <w:rFonts w:ascii="Times New Roman" w:hAnsi="Times New Roman"/>
                <w:sz w:val="24"/>
                <w:szCs w:val="32"/>
                <w:lang w:bidi="ar"/>
              </w:rPr>
              <w:t>一般工业固体废物参照执行《一般工业固体废物贮存和填埋污染控制标准》（GB18599-2020）和《排污许可证申请与核发技术规范工业固体废物（试行）》（HJ1200-2021）中有关要求；危险废物执行《排污许可证申请与核发技术规范工业固体废物（试行）》（HJ1200-2021）和《危险废物贮存污染控制标准》（GB18597-2001）及其2013修改清单相关要求。</w:t>
            </w:r>
            <w:bookmarkEnd w:id="52"/>
          </w:p>
          <w:bookmarkEnd w:id="47"/>
          <w:p>
            <w:pPr>
              <w:pStyle w:val="2"/>
              <w:rPr>
                <w:rFonts w:ascii="Times New Roman" w:hAnsi="Times New Roman"/>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99" w:hRule="atLeast"/>
          <w:jc w:val="center"/>
        </w:trPr>
        <w:tc>
          <w:tcPr>
            <w:tcW w:w="665" w:type="dxa"/>
            <w:vAlign w:val="center"/>
          </w:tcPr>
          <w:p>
            <w:pPr>
              <w:widowControl/>
              <w:spacing w:line="440" w:lineRule="exact"/>
              <w:jc w:val="center"/>
              <w:rPr>
                <w:rFonts w:ascii="Times New Roman" w:hAnsi="Times New Roman"/>
              </w:rPr>
            </w:pPr>
            <w:r>
              <w:rPr>
                <w:rFonts w:ascii="Times New Roman" w:hAnsi="Times New Roman"/>
                <w:sz w:val="24"/>
                <w:szCs w:val="24"/>
              </w:rPr>
              <w:t>总量控制指标</w:t>
            </w:r>
          </w:p>
        </w:tc>
        <w:tc>
          <w:tcPr>
            <w:tcW w:w="8974" w:type="dxa"/>
            <w:vAlign w:val="center"/>
          </w:tcPr>
          <w:p>
            <w:pPr>
              <w:spacing w:line="440" w:lineRule="exact"/>
              <w:ind w:firstLine="480"/>
              <w:rPr>
                <w:rFonts w:ascii="Times New Roman" w:hAnsi="Times New Roman"/>
                <w:b/>
                <w:bCs/>
                <w:sz w:val="24"/>
                <w:szCs w:val="32"/>
              </w:rPr>
            </w:pPr>
            <w:r>
              <w:rPr>
                <w:rFonts w:ascii="Times New Roman" w:hAnsi="Times New Roman"/>
                <w:b/>
                <w:bCs/>
                <w:sz w:val="24"/>
                <w:szCs w:val="32"/>
              </w:rPr>
              <w:t>1、废水</w:t>
            </w:r>
          </w:p>
          <w:p>
            <w:pPr>
              <w:spacing w:line="440" w:lineRule="exact"/>
              <w:ind w:firstLine="480"/>
              <w:rPr>
                <w:rFonts w:ascii="Times New Roman" w:hAnsi="Times New Roman"/>
                <w:sz w:val="24"/>
                <w:szCs w:val="32"/>
              </w:rPr>
            </w:pPr>
            <w:r>
              <w:rPr>
                <w:rFonts w:hint="eastAsia" w:ascii="Times New Roman" w:hAnsi="Times New Roman"/>
                <w:sz w:val="24"/>
                <w:szCs w:val="32"/>
              </w:rPr>
              <w:t>本项目废水总量指标申请如下：</w:t>
            </w:r>
            <w:r>
              <w:rPr>
                <w:rFonts w:ascii="Times New Roman" w:hAnsi="Times New Roman"/>
                <w:sz w:val="24"/>
                <w:szCs w:val="32"/>
              </w:rPr>
              <w:t>COD2.987t/a、氨氮0.271t/a，在区域内平衡。</w:t>
            </w:r>
          </w:p>
          <w:p>
            <w:pPr>
              <w:widowControl/>
              <w:adjustRightInd w:val="0"/>
              <w:snapToGrid w:val="0"/>
              <w:spacing w:line="440" w:lineRule="exact"/>
              <w:ind w:firstLine="480"/>
              <w:rPr>
                <w:rFonts w:ascii="Times New Roman" w:hAnsi="Times New Roman"/>
                <w:b/>
                <w:bCs/>
                <w:sz w:val="24"/>
                <w:szCs w:val="32"/>
              </w:rPr>
            </w:pPr>
            <w:r>
              <w:rPr>
                <w:rFonts w:ascii="Times New Roman" w:hAnsi="Times New Roman"/>
                <w:b/>
                <w:bCs/>
                <w:sz w:val="24"/>
                <w:szCs w:val="32"/>
              </w:rPr>
              <w:t>2、</w:t>
            </w:r>
            <w:r>
              <w:rPr>
                <w:rFonts w:ascii="Times New Roman" w:hAnsi="Times New Roman"/>
                <w:b/>
                <w:bCs/>
                <w:sz w:val="24"/>
                <w:szCs w:val="24"/>
              </w:rPr>
              <w:t>废气</w:t>
            </w:r>
          </w:p>
          <w:p>
            <w:pPr>
              <w:widowControl/>
              <w:adjustRightInd w:val="0"/>
              <w:snapToGrid w:val="0"/>
              <w:spacing w:line="440" w:lineRule="exact"/>
              <w:ind w:firstLine="480"/>
              <w:jc w:val="both"/>
              <w:rPr>
                <w:rFonts w:ascii="Times New Roman" w:hAnsi="Times New Roman"/>
              </w:rPr>
            </w:pPr>
            <w:r>
              <w:rPr>
                <w:rFonts w:ascii="Times New Roman" w:hAnsi="Times New Roman"/>
                <w:sz w:val="24"/>
                <w:szCs w:val="32"/>
              </w:rPr>
              <w:t>根据“十四五规划”和国家环保部要求对项目排放污物实施总量控制的要求，针对本项目的具体排污情况，结合本项目排污特征，本项目废气污染物主要为挥发性有机物0.1t/a</w:t>
            </w:r>
            <w:r>
              <w:rPr>
                <w:rFonts w:ascii="Times New Roman" w:hAnsi="Times New Roman"/>
              </w:rPr>
              <w:t>。</w:t>
            </w:r>
          </w:p>
          <w:p>
            <w:pPr>
              <w:widowControl/>
              <w:adjustRightInd w:val="0"/>
              <w:snapToGrid w:val="0"/>
              <w:spacing w:line="440" w:lineRule="exact"/>
              <w:ind w:firstLine="480"/>
              <w:jc w:val="both"/>
              <w:rPr>
                <w:rFonts w:ascii="Times New Roman" w:hAnsi="Times New Roman"/>
                <w:sz w:val="24"/>
                <w:szCs w:val="32"/>
              </w:rPr>
            </w:pPr>
            <w:r>
              <w:rPr>
                <w:rFonts w:hint="eastAsia" w:ascii="Times New Roman" w:hAnsi="Times New Roman"/>
                <w:sz w:val="24"/>
                <w:szCs w:val="32"/>
              </w:rPr>
              <w:t>根据《关于印发〈建设项目主要污染物排放总量指标审核及管理暂行办法〉的通知》（环发〔</w:t>
            </w:r>
            <w:r>
              <w:rPr>
                <w:rFonts w:ascii="Times New Roman" w:hAnsi="Times New Roman"/>
                <w:sz w:val="24"/>
                <w:szCs w:val="32"/>
              </w:rPr>
              <w:t>2014〕197号）的规定，“上一年度环境空气质量年平均浓度不达标的城市，相关污染物应按照建设项目所需替代的主要污染物排放总量指标的2倍进行削减替代。细颗粒物（PM</w:t>
            </w:r>
            <w:r>
              <w:rPr>
                <w:rFonts w:ascii="Times New Roman" w:hAnsi="Times New Roman"/>
                <w:sz w:val="24"/>
                <w:szCs w:val="32"/>
                <w:vertAlign w:val="subscript"/>
              </w:rPr>
              <w:t>2.5</w:t>
            </w:r>
            <w:r>
              <w:rPr>
                <w:rFonts w:ascii="Times New Roman" w:hAnsi="Times New Roman"/>
                <w:sz w:val="24"/>
                <w:szCs w:val="32"/>
              </w:rPr>
              <w:t>）年平均浓度不达标的城市，二氧化硫、氮氧化物、烟粉尘、挥发性有机物四项污染物均需进行2倍削减替代。”2021年度PM</w:t>
            </w:r>
            <w:r>
              <w:rPr>
                <w:rFonts w:ascii="Times New Roman" w:hAnsi="Times New Roman"/>
                <w:sz w:val="24"/>
                <w:szCs w:val="32"/>
                <w:vertAlign w:val="subscript"/>
              </w:rPr>
              <w:t>2.5</w:t>
            </w:r>
            <w:r>
              <w:rPr>
                <w:rFonts w:ascii="Times New Roman" w:hAnsi="Times New Roman"/>
                <w:sz w:val="24"/>
                <w:szCs w:val="32"/>
              </w:rPr>
              <w:t>年平均浓度不达标，故本项目挥发性有机物需倍量替代。</w:t>
            </w:r>
          </w:p>
          <w:p>
            <w:pPr>
              <w:widowControl/>
              <w:adjustRightInd w:val="0"/>
              <w:snapToGrid w:val="0"/>
              <w:spacing w:line="440" w:lineRule="exact"/>
              <w:ind w:firstLine="480"/>
              <w:rPr>
                <w:rFonts w:ascii="Times New Roman" w:hAnsi="Times New Roman"/>
                <w:sz w:val="24"/>
                <w:szCs w:val="32"/>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p>
            <w:pPr>
              <w:rPr>
                <w:rFonts w:ascii="Times New Roman" w:hAnsi="Times New Roman"/>
                <w:lang w:val="en-US" w:bidi="ar"/>
              </w:rPr>
            </w:pPr>
          </w:p>
          <w:p>
            <w:pPr>
              <w:pStyle w:val="2"/>
              <w:ind w:left="0" w:leftChars="0" w:firstLine="0" w:firstLineChars="0"/>
              <w:rPr>
                <w:rFonts w:ascii="Times New Roman" w:hAnsi="Times New Roman"/>
                <w:lang w:val="en-US" w:bidi="ar"/>
              </w:rPr>
            </w:pPr>
          </w:p>
        </w:tc>
      </w:tr>
    </w:tbl>
    <w:p>
      <w:pPr>
        <w:pStyle w:val="3"/>
        <w:spacing w:before="0" w:line="440" w:lineRule="exact"/>
        <w:ind w:left="0" w:right="0"/>
        <w:rPr>
          <w:rFonts w:ascii="Times New Roman" w:hAnsi="Times New Roman" w:cs="Times New Roman"/>
        </w:rPr>
        <w:sectPr>
          <w:footerReference r:id="rId5" w:type="default"/>
          <w:pgSz w:w="11910" w:h="16840"/>
          <w:pgMar w:top="1440" w:right="1800" w:bottom="1440" w:left="1800" w:header="0" w:footer="963" w:gutter="0"/>
          <w:cols w:space="720" w:num="1"/>
        </w:sectPr>
      </w:pPr>
    </w:p>
    <w:p>
      <w:pPr>
        <w:pStyle w:val="40"/>
        <w:widowControl/>
        <w:autoSpaceDE/>
        <w:autoSpaceDN/>
        <w:snapToGrid w:val="0"/>
        <w:spacing w:beforeAutospacing="0" w:afterAutospacing="0" w:line="440" w:lineRule="exact"/>
        <w:jc w:val="center"/>
        <w:outlineLvl w:val="0"/>
        <w:rPr>
          <w:rFonts w:ascii="Times New Roman" w:hAnsi="Times New Roman" w:eastAsia="黑体"/>
          <w:bCs/>
          <w:snapToGrid w:val="0"/>
          <w:sz w:val="30"/>
          <w:szCs w:val="30"/>
        </w:rPr>
      </w:pPr>
      <w:bookmarkStart w:id="53" w:name="_Toc112488139"/>
      <w:r>
        <w:rPr>
          <w:rFonts w:ascii="Times New Roman" w:hAnsi="Times New Roman" w:eastAsia="黑体"/>
          <w:bCs/>
          <w:snapToGrid w:val="0"/>
          <w:sz w:val="30"/>
          <w:szCs w:val="30"/>
        </w:rPr>
        <w:t>四、主要环境影响和保护措施</w:t>
      </w:r>
      <w:bookmarkEnd w:id="53"/>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07"/>
        <w:gridCol w:w="88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695" w:hRule="atLeast"/>
          <w:jc w:val="center"/>
        </w:trPr>
        <w:tc>
          <w:tcPr>
            <w:tcW w:w="807" w:type="dxa"/>
            <w:vAlign w:val="center"/>
          </w:tcPr>
          <w:p>
            <w:pPr>
              <w:pStyle w:val="55"/>
              <w:numPr>
                <w:ilvl w:val="1"/>
                <w:numId w:val="0"/>
              </w:numPr>
              <w:ind w:right="0"/>
              <w:rPr>
                <w:rFonts w:ascii="Times New Roman" w:hAnsi="Times New Roman" w:cs="Times New Roman"/>
                <w:color w:val="auto"/>
                <w:sz w:val="21"/>
                <w:szCs w:val="21"/>
              </w:rPr>
            </w:pPr>
            <w:r>
              <w:rPr>
                <w:rFonts w:ascii="Times New Roman" w:hAnsi="Times New Roman" w:cs="Times New Roman"/>
                <w:color w:val="auto"/>
              </w:rPr>
              <w:t>施工期环境保护措施</w:t>
            </w:r>
          </w:p>
        </w:tc>
        <w:tc>
          <w:tcPr>
            <w:tcW w:w="8832" w:type="dxa"/>
            <w:vAlign w:val="center"/>
          </w:tcPr>
          <w:p>
            <w:pPr>
              <w:spacing w:line="440" w:lineRule="exact"/>
              <w:ind w:firstLine="480" w:firstLineChars="200"/>
              <w:rPr>
                <w:rFonts w:ascii="Times New Roman" w:hAnsi="Times New Roman"/>
                <w:sz w:val="24"/>
              </w:rPr>
            </w:pPr>
            <w:r>
              <w:rPr>
                <w:rFonts w:ascii="Times New Roman" w:hAnsi="Times New Roman"/>
                <w:sz w:val="24"/>
              </w:rPr>
              <w:t>本项目租赁淮南市凤台县凤台经济开发区桂集孵化器产业园进行生产，施工期已结束，本次评价不做分析。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695" w:hRule="atLeast"/>
          <w:jc w:val="center"/>
        </w:trPr>
        <w:tc>
          <w:tcPr>
            <w:tcW w:w="807" w:type="dxa"/>
            <w:vAlign w:val="center"/>
          </w:tcPr>
          <w:p>
            <w:pPr>
              <w:pStyle w:val="55"/>
              <w:numPr>
                <w:ilvl w:val="1"/>
                <w:numId w:val="0"/>
              </w:numPr>
              <w:ind w:right="0"/>
              <w:jc w:val="both"/>
              <w:rPr>
                <w:rFonts w:ascii="Times New Roman" w:hAnsi="Times New Roman" w:cs="Times New Roman"/>
                <w:color w:val="auto"/>
              </w:rPr>
            </w:pPr>
            <w:r>
              <w:rPr>
                <w:rFonts w:ascii="Times New Roman" w:hAnsi="Times New Roman" w:cs="Times New Roman"/>
                <w:color w:val="auto"/>
              </w:rPr>
              <w:t>运营期环境影响和保护措 施</w:t>
            </w:r>
          </w:p>
        </w:tc>
        <w:tc>
          <w:tcPr>
            <w:tcW w:w="8832" w:type="dxa"/>
            <w:vAlign w:val="center"/>
          </w:tcPr>
          <w:p>
            <w:pPr>
              <w:spacing w:line="440" w:lineRule="exact"/>
              <w:ind w:firstLine="482" w:firstLineChars="200"/>
              <w:rPr>
                <w:rFonts w:ascii="Times New Roman" w:hAnsi="Times New Roman"/>
                <w:b/>
                <w:bCs/>
                <w:sz w:val="24"/>
              </w:rPr>
            </w:pPr>
            <w:r>
              <w:rPr>
                <w:rFonts w:ascii="Times New Roman" w:hAnsi="Times New Roman"/>
                <w:b/>
                <w:bCs/>
                <w:sz w:val="24"/>
              </w:rPr>
              <w:t>一、大气环境影响分析</w:t>
            </w:r>
          </w:p>
          <w:p>
            <w:pPr>
              <w:spacing w:line="440" w:lineRule="exact"/>
              <w:ind w:firstLine="482" w:firstLineChars="200"/>
              <w:rPr>
                <w:rFonts w:ascii="Times New Roman" w:hAnsi="Times New Roman"/>
                <w:b/>
                <w:bCs/>
                <w:sz w:val="24"/>
              </w:rPr>
            </w:pPr>
            <w:r>
              <w:rPr>
                <w:rFonts w:ascii="Times New Roman" w:hAnsi="Times New Roman"/>
                <w:b/>
                <w:bCs/>
                <w:sz w:val="24"/>
              </w:rPr>
              <w:t>1、废气产生及排放情况</w:t>
            </w:r>
          </w:p>
          <w:p>
            <w:pPr>
              <w:pStyle w:val="15"/>
              <w:spacing w:line="440" w:lineRule="exact"/>
              <w:ind w:firstLine="480" w:firstLineChars="200"/>
              <w:rPr>
                <w:rFonts w:ascii="Times New Roman" w:hAnsi="Times New Roman" w:cs="Times New Roman"/>
                <w:lang w:val="en-GB"/>
              </w:rPr>
            </w:pPr>
            <w:r>
              <w:rPr>
                <w:rFonts w:ascii="Times New Roman" w:hAnsi="Times New Roman" w:cs="Times New Roman"/>
                <w:kern w:val="2"/>
              </w:rPr>
              <w:t>本项目CNC精雕过程为湿式作业，无粉尘产生。本项目生产废水水质简单，不再考虑污水站恶臭影响。项目大气污染源主要来源于喷保护液工序有机废气、丝印工序有机废气及其烘烤废气、镀AF工序有机废气及其烘烤废气、检验工序废气以及员工食堂产生的油烟废气。</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目前尚未发布相应排污许可证申请与核发技术规范及污染源源强核算技术指南，对照《污染源源强核算技术指南 准则》（HJ884-2018），废气污染源源强核算方法可采用实测法、物料衡算法、产污系数法、排污系数法、类比法、实验法等方法，根据行业特点，并结合项目实际情况，本项目废气源强主要采用物料衡算法、产污系数法和类比法进行核算。</w:t>
            </w:r>
          </w:p>
          <w:p>
            <w:pPr>
              <w:pStyle w:val="15"/>
              <w:spacing w:line="440" w:lineRule="exact"/>
              <w:ind w:firstLine="480" w:firstLineChars="200"/>
              <w:jc w:val="both"/>
              <w:rPr>
                <w:rFonts w:ascii="Times New Roman" w:hAnsi="Times New Roman" w:cs="Times New Roman"/>
                <w:kern w:val="2"/>
              </w:rPr>
            </w:pPr>
            <w:bookmarkStart w:id="54" w:name="_Hlk114566817"/>
            <w:r>
              <w:rPr>
                <w:rFonts w:ascii="Times New Roman" w:hAnsi="Times New Roman" w:cs="Times New Roman"/>
                <w:kern w:val="2"/>
              </w:rPr>
              <w:t>（1）喷涂保护液废气</w:t>
            </w:r>
            <w:r>
              <w:rPr>
                <w:rFonts w:ascii="Times New Roman" w:hAnsi="Times New Roman" w:cs="Times New Roman"/>
                <w:bCs/>
              </w:rPr>
              <w:t>（非甲烷总烃）</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为防止玻璃在开料等加工过程中被划伤，加工前需在盖板玻璃表面喷涂保护液。根据建设单位提供资料，保护液使用量为2t/a，根据保护液MSDS可知，保护液主要成分为环氧树脂20-30%、丙烯酸20-30%、无水乙醇30-40%、反应助剂3-5%。其中挥发分主要为丙烯酸、无水乙醇，挥发分为50~70%，本次环评取中间值60%，污染物以非甲烷总烃计，按有机溶剂全部挥发核算，非甲烷总烃产生量约1.2t/a。</w:t>
            </w:r>
            <w:r>
              <w:rPr>
                <w:rFonts w:ascii="Times New Roman" w:hAnsi="Times New Roman" w:cs="Times New Roman"/>
              </w:rPr>
              <w:t>密闭车间占地面积约为200m</w:t>
            </w:r>
            <w:r>
              <w:rPr>
                <w:rFonts w:ascii="Times New Roman" w:hAnsi="Times New Roman" w:cs="Times New Roman"/>
                <w:vertAlign w:val="superscript"/>
              </w:rPr>
              <w:t>2</w:t>
            </w:r>
            <w:r>
              <w:rPr>
                <w:rFonts w:ascii="Times New Roman" w:hAnsi="Times New Roman" w:cs="Times New Roman"/>
              </w:rPr>
              <w:t>，高度约2.5m，换气频次按20次/h，计算可得</w:t>
            </w:r>
            <w:r>
              <w:rPr>
                <w:rFonts w:ascii="Times New Roman" w:hAnsi="Times New Roman" w:cs="Times New Roman"/>
                <w:kern w:val="2"/>
              </w:rPr>
              <w:t>该区域风机风量为10000m</w:t>
            </w:r>
            <w:r>
              <w:rPr>
                <w:rFonts w:ascii="Times New Roman" w:hAnsi="Times New Roman" w:cs="Times New Roman"/>
                <w:kern w:val="2"/>
                <w:vertAlign w:val="superscript"/>
              </w:rPr>
              <w:t>3</w:t>
            </w:r>
            <w:r>
              <w:rPr>
                <w:rFonts w:ascii="Times New Roman" w:hAnsi="Times New Roman" w:cs="Times New Roman"/>
                <w:kern w:val="2"/>
              </w:rPr>
              <w:t>/h，废气捕集效率以95%计，则有组织非甲烷总烃产生量约1.14t/a、产生速率约0.38kg/h、产生浓度约38mg/m</w:t>
            </w:r>
            <w:r>
              <w:rPr>
                <w:rFonts w:ascii="Times New Roman" w:hAnsi="Times New Roman" w:cs="Times New Roman"/>
                <w:kern w:val="2"/>
                <w:vertAlign w:val="superscript"/>
              </w:rPr>
              <w:t>3</w:t>
            </w:r>
            <w:r>
              <w:rPr>
                <w:rFonts w:ascii="Times New Roman" w:hAnsi="Times New Roman" w:cs="Times New Roman"/>
                <w:kern w:val="2"/>
              </w:rPr>
              <w:t>。经配套二级活性炭吸附装置处理，废气净化效率以95%计，则处理后非甲烷总烃排放量约0.057t/a、排放速率约0.019kg/h、排放度约1.9mg/m</w:t>
            </w:r>
            <w:r>
              <w:rPr>
                <w:rFonts w:ascii="Times New Roman" w:hAnsi="Times New Roman" w:cs="Times New Roman"/>
                <w:kern w:val="2"/>
                <w:vertAlign w:val="superscript"/>
              </w:rPr>
              <w:t>3</w:t>
            </w:r>
            <w:r>
              <w:rPr>
                <w:rFonts w:ascii="Times New Roman" w:hAnsi="Times New Roman" w:cs="Times New Roman"/>
                <w:kern w:val="2"/>
              </w:rPr>
              <w:t>，经30m高排气筒（DA001）排放，</w:t>
            </w:r>
            <w:r>
              <w:rPr>
                <w:rFonts w:ascii="Times New Roman" w:hAnsi="Times New Roman" w:cs="Times New Roman"/>
              </w:rPr>
              <w:t>无组织非甲烷总烃的排放量为0.06t/a</w:t>
            </w:r>
            <w:r>
              <w:rPr>
                <w:rFonts w:ascii="Times New Roman" w:hAnsi="Times New Roman" w:cs="Times New Roman"/>
                <w:kern w:val="2"/>
              </w:rPr>
              <w:t>。</w:t>
            </w:r>
          </w:p>
          <w:p>
            <w:pPr>
              <w:spacing w:line="440" w:lineRule="exact"/>
              <w:ind w:left="480"/>
              <w:rPr>
                <w:rFonts w:ascii="Times New Roman" w:hAnsi="Times New Roman"/>
                <w:bCs/>
                <w:sz w:val="24"/>
              </w:rPr>
            </w:pPr>
            <w:r>
              <w:rPr>
                <w:rFonts w:ascii="Times New Roman" w:hAnsi="Times New Roman"/>
                <w:bCs/>
                <w:sz w:val="24"/>
              </w:rPr>
              <w:t>（2）印刷及烘干废气、喷AF膜及烘干废气</w:t>
            </w:r>
          </w:p>
          <w:p>
            <w:pPr>
              <w:spacing w:line="440" w:lineRule="exact"/>
              <w:ind w:left="480"/>
              <w:rPr>
                <w:rFonts w:ascii="Times New Roman" w:hAnsi="Times New Roman"/>
                <w:bCs/>
                <w:sz w:val="24"/>
              </w:rPr>
            </w:pPr>
            <w:r>
              <w:rPr>
                <w:rFonts w:ascii="Times New Roman" w:hAnsi="Times New Roman"/>
                <w:bCs/>
                <w:sz w:val="24"/>
              </w:rPr>
              <w:t>项目印刷及烘干工序废气、喷AF膜及烘干工序废气共用1套废气治理设施。</w:t>
            </w:r>
          </w:p>
          <w:p>
            <w:pPr>
              <w:spacing w:line="440" w:lineRule="exact"/>
              <w:ind w:left="480"/>
              <w:rPr>
                <w:rFonts w:ascii="Times New Roman" w:hAnsi="Times New Roman"/>
                <w:bCs/>
                <w:sz w:val="24"/>
              </w:rPr>
            </w:pPr>
            <w:r>
              <w:rPr>
                <w:rFonts w:hint="eastAsia" w:cs="宋体"/>
                <w:bCs/>
                <w:sz w:val="24"/>
              </w:rPr>
              <w:t>①</w:t>
            </w:r>
            <w:r>
              <w:rPr>
                <w:rFonts w:ascii="Times New Roman" w:hAnsi="Times New Roman"/>
                <w:bCs/>
                <w:sz w:val="24"/>
              </w:rPr>
              <w:t>印刷、烘烤废气（非甲烷总烃）</w:t>
            </w:r>
          </w:p>
          <w:p>
            <w:pPr>
              <w:pStyle w:val="15"/>
              <w:spacing w:line="440" w:lineRule="exact"/>
              <w:ind w:firstLine="480" w:firstLineChars="200"/>
              <w:jc w:val="both"/>
              <w:rPr>
                <w:rFonts w:ascii="Times New Roman" w:hAnsi="Times New Roman" w:cs="Times New Roman"/>
              </w:rPr>
            </w:pPr>
            <w:r>
              <w:rPr>
                <w:rFonts w:ascii="Times New Roman" w:hAnsi="Times New Roman" w:cs="Times New Roman"/>
                <w:kern w:val="2"/>
              </w:rPr>
              <w:t>本项目</w:t>
            </w:r>
            <w:r>
              <w:rPr>
                <w:rFonts w:ascii="Times New Roman" w:hAnsi="Times New Roman" w:cs="Times New Roman"/>
                <w:bCs/>
              </w:rPr>
              <w:t>印刷</w:t>
            </w:r>
            <w:r>
              <w:rPr>
                <w:rFonts w:ascii="Times New Roman" w:hAnsi="Times New Roman" w:cs="Times New Roman"/>
                <w:kern w:val="2"/>
              </w:rPr>
              <w:t>工序包括</w:t>
            </w:r>
            <w:r>
              <w:rPr>
                <w:rFonts w:hint="eastAsia" w:ascii="Times New Roman" w:hAnsi="Times New Roman" w:cs="Times New Roman"/>
                <w:kern w:val="2"/>
              </w:rPr>
              <w:t>丝网印刷</w:t>
            </w:r>
            <w:r>
              <w:rPr>
                <w:rFonts w:ascii="Times New Roman" w:hAnsi="Times New Roman" w:cs="Times New Roman"/>
                <w:kern w:val="2"/>
              </w:rPr>
              <w:t>和</w:t>
            </w:r>
            <w:r>
              <w:rPr>
                <w:rFonts w:hint="eastAsia" w:ascii="Times New Roman" w:hAnsi="Times New Roman" w:cs="Times New Roman"/>
                <w:kern w:val="2"/>
              </w:rPr>
              <w:t>U</w:t>
            </w:r>
            <w:r>
              <w:rPr>
                <w:rFonts w:ascii="Times New Roman" w:hAnsi="Times New Roman" w:cs="Times New Roman"/>
                <w:kern w:val="2"/>
              </w:rPr>
              <w:t>V</w:t>
            </w:r>
            <w:r>
              <w:rPr>
                <w:rFonts w:hint="eastAsia" w:ascii="Times New Roman" w:hAnsi="Times New Roman" w:cs="Times New Roman"/>
                <w:kern w:val="2"/>
              </w:rPr>
              <w:t>印刷</w:t>
            </w:r>
            <w:r>
              <w:rPr>
                <w:rFonts w:ascii="Times New Roman" w:hAnsi="Times New Roman" w:cs="Times New Roman"/>
                <w:kern w:val="2"/>
              </w:rPr>
              <w:t>两个环节，使用的油墨</w:t>
            </w:r>
            <w:r>
              <w:rPr>
                <w:rFonts w:hint="eastAsia" w:ascii="Times New Roman" w:hAnsi="Times New Roman" w:cs="Times New Roman"/>
                <w:kern w:val="2"/>
              </w:rPr>
              <w:t>包括网印油墨和U</w:t>
            </w:r>
            <w:r>
              <w:rPr>
                <w:rFonts w:ascii="Times New Roman" w:hAnsi="Times New Roman" w:cs="Times New Roman"/>
                <w:kern w:val="2"/>
              </w:rPr>
              <w:t>V</w:t>
            </w:r>
            <w:r>
              <w:rPr>
                <w:rFonts w:hint="eastAsia" w:ascii="Times New Roman" w:hAnsi="Times New Roman" w:cs="Times New Roman"/>
                <w:kern w:val="2"/>
              </w:rPr>
              <w:t>油墨，</w:t>
            </w:r>
            <w:r>
              <w:rPr>
                <w:rFonts w:ascii="Times New Roman" w:hAnsi="Times New Roman"/>
                <w:bCs/>
              </w:rPr>
              <w:t>印刷</w:t>
            </w:r>
            <w:r>
              <w:rPr>
                <w:rFonts w:hint="eastAsia" w:ascii="Times New Roman" w:hAnsi="Times New Roman"/>
                <w:bCs/>
              </w:rPr>
              <w:t>使用的油墨</w:t>
            </w:r>
            <w:r>
              <w:rPr>
                <w:rFonts w:ascii="Times New Roman" w:hAnsi="Times New Roman" w:cs="Times New Roman"/>
                <w:kern w:val="2"/>
              </w:rPr>
              <w:t>会挥发产生有机废气（以非甲烷总烃计）。根据项目单位提供的物料MSDS曝光，在丝印工序中使用的油墨0.8</w:t>
            </w:r>
            <w:r>
              <w:rPr>
                <w:rFonts w:ascii="Times New Roman" w:hAnsi="Times New Roman" w:cs="Times New Roman"/>
              </w:rPr>
              <w:t>t/a</w:t>
            </w:r>
            <w:r>
              <w:rPr>
                <w:rFonts w:ascii="Times New Roman" w:hAnsi="Times New Roman" w:cs="Times New Roman"/>
                <w:kern w:val="2"/>
              </w:rPr>
              <w:t>，</w:t>
            </w:r>
            <w:r>
              <w:rPr>
                <w:rFonts w:ascii="Times New Roman" w:hAnsi="Times New Roman" w:cs="Times New Roman"/>
              </w:rPr>
              <w:t>其中挥发性有机液体主要包括环己酮、乙二醇丁醚、二乙二醇丁醚等，含量约为55%，则油墨产生的有</w:t>
            </w:r>
            <w:r>
              <w:rPr>
                <w:rFonts w:hint="eastAsia" w:ascii="Times New Roman" w:hAnsi="Times New Roman" w:cs="Times New Roman"/>
              </w:rPr>
              <w:t>机废气量为</w:t>
            </w:r>
            <w:r>
              <w:rPr>
                <w:rFonts w:ascii="Times New Roman" w:hAnsi="Times New Roman" w:cs="Times New Roman"/>
              </w:rPr>
              <w:t>0.44t/a，项目UV油墨使用量为0.2t/a，固化过程会产生少量的有机废</w:t>
            </w:r>
            <w:r>
              <w:rPr>
                <w:rFonts w:hint="eastAsia" w:ascii="Times New Roman" w:hAnsi="Times New Roman" w:cs="Times New Roman"/>
              </w:rPr>
              <w:t>气，根据</w:t>
            </w:r>
            <w:r>
              <w:rPr>
                <w:rFonts w:ascii="Times New Roman" w:hAnsi="Times New Roman" w:cs="Times New Roman"/>
              </w:rPr>
              <w:t>UV油墨MSDS报告，油墨中溶剂成分&lt;3%</w:t>
            </w:r>
            <w:r>
              <w:rPr>
                <w:rFonts w:hint="eastAsia" w:ascii="Times New Roman" w:hAnsi="Times New Roman" w:cs="Times New Roman"/>
              </w:rPr>
              <w:t>，</w:t>
            </w:r>
            <w:r>
              <w:rPr>
                <w:rFonts w:ascii="Times New Roman" w:hAnsi="Times New Roman" w:cs="Times New Roman"/>
              </w:rPr>
              <w:t>按全部挥发计，则UV印刷</w:t>
            </w:r>
            <w:r>
              <w:rPr>
                <w:rFonts w:hint="eastAsia" w:ascii="Times New Roman" w:hAnsi="Times New Roman" w:cs="Times New Roman"/>
              </w:rPr>
              <w:t>过程有机废气量约</w:t>
            </w:r>
            <w:r>
              <w:rPr>
                <w:rFonts w:ascii="Times New Roman" w:hAnsi="Times New Roman" w:cs="Times New Roman"/>
              </w:rPr>
              <w:t>0.006t/a。印刷过程废气产生量总共约0.446t/a</w:t>
            </w:r>
            <w:r>
              <w:rPr>
                <w:rFonts w:hint="eastAsia" w:ascii="Times New Roman" w:hAnsi="Times New Roman" w:cs="Times New Roman"/>
              </w:rPr>
              <w:t>；</w:t>
            </w:r>
            <w:r>
              <w:rPr>
                <w:rFonts w:ascii="Times New Roman" w:hAnsi="Times New Roman" w:cs="Times New Roman"/>
              </w:rPr>
              <w:t>对各印刷机印刷</w:t>
            </w:r>
            <w:r>
              <w:rPr>
                <w:rFonts w:hint="eastAsia" w:ascii="Times New Roman" w:hAnsi="Times New Roman" w:cs="Times New Roman"/>
              </w:rPr>
              <w:t>位置进行密闭，炉体上部排气口连接管道密闭收集，通过风机将有机废气引至“二</w:t>
            </w:r>
            <w:r>
              <w:rPr>
                <w:rFonts w:ascii="Times New Roman" w:hAnsi="Times New Roman" w:cs="Times New Roman"/>
              </w:rPr>
              <w:t>级活性炭纤</w:t>
            </w:r>
            <w:r>
              <w:rPr>
                <w:rFonts w:hint="eastAsia" w:ascii="Times New Roman" w:hAnsi="Times New Roman" w:cs="Times New Roman"/>
              </w:rPr>
              <w:t>维吸附装置“处理。</w:t>
            </w:r>
          </w:p>
          <w:p>
            <w:pPr>
              <w:pStyle w:val="15"/>
              <w:spacing w:line="440" w:lineRule="exact"/>
              <w:ind w:firstLine="480" w:firstLineChars="200"/>
              <w:rPr>
                <w:rFonts w:ascii="Times New Roman" w:hAnsi="Times New Roman" w:cs="Times New Roman"/>
                <w:kern w:val="2"/>
              </w:rPr>
            </w:pPr>
            <w:r>
              <w:rPr>
                <w:rFonts w:hint="eastAsia"/>
                <w:kern w:val="2"/>
              </w:rPr>
              <w:t>②</w:t>
            </w:r>
            <w:r>
              <w:rPr>
                <w:rFonts w:ascii="Times New Roman" w:hAnsi="Times New Roman" w:cs="Times New Roman"/>
                <w:kern w:val="2"/>
              </w:rPr>
              <w:t>喷AF膜及烘干废气</w:t>
            </w:r>
            <w:r>
              <w:rPr>
                <w:rFonts w:ascii="Times New Roman" w:hAnsi="Times New Roman" w:cs="Times New Roman"/>
                <w:bCs/>
              </w:rPr>
              <w:t>（非甲烷总烃）</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本项目喷AF膜过程中使用AF药水作为原料，主要成分为全氟聚醚，药水浓度为0.5%左右，考虑药水浓度较低，且氟含量较小，本报告不再对废气中氟化物进行定量分析，喷AF膜及烘干有机废气主要考虑非甲烷总经。考虑最不利情况，有机成分全部会发出来，项目使用AF药水0.8t/a，则非甲烷总烃产生量约0.004t/a。</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结合上述分析，项目</w:t>
            </w:r>
            <w:r>
              <w:rPr>
                <w:rFonts w:hint="eastAsia" w:ascii="Times New Roman" w:hAnsi="Times New Roman" w:cs="Times New Roman"/>
                <w:kern w:val="2"/>
              </w:rPr>
              <w:t>印刷</w:t>
            </w:r>
            <w:r>
              <w:rPr>
                <w:rFonts w:ascii="Times New Roman" w:hAnsi="Times New Roman" w:cs="Times New Roman"/>
                <w:kern w:val="2"/>
              </w:rPr>
              <w:t>及烘干工序、喷AF膜及烘干工序非甲烷总烃产生量共计0.45t/a，本项目</w:t>
            </w:r>
            <w:r>
              <w:rPr>
                <w:rFonts w:hint="eastAsia" w:ascii="Times New Roman" w:hAnsi="Times New Roman" w:cs="Times New Roman"/>
                <w:kern w:val="2"/>
              </w:rPr>
              <w:t>印刷</w:t>
            </w:r>
            <w:r>
              <w:rPr>
                <w:rFonts w:ascii="Times New Roman" w:hAnsi="Times New Roman" w:cs="Times New Roman"/>
                <w:kern w:val="2"/>
              </w:rPr>
              <w:t>及烘干工序、镀膜及烘干工序位于洁净车间，洁净车间为千级洁净无尘密闭车间，且设备密闭设置，与后续废气治理设施通过密闭管道连接，废气</w:t>
            </w:r>
            <w:r>
              <w:rPr>
                <w:rFonts w:hint="eastAsia" w:ascii="Times New Roman" w:hAnsi="Times New Roman" w:cs="Times New Roman"/>
                <w:kern w:val="2"/>
              </w:rPr>
              <w:t>密闭</w:t>
            </w:r>
            <w:r>
              <w:rPr>
                <w:rFonts w:ascii="Times New Roman" w:hAnsi="Times New Roman" w:cs="Times New Roman"/>
                <w:kern w:val="2"/>
              </w:rPr>
              <w:t>收集后，引入后续二级活性炭纤维吸附装置处理，因此，上述工序废气捕集效率一般不低于95%。废气经</w:t>
            </w:r>
            <w:r>
              <w:rPr>
                <w:rFonts w:hint="eastAsia" w:ascii="Times New Roman" w:hAnsi="Times New Roman" w:cs="Times New Roman"/>
                <w:kern w:val="2"/>
              </w:rPr>
              <w:t>密闭</w:t>
            </w:r>
            <w:r>
              <w:rPr>
                <w:rFonts w:ascii="Times New Roman" w:hAnsi="Times New Roman" w:cs="Times New Roman"/>
                <w:kern w:val="2"/>
              </w:rPr>
              <w:t>收集后，有组织非甲烷总烃产生量约0.428t/a，产生速率0.178kg/h，</w:t>
            </w:r>
            <w:r>
              <w:rPr>
                <w:rFonts w:ascii="Times New Roman" w:hAnsi="Times New Roman" w:cs="Times New Roman"/>
              </w:rPr>
              <w:t>密闭车间占地面积约为400m</w:t>
            </w:r>
            <w:r>
              <w:rPr>
                <w:rFonts w:ascii="Times New Roman" w:hAnsi="Times New Roman" w:cs="Times New Roman"/>
                <w:vertAlign w:val="superscript"/>
              </w:rPr>
              <w:t>2</w:t>
            </w:r>
            <w:r>
              <w:rPr>
                <w:rFonts w:ascii="Times New Roman" w:hAnsi="Times New Roman" w:cs="Times New Roman"/>
              </w:rPr>
              <w:t>，高度约2.5m，换气频次按20次/h，计算可得</w:t>
            </w:r>
            <w:r>
              <w:rPr>
                <w:rFonts w:ascii="Times New Roman" w:hAnsi="Times New Roman" w:cs="Times New Roman"/>
                <w:kern w:val="2"/>
              </w:rPr>
              <w:t>配套风机风量20000m</w:t>
            </w:r>
            <w:r>
              <w:rPr>
                <w:rFonts w:ascii="Times New Roman" w:hAnsi="Times New Roman" w:cs="Times New Roman"/>
                <w:kern w:val="2"/>
                <w:vertAlign w:val="superscript"/>
              </w:rPr>
              <w:t>3</w:t>
            </w:r>
            <w:r>
              <w:rPr>
                <w:rFonts w:ascii="Times New Roman" w:hAnsi="Times New Roman" w:cs="Times New Roman"/>
                <w:kern w:val="2"/>
              </w:rPr>
              <w:t>/h，则有组织废气产生浓度为8.92mg/m</w:t>
            </w:r>
            <w:r>
              <w:rPr>
                <w:rFonts w:ascii="Times New Roman" w:hAnsi="Times New Roman" w:cs="Times New Roman"/>
                <w:kern w:val="2"/>
                <w:vertAlign w:val="superscript"/>
              </w:rPr>
              <w:t>3</w:t>
            </w:r>
            <w:r>
              <w:rPr>
                <w:rFonts w:ascii="Times New Roman" w:hAnsi="Times New Roman" w:cs="Times New Roman"/>
                <w:kern w:val="2"/>
              </w:rPr>
              <w:t>，经二级活性炭吸附装置处理，净化效率以90%计，有组织非甲烷总烃排放量为0.043t/a、排放速率0.018kg/h，排放浓度为0.892mg/m</w:t>
            </w:r>
            <w:r>
              <w:rPr>
                <w:rFonts w:ascii="Times New Roman" w:hAnsi="Times New Roman" w:cs="Times New Roman"/>
                <w:kern w:val="2"/>
                <w:vertAlign w:val="superscript"/>
              </w:rPr>
              <w:t>3</w:t>
            </w:r>
            <w:r>
              <w:rPr>
                <w:rFonts w:ascii="Times New Roman" w:hAnsi="Times New Roman" w:cs="Times New Roman"/>
                <w:kern w:val="2"/>
              </w:rPr>
              <w:t>。</w:t>
            </w:r>
            <w:r>
              <w:rPr>
                <w:rFonts w:ascii="Times New Roman" w:hAnsi="Times New Roman" w:cs="Times New Roman"/>
              </w:rPr>
              <w:t>根据《大气污染物综合排放标准》（GB16297-1996）要求，新污染源排气筒不低于15m，同时还应高出项目周围200m半径内建筑5m以上，本项目周围200m半径内最高建筑为本项目宿舍楼24m，因此，项目活性炭处理装置排气筒设计高度为30m，处理后尾气引至30m高排气筒（DA002）排放后，能达到《大气污染物综合排放标准》（GB16297-1996）二级标准浓度限值的要求（非甲烷总烃排放浓度≤120mg/m</w:t>
            </w:r>
            <w:r>
              <w:rPr>
                <w:rFonts w:ascii="Times New Roman" w:hAnsi="Times New Roman" w:cs="Times New Roman"/>
                <w:vertAlign w:val="superscript"/>
              </w:rPr>
              <w:t>3</w:t>
            </w:r>
            <w:r>
              <w:rPr>
                <w:rFonts w:ascii="Times New Roman" w:hAnsi="Times New Roman" w:cs="Times New Roman"/>
              </w:rPr>
              <w:t>，排放速率≤53kg/h）对周围环境影响较小。丝印及烘干废气、喷AF膜及烘干废气过程无组织非甲烷总烃的排放量为0.0224t/a。</w:t>
            </w:r>
          </w:p>
          <w:bookmarkEnd w:id="54"/>
          <w:p>
            <w:pPr>
              <w:pStyle w:val="15"/>
              <w:spacing w:line="440" w:lineRule="exact"/>
              <w:ind w:firstLine="480" w:firstLineChars="200"/>
              <w:rPr>
                <w:rFonts w:ascii="Times New Roman" w:hAnsi="Times New Roman" w:cs="Times New Roman"/>
                <w:b/>
                <w:bCs/>
                <w:kern w:val="2"/>
              </w:rPr>
            </w:pPr>
            <w:r>
              <w:rPr>
                <w:rFonts w:ascii="Times New Roman" w:hAnsi="Times New Roman" w:cs="Times New Roman"/>
                <w:kern w:val="2"/>
              </w:rPr>
              <w:t>（3）检验</w:t>
            </w:r>
            <w:r>
              <w:rPr>
                <w:rFonts w:ascii="Times New Roman" w:hAnsi="Times New Roman" w:cs="Times New Roman"/>
              </w:rPr>
              <w:t>废气</w:t>
            </w:r>
            <w:r>
              <w:rPr>
                <w:rFonts w:ascii="Times New Roman" w:hAnsi="Times New Roman" w:cs="Times New Roman"/>
                <w:bCs/>
              </w:rPr>
              <w:t>（非甲烷总烃）</w:t>
            </w:r>
          </w:p>
          <w:p>
            <w:pPr>
              <w:pStyle w:val="15"/>
              <w:spacing w:line="440" w:lineRule="exact"/>
              <w:ind w:firstLine="480" w:firstLineChars="200"/>
              <w:jc w:val="both"/>
              <w:rPr>
                <w:rFonts w:ascii="Times New Roman" w:hAnsi="Times New Roman" w:cs="Times New Roman"/>
                <w:kern w:val="2"/>
              </w:rPr>
            </w:pPr>
            <w:r>
              <w:rPr>
                <w:rFonts w:ascii="Times New Roman" w:hAnsi="Times New Roman" w:cs="Times New Roman"/>
                <w:kern w:val="2"/>
              </w:rPr>
              <w:t>本项目生产的玻璃盖板没道工序均需检测，其中丝印检测中需用酒精。酒精主要为乙醇，均会挥发。根据建设单位提供的资料，项目产品检测酒精年用量为0.5t。酒精为瓶装贮存，检验时挥发量相对较小。该检验工段中酒精挥发量约为95%，则项目酒精有机废气（以非甲烷总烃计）年挥发量为0.475t/a，</w:t>
            </w:r>
            <w:r>
              <w:rPr>
                <w:rFonts w:hint="eastAsia"/>
              </w:rPr>
              <w:t>本项目检验中的酒精擦拭为简单的分散式工艺，且擦拭过程中酒精挥发废气分布较为分散，无法集中收集处理，拟通过加强车间通风排出。</w:t>
            </w:r>
          </w:p>
          <w:p>
            <w:pPr>
              <w:spacing w:line="440" w:lineRule="exact"/>
              <w:ind w:left="480"/>
              <w:rPr>
                <w:rFonts w:ascii="Times New Roman" w:hAnsi="Times New Roman"/>
                <w:bCs/>
                <w:sz w:val="24"/>
              </w:rPr>
            </w:pPr>
            <w:r>
              <w:rPr>
                <w:rFonts w:ascii="Times New Roman" w:hAnsi="Times New Roman"/>
                <w:bCs/>
                <w:sz w:val="24"/>
              </w:rPr>
              <w:t>（3）食堂油烟废气</w:t>
            </w:r>
          </w:p>
          <w:p>
            <w:pPr>
              <w:pStyle w:val="2"/>
              <w:spacing w:after="0" w:line="440" w:lineRule="exact"/>
              <w:ind w:left="0" w:leftChars="0" w:firstLine="480"/>
              <w:jc w:val="both"/>
              <w:rPr>
                <w:rFonts w:ascii="Times New Roman" w:hAnsi="Times New Roman"/>
                <w:sz w:val="24"/>
              </w:rPr>
            </w:pPr>
            <w:r>
              <w:rPr>
                <w:rFonts w:ascii="Times New Roman" w:hAnsi="Times New Roman"/>
                <w:sz w:val="24"/>
              </w:rPr>
              <w:t>项目为员工提供中餐食堂。项目食堂共设有3个基准灶头，油烟排风口经专用风道于食堂顶部排放，每天通风按4h计，</w:t>
            </w:r>
            <w:r>
              <w:rPr>
                <w:rFonts w:ascii="Times New Roman" w:hAnsi="Times New Roman"/>
                <w:sz w:val="24"/>
                <w:szCs w:val="32"/>
              </w:rPr>
              <w:t>厨房占地面积约为100m</w:t>
            </w:r>
            <w:r>
              <w:rPr>
                <w:rFonts w:ascii="Times New Roman" w:hAnsi="Times New Roman"/>
                <w:sz w:val="24"/>
                <w:szCs w:val="32"/>
                <w:vertAlign w:val="superscript"/>
              </w:rPr>
              <w:t>2</w:t>
            </w:r>
            <w:r>
              <w:rPr>
                <w:rFonts w:ascii="Times New Roman" w:hAnsi="Times New Roman"/>
                <w:sz w:val="24"/>
                <w:szCs w:val="32"/>
              </w:rPr>
              <w:t>，高度约2.5m，换气频次按20次/h，计算可得</w:t>
            </w:r>
            <w:r>
              <w:rPr>
                <w:rFonts w:ascii="Times New Roman" w:hAnsi="Times New Roman"/>
                <w:sz w:val="24"/>
              </w:rPr>
              <w:t>处理风量5000m</w:t>
            </w:r>
            <w:r>
              <w:rPr>
                <w:rFonts w:ascii="Times New Roman" w:hAnsi="Times New Roman"/>
                <w:sz w:val="24"/>
                <w:vertAlign w:val="superscript"/>
              </w:rPr>
              <w:t>3</w:t>
            </w:r>
            <w:r>
              <w:rPr>
                <w:rFonts w:ascii="Times New Roman" w:hAnsi="Times New Roman"/>
                <w:sz w:val="24"/>
              </w:rPr>
              <w:t>/h。本项目拟安装油烟净化设备1台，对油烟分子净化效率达到75%以上。</w:t>
            </w:r>
          </w:p>
          <w:p>
            <w:pPr>
              <w:spacing w:line="440" w:lineRule="exact"/>
              <w:ind w:firstLine="480" w:firstLineChars="200"/>
              <w:jc w:val="both"/>
              <w:rPr>
                <w:rFonts w:ascii="Times New Roman" w:hAnsi="Times New Roman"/>
                <w:sz w:val="24"/>
              </w:rPr>
            </w:pPr>
            <w:r>
              <w:rPr>
                <w:rFonts w:ascii="Times New Roman" w:hAnsi="Times New Roman"/>
                <w:sz w:val="24"/>
                <w:szCs w:val="24"/>
              </w:rPr>
              <w:t>项目人均日食用油用量约为30g/人·次，就餐人数为200人次/天，项目每年运营时间300天，耗油量预计为1.8t/a。根据类比调查，一般油烟挥发量占总耗油量的1%，则项目油烟最大产生量为0.018t/a，产生速率为0.015kg/h，则油烟产生浓度为3mg/m</w:t>
            </w:r>
            <w:r>
              <w:rPr>
                <w:rFonts w:ascii="Times New Roman" w:hAnsi="Times New Roman"/>
                <w:sz w:val="24"/>
                <w:szCs w:val="24"/>
                <w:vertAlign w:val="superscript"/>
              </w:rPr>
              <w:t>3</w:t>
            </w:r>
            <w:r>
              <w:rPr>
                <w:rFonts w:ascii="Times New Roman" w:hAnsi="Times New Roman"/>
                <w:sz w:val="24"/>
                <w:szCs w:val="24"/>
              </w:rPr>
              <w:t>，经过油烟净化设备处理后的油烟排放量为0.0045t/a，排放速率为0.038kg/h，排放浓度0.75mg/m</w:t>
            </w:r>
            <w:r>
              <w:rPr>
                <w:rFonts w:ascii="Times New Roman" w:hAnsi="Times New Roman"/>
                <w:sz w:val="24"/>
                <w:szCs w:val="24"/>
                <w:vertAlign w:val="superscript"/>
              </w:rPr>
              <w:t>3</w:t>
            </w:r>
            <w:r>
              <w:rPr>
                <w:rFonts w:ascii="Times New Roman" w:hAnsi="Times New Roman"/>
                <w:sz w:val="24"/>
                <w:szCs w:val="24"/>
              </w:rPr>
              <w:t>符合《饮食业油烟排放标准（试行）》（GB18483-2001）规定的2mg/m</w:t>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sz w:val="24"/>
              </w:rPr>
              <w:t>对周围空气的环境影响较小。</w:t>
            </w:r>
          </w:p>
        </w:tc>
      </w:tr>
    </w:tbl>
    <w:p>
      <w:pPr>
        <w:spacing w:line="440" w:lineRule="exact"/>
        <w:rPr>
          <w:rFonts w:ascii="Times New Roman" w:hAnsi="Times New Roman"/>
        </w:rPr>
        <w:sectPr>
          <w:pgSz w:w="11910" w:h="16840"/>
          <w:pgMar w:top="1440" w:right="1800" w:bottom="1440" w:left="1800" w:header="0" w:footer="963" w:gutter="0"/>
          <w:cols w:space="720" w:num="1"/>
        </w:sectPr>
      </w:pPr>
    </w:p>
    <w:p>
      <w:pPr>
        <w:pStyle w:val="119"/>
        <w:spacing w:line="440" w:lineRule="exact"/>
        <w:rPr>
          <w:rFonts w:cs="Times New Roman"/>
          <w:bCs/>
          <w:spacing w:val="4"/>
          <w:kern w:val="2"/>
          <w:lang w:val="zh-CN" w:bidi="zh-CN"/>
        </w:rPr>
      </w:pPr>
      <w:bookmarkStart w:id="55" w:name="_Hlk110497623"/>
      <w:r>
        <w:rPr>
          <w:rFonts w:cs="Times New Roman"/>
          <w:bCs/>
          <w:spacing w:val="4"/>
          <w:kern w:val="2"/>
          <w:lang w:val="zh-CN" w:bidi="zh-CN"/>
        </w:rPr>
        <w:t>表4-1  项目废气污染物排放源情况表</w:t>
      </w:r>
    </w:p>
    <w:bookmarkEnd w:id="55"/>
    <w:tbl>
      <w:tblPr>
        <w:tblStyle w:val="22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82"/>
        <w:gridCol w:w="551"/>
        <w:gridCol w:w="823"/>
        <w:gridCol w:w="899"/>
        <w:gridCol w:w="710"/>
        <w:gridCol w:w="851"/>
        <w:gridCol w:w="2505"/>
        <w:gridCol w:w="1171"/>
        <w:gridCol w:w="851"/>
        <w:gridCol w:w="852"/>
        <w:gridCol w:w="992"/>
        <w:gridCol w:w="992"/>
        <w:gridCol w:w="905"/>
        <w:gridCol w:w="6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384" w:type="dxa"/>
            <w:vMerge w:val="restart"/>
            <w:vAlign w:val="center"/>
          </w:tcPr>
          <w:p>
            <w:pPr>
              <w:jc w:val="center"/>
              <w:rPr>
                <w:rFonts w:ascii="Times New Roman" w:hAnsi="Times New Roman"/>
                <w:b/>
                <w:bCs/>
              </w:rPr>
            </w:pPr>
            <w:r>
              <w:rPr>
                <w:rFonts w:ascii="Times New Roman" w:hAnsi="Times New Roman"/>
                <w:b/>
                <w:bCs/>
              </w:rPr>
              <w:t>产污环节</w:t>
            </w:r>
          </w:p>
        </w:tc>
        <w:tc>
          <w:tcPr>
            <w:tcW w:w="548" w:type="dxa"/>
            <w:vMerge w:val="restart"/>
            <w:vAlign w:val="center"/>
          </w:tcPr>
          <w:p>
            <w:pPr>
              <w:jc w:val="center"/>
              <w:rPr>
                <w:rFonts w:ascii="Times New Roman" w:hAnsi="Times New Roman"/>
                <w:b/>
                <w:bCs/>
              </w:rPr>
            </w:pPr>
            <w:r>
              <w:rPr>
                <w:rFonts w:ascii="Times New Roman" w:hAnsi="Times New Roman"/>
                <w:b/>
                <w:bCs/>
              </w:rPr>
              <w:t>污染物种类</w:t>
            </w:r>
          </w:p>
        </w:tc>
        <w:tc>
          <w:tcPr>
            <w:tcW w:w="2429" w:type="dxa"/>
            <w:gridSpan w:val="3"/>
            <w:vAlign w:val="center"/>
          </w:tcPr>
          <w:p>
            <w:pPr>
              <w:jc w:val="center"/>
              <w:rPr>
                <w:rFonts w:ascii="Times New Roman" w:hAnsi="Times New Roman"/>
                <w:b/>
                <w:bCs/>
              </w:rPr>
            </w:pPr>
            <w:r>
              <w:rPr>
                <w:rFonts w:ascii="Times New Roman" w:hAnsi="Times New Roman"/>
                <w:b/>
                <w:bCs/>
              </w:rPr>
              <w:t>污染物产生情况</w:t>
            </w:r>
          </w:p>
        </w:tc>
        <w:tc>
          <w:tcPr>
            <w:tcW w:w="850" w:type="dxa"/>
            <w:vMerge w:val="restart"/>
            <w:vAlign w:val="center"/>
          </w:tcPr>
          <w:p>
            <w:pPr>
              <w:snapToGrid w:val="0"/>
              <w:jc w:val="center"/>
              <w:rPr>
                <w:rFonts w:ascii="Times New Roman" w:hAnsi="Times New Roman"/>
                <w:b/>
                <w:bCs/>
              </w:rPr>
            </w:pPr>
            <w:r>
              <w:rPr>
                <w:rFonts w:ascii="Times New Roman" w:hAnsi="Times New Roman"/>
                <w:b/>
                <w:bCs/>
              </w:rPr>
              <w:t>排放形式</w:t>
            </w:r>
          </w:p>
        </w:tc>
        <w:tc>
          <w:tcPr>
            <w:tcW w:w="5387" w:type="dxa"/>
            <w:gridSpan w:val="4"/>
            <w:vAlign w:val="center"/>
          </w:tcPr>
          <w:p>
            <w:pPr>
              <w:jc w:val="center"/>
              <w:rPr>
                <w:rFonts w:ascii="Times New Roman" w:hAnsi="Times New Roman"/>
                <w:b/>
                <w:bCs/>
              </w:rPr>
            </w:pPr>
            <w:r>
              <w:rPr>
                <w:rFonts w:ascii="Times New Roman" w:hAnsi="Times New Roman"/>
                <w:b/>
                <w:bCs/>
              </w:rPr>
              <w:t>治理设施</w:t>
            </w:r>
          </w:p>
        </w:tc>
        <w:tc>
          <w:tcPr>
            <w:tcW w:w="2888" w:type="dxa"/>
            <w:gridSpan w:val="3"/>
            <w:vAlign w:val="center"/>
          </w:tcPr>
          <w:p>
            <w:pPr>
              <w:jc w:val="center"/>
              <w:rPr>
                <w:rFonts w:ascii="Times New Roman" w:hAnsi="Times New Roman"/>
                <w:b/>
                <w:bCs/>
              </w:rPr>
            </w:pPr>
            <w:r>
              <w:rPr>
                <w:rFonts w:ascii="Times New Roman" w:hAnsi="Times New Roman"/>
                <w:b/>
                <w:bCs/>
              </w:rPr>
              <w:t>污染物排放情况</w:t>
            </w:r>
          </w:p>
        </w:tc>
        <w:tc>
          <w:tcPr>
            <w:tcW w:w="690" w:type="dxa"/>
            <w:vMerge w:val="restart"/>
            <w:vAlign w:val="center"/>
          </w:tcPr>
          <w:p>
            <w:pPr>
              <w:jc w:val="center"/>
              <w:rPr>
                <w:rFonts w:ascii="Times New Roman" w:hAnsi="Times New Roman"/>
                <w:b/>
                <w:bCs/>
              </w:rPr>
            </w:pPr>
            <w:r>
              <w:rPr>
                <w:rFonts w:ascii="Times New Roman" w:hAnsi="Times New Roman"/>
                <w:b/>
                <w:bCs/>
              </w:rPr>
              <w:t>是否达标排放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8" w:hRule="atLeast"/>
          <w:jc w:val="center"/>
        </w:trPr>
        <w:tc>
          <w:tcPr>
            <w:tcW w:w="1384" w:type="dxa"/>
            <w:vMerge w:val="continue"/>
            <w:vAlign w:val="center"/>
          </w:tcPr>
          <w:p>
            <w:pPr>
              <w:jc w:val="center"/>
              <w:rPr>
                <w:rFonts w:ascii="Times New Roman" w:hAnsi="Times New Roman"/>
              </w:rPr>
            </w:pPr>
          </w:p>
        </w:tc>
        <w:tc>
          <w:tcPr>
            <w:tcW w:w="548" w:type="dxa"/>
            <w:vMerge w:val="continue"/>
            <w:vAlign w:val="center"/>
          </w:tcPr>
          <w:p>
            <w:pPr>
              <w:jc w:val="center"/>
              <w:rPr>
                <w:rFonts w:ascii="Times New Roman" w:hAnsi="Times New Roman"/>
              </w:rPr>
            </w:pPr>
          </w:p>
        </w:tc>
        <w:tc>
          <w:tcPr>
            <w:tcW w:w="822" w:type="dxa"/>
            <w:vAlign w:val="center"/>
          </w:tcPr>
          <w:p>
            <w:pPr>
              <w:jc w:val="center"/>
              <w:rPr>
                <w:rFonts w:ascii="Times New Roman" w:hAnsi="Times New Roman"/>
                <w:b/>
                <w:bCs/>
              </w:rPr>
            </w:pPr>
            <w:r>
              <w:rPr>
                <w:rFonts w:ascii="Times New Roman" w:hAnsi="Times New Roman"/>
                <w:b/>
                <w:bCs/>
              </w:rPr>
              <w:t>产生量t/a</w:t>
            </w:r>
          </w:p>
        </w:tc>
        <w:tc>
          <w:tcPr>
            <w:tcW w:w="898" w:type="dxa"/>
            <w:vAlign w:val="center"/>
          </w:tcPr>
          <w:p>
            <w:pPr>
              <w:jc w:val="center"/>
              <w:rPr>
                <w:rFonts w:ascii="Times New Roman" w:hAnsi="Times New Roman"/>
                <w:b/>
                <w:bCs/>
              </w:rPr>
            </w:pPr>
            <w:r>
              <w:rPr>
                <w:rFonts w:ascii="Times New Roman" w:hAnsi="Times New Roman"/>
                <w:b/>
                <w:bCs/>
              </w:rPr>
              <w:t>产生速率kg/h</w:t>
            </w:r>
          </w:p>
        </w:tc>
        <w:tc>
          <w:tcPr>
            <w:tcW w:w="709" w:type="dxa"/>
            <w:vAlign w:val="center"/>
          </w:tcPr>
          <w:p>
            <w:pPr>
              <w:jc w:val="center"/>
              <w:rPr>
                <w:rFonts w:ascii="Times New Roman" w:hAnsi="Times New Roman"/>
                <w:b/>
                <w:bCs/>
              </w:rPr>
            </w:pPr>
            <w:r>
              <w:rPr>
                <w:rFonts w:ascii="Times New Roman" w:hAnsi="Times New Roman"/>
                <w:b/>
                <w:bCs/>
              </w:rPr>
              <w:t>产生浓度mg/m</w:t>
            </w:r>
            <w:r>
              <w:rPr>
                <w:rFonts w:ascii="Times New Roman" w:hAnsi="Times New Roman"/>
                <w:b/>
                <w:bCs/>
                <w:vertAlign w:val="superscript"/>
              </w:rPr>
              <w:t>3</w:t>
            </w:r>
          </w:p>
        </w:tc>
        <w:tc>
          <w:tcPr>
            <w:tcW w:w="850" w:type="dxa"/>
            <w:vMerge w:val="continue"/>
            <w:vAlign w:val="center"/>
          </w:tcPr>
          <w:p>
            <w:pPr>
              <w:jc w:val="center"/>
              <w:rPr>
                <w:rFonts w:ascii="Times New Roman" w:hAnsi="Times New Roman"/>
                <w:b/>
                <w:bCs/>
              </w:rPr>
            </w:pPr>
          </w:p>
        </w:tc>
        <w:tc>
          <w:tcPr>
            <w:tcW w:w="2514" w:type="dxa"/>
            <w:vAlign w:val="center"/>
          </w:tcPr>
          <w:p>
            <w:pPr>
              <w:jc w:val="center"/>
              <w:rPr>
                <w:rFonts w:ascii="Times New Roman" w:hAnsi="Times New Roman"/>
                <w:b/>
                <w:bCs/>
              </w:rPr>
            </w:pPr>
            <w:r>
              <w:rPr>
                <w:rFonts w:ascii="Times New Roman" w:hAnsi="Times New Roman"/>
                <w:b/>
                <w:bCs/>
              </w:rPr>
              <w:t>主要治理措施</w:t>
            </w:r>
          </w:p>
        </w:tc>
        <w:tc>
          <w:tcPr>
            <w:tcW w:w="1172" w:type="dxa"/>
            <w:vAlign w:val="center"/>
          </w:tcPr>
          <w:p>
            <w:pPr>
              <w:jc w:val="center"/>
              <w:rPr>
                <w:rFonts w:ascii="Times New Roman" w:hAnsi="Times New Roman"/>
                <w:b/>
                <w:bCs/>
              </w:rPr>
            </w:pPr>
            <w:r>
              <w:rPr>
                <w:rFonts w:ascii="Times New Roman" w:hAnsi="Times New Roman"/>
                <w:b/>
                <w:bCs/>
              </w:rPr>
              <w:t>处理能力</w:t>
            </w:r>
          </w:p>
        </w:tc>
        <w:tc>
          <w:tcPr>
            <w:tcW w:w="850" w:type="dxa"/>
            <w:vAlign w:val="center"/>
          </w:tcPr>
          <w:p>
            <w:pPr>
              <w:jc w:val="center"/>
              <w:rPr>
                <w:rFonts w:ascii="Times New Roman" w:hAnsi="Times New Roman"/>
                <w:b/>
                <w:bCs/>
              </w:rPr>
            </w:pPr>
            <w:r>
              <w:rPr>
                <w:rFonts w:ascii="Times New Roman" w:hAnsi="Times New Roman"/>
                <w:b/>
                <w:bCs/>
              </w:rPr>
              <w:t>收集效率</w:t>
            </w:r>
          </w:p>
        </w:tc>
        <w:tc>
          <w:tcPr>
            <w:tcW w:w="851" w:type="dxa"/>
            <w:vAlign w:val="center"/>
          </w:tcPr>
          <w:p>
            <w:pPr>
              <w:jc w:val="center"/>
              <w:rPr>
                <w:rFonts w:ascii="Times New Roman" w:hAnsi="Times New Roman"/>
                <w:b/>
                <w:bCs/>
              </w:rPr>
            </w:pPr>
            <w:r>
              <w:rPr>
                <w:rFonts w:ascii="Times New Roman" w:hAnsi="Times New Roman"/>
                <w:b/>
                <w:bCs/>
              </w:rPr>
              <w:t>治理工艺去除率</w:t>
            </w:r>
          </w:p>
        </w:tc>
        <w:tc>
          <w:tcPr>
            <w:tcW w:w="992" w:type="dxa"/>
            <w:vAlign w:val="center"/>
          </w:tcPr>
          <w:p>
            <w:pPr>
              <w:jc w:val="center"/>
              <w:rPr>
                <w:rFonts w:ascii="Times New Roman" w:hAnsi="Times New Roman"/>
                <w:b/>
                <w:bCs/>
              </w:rPr>
            </w:pPr>
            <w:r>
              <w:rPr>
                <w:rFonts w:ascii="Times New Roman" w:hAnsi="Times New Roman"/>
                <w:b/>
                <w:bCs/>
              </w:rPr>
              <w:t>排放量t/a</w:t>
            </w:r>
          </w:p>
        </w:tc>
        <w:tc>
          <w:tcPr>
            <w:tcW w:w="992" w:type="dxa"/>
            <w:vAlign w:val="center"/>
          </w:tcPr>
          <w:p>
            <w:pPr>
              <w:jc w:val="center"/>
              <w:rPr>
                <w:rFonts w:ascii="Times New Roman" w:hAnsi="Times New Roman"/>
                <w:b/>
                <w:bCs/>
              </w:rPr>
            </w:pPr>
            <w:r>
              <w:rPr>
                <w:rFonts w:ascii="Times New Roman" w:hAnsi="Times New Roman"/>
                <w:b/>
                <w:bCs/>
              </w:rPr>
              <w:t>排放速率kg/h</w:t>
            </w:r>
          </w:p>
        </w:tc>
        <w:tc>
          <w:tcPr>
            <w:tcW w:w="904" w:type="dxa"/>
            <w:vAlign w:val="center"/>
          </w:tcPr>
          <w:p>
            <w:pPr>
              <w:jc w:val="center"/>
              <w:rPr>
                <w:rFonts w:ascii="Times New Roman" w:hAnsi="Times New Roman"/>
                <w:b/>
                <w:bCs/>
              </w:rPr>
            </w:pPr>
            <w:r>
              <w:rPr>
                <w:rFonts w:ascii="Times New Roman" w:hAnsi="Times New Roman"/>
                <w:b/>
                <w:bCs/>
              </w:rPr>
              <w:t>排放浓度mg/m</w:t>
            </w:r>
            <w:r>
              <w:rPr>
                <w:rFonts w:ascii="Times New Roman" w:hAnsi="Times New Roman"/>
                <w:b/>
                <w:bCs/>
                <w:vertAlign w:val="superscript"/>
              </w:rPr>
              <w:t>3</w:t>
            </w:r>
          </w:p>
        </w:tc>
        <w:tc>
          <w:tcPr>
            <w:tcW w:w="690" w:type="dxa"/>
            <w:vMerge w:val="continue"/>
            <w:vAlign w:val="center"/>
          </w:tcPr>
          <w:p>
            <w:pPr>
              <w:jc w:val="center"/>
              <w:rPr>
                <w:rFonts w:ascii="Times New Roman" w:hAnsi="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97" w:hRule="atLeast"/>
          <w:jc w:val="center"/>
        </w:trPr>
        <w:tc>
          <w:tcPr>
            <w:tcW w:w="1384" w:type="dxa"/>
            <w:vAlign w:val="center"/>
          </w:tcPr>
          <w:p>
            <w:pPr>
              <w:jc w:val="center"/>
              <w:rPr>
                <w:rFonts w:ascii="Times New Roman" w:hAnsi="Times New Roman"/>
              </w:rPr>
            </w:pPr>
            <w:r>
              <w:rPr>
                <w:rFonts w:ascii="Times New Roman" w:hAnsi="Times New Roman"/>
              </w:rPr>
              <w:t>DA001喷涂保护液工序</w:t>
            </w:r>
          </w:p>
        </w:tc>
        <w:tc>
          <w:tcPr>
            <w:tcW w:w="548" w:type="dxa"/>
            <w:vMerge w:val="restart"/>
            <w:vAlign w:val="center"/>
          </w:tcPr>
          <w:p>
            <w:pPr>
              <w:jc w:val="center"/>
              <w:rPr>
                <w:rFonts w:ascii="Times New Roman" w:hAnsi="Times New Roman"/>
              </w:rPr>
            </w:pPr>
            <w:r>
              <w:rPr>
                <w:rFonts w:ascii="Times New Roman" w:hAnsi="Times New Roman"/>
              </w:rPr>
              <w:t>非甲烷总烃</w:t>
            </w:r>
          </w:p>
        </w:tc>
        <w:tc>
          <w:tcPr>
            <w:tcW w:w="822" w:type="dxa"/>
            <w:vAlign w:val="center"/>
          </w:tcPr>
          <w:p>
            <w:pPr>
              <w:jc w:val="center"/>
              <w:rPr>
                <w:rFonts w:ascii="Times New Roman" w:hAnsi="Times New Roman"/>
              </w:rPr>
            </w:pPr>
            <w:r>
              <w:rPr>
                <w:rFonts w:ascii="Times New Roman" w:hAnsi="Times New Roman"/>
              </w:rPr>
              <w:t>1.14</w:t>
            </w:r>
          </w:p>
        </w:tc>
        <w:tc>
          <w:tcPr>
            <w:tcW w:w="898" w:type="dxa"/>
            <w:vAlign w:val="center"/>
          </w:tcPr>
          <w:p>
            <w:pPr>
              <w:jc w:val="center"/>
              <w:rPr>
                <w:rFonts w:ascii="Times New Roman" w:hAnsi="Times New Roman"/>
              </w:rPr>
            </w:pPr>
            <w:r>
              <w:rPr>
                <w:rFonts w:ascii="Times New Roman" w:hAnsi="Times New Roman"/>
              </w:rPr>
              <w:t>0.38</w:t>
            </w:r>
          </w:p>
        </w:tc>
        <w:tc>
          <w:tcPr>
            <w:tcW w:w="709" w:type="dxa"/>
            <w:vAlign w:val="center"/>
          </w:tcPr>
          <w:p>
            <w:pPr>
              <w:jc w:val="center"/>
              <w:rPr>
                <w:rFonts w:ascii="Times New Roman" w:hAnsi="Times New Roman"/>
              </w:rPr>
            </w:pPr>
            <w:r>
              <w:rPr>
                <w:rFonts w:ascii="Times New Roman" w:hAnsi="Times New Roman"/>
              </w:rPr>
              <w:t>38</w:t>
            </w:r>
          </w:p>
        </w:tc>
        <w:tc>
          <w:tcPr>
            <w:tcW w:w="850" w:type="dxa"/>
            <w:vAlign w:val="center"/>
          </w:tcPr>
          <w:p>
            <w:pPr>
              <w:jc w:val="center"/>
              <w:rPr>
                <w:rFonts w:ascii="Times New Roman" w:hAnsi="Times New Roman"/>
              </w:rPr>
            </w:pPr>
            <w:r>
              <w:rPr>
                <w:rFonts w:ascii="Times New Roman" w:hAnsi="Times New Roman"/>
              </w:rPr>
              <w:t>有组织</w:t>
            </w:r>
          </w:p>
        </w:tc>
        <w:tc>
          <w:tcPr>
            <w:tcW w:w="2514" w:type="dxa"/>
            <w:vAlign w:val="center"/>
          </w:tcPr>
          <w:p>
            <w:pPr>
              <w:jc w:val="center"/>
              <w:rPr>
                <w:rFonts w:ascii="Times New Roman" w:hAnsi="Times New Roman"/>
              </w:rPr>
            </w:pPr>
            <w:r>
              <w:rPr>
                <w:rFonts w:ascii="Times New Roman" w:hAnsi="Times New Roman"/>
                <w:lang w:val="en-US"/>
              </w:rPr>
              <w:t>二级</w:t>
            </w:r>
            <w:r>
              <w:rPr>
                <w:rFonts w:ascii="Times New Roman" w:hAnsi="Times New Roman"/>
              </w:rPr>
              <w:t>活性炭吸附装置经30m排气筒（DA001）排放</w:t>
            </w:r>
          </w:p>
        </w:tc>
        <w:tc>
          <w:tcPr>
            <w:tcW w:w="1172" w:type="dxa"/>
            <w:vAlign w:val="center"/>
          </w:tcPr>
          <w:p>
            <w:pPr>
              <w:jc w:val="center"/>
              <w:rPr>
                <w:rFonts w:ascii="Times New Roman" w:hAnsi="Times New Roman"/>
              </w:rPr>
            </w:pPr>
            <w:r>
              <w:rPr>
                <w:rFonts w:ascii="Times New Roman" w:hAnsi="Times New Roman"/>
              </w:rPr>
              <w:t>10000m</w:t>
            </w:r>
            <w:r>
              <w:rPr>
                <w:rFonts w:ascii="Times New Roman" w:hAnsi="Times New Roman"/>
                <w:vertAlign w:val="superscript"/>
              </w:rPr>
              <w:t>3</w:t>
            </w:r>
            <w:r>
              <w:rPr>
                <w:rFonts w:ascii="Times New Roman" w:hAnsi="Times New Roman"/>
              </w:rPr>
              <w:t>/h</w:t>
            </w:r>
          </w:p>
        </w:tc>
        <w:tc>
          <w:tcPr>
            <w:tcW w:w="850" w:type="dxa"/>
            <w:vAlign w:val="center"/>
          </w:tcPr>
          <w:p>
            <w:pPr>
              <w:jc w:val="center"/>
              <w:rPr>
                <w:rFonts w:ascii="Times New Roman" w:hAnsi="Times New Roman"/>
              </w:rPr>
            </w:pPr>
            <w:r>
              <w:rPr>
                <w:rFonts w:ascii="Times New Roman" w:hAnsi="Times New Roman"/>
                <w:kern w:val="2"/>
              </w:rPr>
              <w:t>95%</w:t>
            </w:r>
          </w:p>
        </w:tc>
        <w:tc>
          <w:tcPr>
            <w:tcW w:w="851" w:type="dxa"/>
            <w:vAlign w:val="center"/>
          </w:tcPr>
          <w:p>
            <w:pPr>
              <w:jc w:val="center"/>
              <w:rPr>
                <w:rFonts w:ascii="Times New Roman" w:hAnsi="Times New Roman"/>
              </w:rPr>
            </w:pPr>
            <w:r>
              <w:rPr>
                <w:rFonts w:ascii="Times New Roman" w:hAnsi="Times New Roman"/>
              </w:rPr>
              <w:t>95%</w:t>
            </w:r>
          </w:p>
        </w:tc>
        <w:tc>
          <w:tcPr>
            <w:tcW w:w="992" w:type="dxa"/>
            <w:vAlign w:val="center"/>
          </w:tcPr>
          <w:p>
            <w:pPr>
              <w:jc w:val="center"/>
              <w:rPr>
                <w:rFonts w:ascii="Times New Roman" w:hAnsi="Times New Roman"/>
              </w:rPr>
            </w:pPr>
            <w:r>
              <w:rPr>
                <w:rFonts w:ascii="Times New Roman" w:hAnsi="Times New Roman"/>
              </w:rPr>
              <w:t xml:space="preserve">0.057 </w:t>
            </w:r>
          </w:p>
        </w:tc>
        <w:tc>
          <w:tcPr>
            <w:tcW w:w="992" w:type="dxa"/>
            <w:vAlign w:val="center"/>
          </w:tcPr>
          <w:p>
            <w:pPr>
              <w:jc w:val="center"/>
              <w:rPr>
                <w:rFonts w:ascii="Times New Roman" w:hAnsi="Times New Roman"/>
              </w:rPr>
            </w:pPr>
            <w:r>
              <w:rPr>
                <w:rFonts w:ascii="Times New Roman" w:hAnsi="Times New Roman"/>
              </w:rPr>
              <w:t>0.019</w:t>
            </w:r>
          </w:p>
        </w:tc>
        <w:tc>
          <w:tcPr>
            <w:tcW w:w="904" w:type="dxa"/>
            <w:vAlign w:val="center"/>
          </w:tcPr>
          <w:p>
            <w:pPr>
              <w:jc w:val="center"/>
              <w:rPr>
                <w:rFonts w:ascii="Times New Roman" w:hAnsi="Times New Roman"/>
              </w:rPr>
            </w:pPr>
            <w:r>
              <w:rPr>
                <w:rFonts w:ascii="Times New Roman" w:hAnsi="Times New Roman"/>
              </w:rPr>
              <w:t>1.9</w:t>
            </w:r>
          </w:p>
        </w:tc>
        <w:tc>
          <w:tcPr>
            <w:tcW w:w="690" w:type="dxa"/>
            <w:vAlign w:val="center"/>
          </w:tcPr>
          <w:p>
            <w:pPr>
              <w:jc w:val="center"/>
              <w:rPr>
                <w:rFonts w:ascii="Times New Roman" w:hAnsi="Times New Roman"/>
              </w:rPr>
            </w:pPr>
            <w:r>
              <w:rPr>
                <w:rFonts w:ascii="Times New Roman" w:hAnsi="Times New Roma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03" w:hRule="atLeast"/>
          <w:jc w:val="center"/>
        </w:trPr>
        <w:tc>
          <w:tcPr>
            <w:tcW w:w="1384" w:type="dxa"/>
            <w:vAlign w:val="center"/>
          </w:tcPr>
          <w:p>
            <w:pPr>
              <w:jc w:val="center"/>
              <w:rPr>
                <w:rFonts w:ascii="Times New Roman" w:hAnsi="Times New Roman"/>
              </w:rPr>
            </w:pPr>
            <w:r>
              <w:rPr>
                <w:rFonts w:ascii="Times New Roman" w:hAnsi="Times New Roman"/>
              </w:rPr>
              <w:t>DA002</w:t>
            </w:r>
            <w:r>
              <w:rPr>
                <w:rFonts w:hint="eastAsia" w:ascii="Times New Roman" w:hAnsi="Times New Roman"/>
              </w:rPr>
              <w:t>印刷</w:t>
            </w:r>
            <w:r>
              <w:rPr>
                <w:rFonts w:ascii="Times New Roman" w:hAnsi="Times New Roman"/>
              </w:rPr>
              <w:t>、喷AF膜及烘干工序</w:t>
            </w:r>
          </w:p>
        </w:tc>
        <w:tc>
          <w:tcPr>
            <w:tcW w:w="548" w:type="dxa"/>
            <w:vMerge w:val="continue"/>
            <w:vAlign w:val="center"/>
          </w:tcPr>
          <w:p>
            <w:pPr>
              <w:jc w:val="center"/>
              <w:rPr>
                <w:rFonts w:ascii="Times New Roman" w:hAnsi="Times New Roman"/>
              </w:rPr>
            </w:pPr>
          </w:p>
        </w:tc>
        <w:tc>
          <w:tcPr>
            <w:tcW w:w="822" w:type="dxa"/>
            <w:vAlign w:val="center"/>
          </w:tcPr>
          <w:p>
            <w:pPr>
              <w:jc w:val="center"/>
              <w:rPr>
                <w:rFonts w:ascii="Times New Roman" w:hAnsi="Times New Roman"/>
              </w:rPr>
            </w:pPr>
            <w:r>
              <w:rPr>
                <w:rFonts w:ascii="Times New Roman" w:hAnsi="Times New Roman"/>
              </w:rPr>
              <w:t>0.428</w:t>
            </w:r>
          </w:p>
        </w:tc>
        <w:tc>
          <w:tcPr>
            <w:tcW w:w="898" w:type="dxa"/>
            <w:vAlign w:val="center"/>
          </w:tcPr>
          <w:p>
            <w:pPr>
              <w:jc w:val="center"/>
              <w:rPr>
                <w:rFonts w:ascii="Times New Roman" w:hAnsi="Times New Roman"/>
              </w:rPr>
            </w:pPr>
            <w:r>
              <w:rPr>
                <w:rFonts w:ascii="Times New Roman" w:hAnsi="Times New Roman"/>
              </w:rPr>
              <w:t>0.178</w:t>
            </w:r>
          </w:p>
        </w:tc>
        <w:tc>
          <w:tcPr>
            <w:tcW w:w="709" w:type="dxa"/>
            <w:vAlign w:val="center"/>
          </w:tcPr>
          <w:p>
            <w:pPr>
              <w:jc w:val="center"/>
              <w:rPr>
                <w:rFonts w:ascii="Times New Roman" w:hAnsi="Times New Roman"/>
              </w:rPr>
            </w:pPr>
            <w:r>
              <w:rPr>
                <w:rFonts w:ascii="Times New Roman" w:hAnsi="Times New Roman"/>
                <w:kern w:val="2"/>
              </w:rPr>
              <w:t>8.92</w:t>
            </w:r>
          </w:p>
        </w:tc>
        <w:tc>
          <w:tcPr>
            <w:tcW w:w="850" w:type="dxa"/>
            <w:vAlign w:val="center"/>
          </w:tcPr>
          <w:p>
            <w:pPr>
              <w:jc w:val="center"/>
              <w:rPr>
                <w:rFonts w:ascii="Times New Roman" w:hAnsi="Times New Roman"/>
              </w:rPr>
            </w:pPr>
            <w:r>
              <w:rPr>
                <w:rFonts w:ascii="Times New Roman" w:hAnsi="Times New Roman"/>
              </w:rPr>
              <w:t>有组织</w:t>
            </w:r>
          </w:p>
        </w:tc>
        <w:tc>
          <w:tcPr>
            <w:tcW w:w="2514" w:type="dxa"/>
            <w:vAlign w:val="center"/>
          </w:tcPr>
          <w:p>
            <w:pPr>
              <w:jc w:val="center"/>
              <w:rPr>
                <w:rFonts w:ascii="Times New Roman" w:hAnsi="Times New Roman"/>
              </w:rPr>
            </w:pPr>
            <w:r>
              <w:rPr>
                <w:rFonts w:ascii="Times New Roman" w:hAnsi="Times New Roman"/>
              </w:rPr>
              <w:t>印刷区域密闭+二级活性炭纤维吸附处理后经30m排气筒（DA002）排放</w:t>
            </w:r>
          </w:p>
        </w:tc>
        <w:tc>
          <w:tcPr>
            <w:tcW w:w="1172" w:type="dxa"/>
            <w:vAlign w:val="center"/>
          </w:tcPr>
          <w:p>
            <w:pPr>
              <w:jc w:val="center"/>
              <w:rPr>
                <w:rFonts w:ascii="Times New Roman" w:hAnsi="Times New Roman"/>
              </w:rPr>
            </w:pPr>
            <w:r>
              <w:rPr>
                <w:rFonts w:ascii="Times New Roman" w:hAnsi="Times New Roman"/>
              </w:rPr>
              <w:t>20000m</w:t>
            </w:r>
            <w:r>
              <w:rPr>
                <w:rFonts w:ascii="Times New Roman" w:hAnsi="Times New Roman"/>
                <w:vertAlign w:val="superscript"/>
              </w:rPr>
              <w:t>3</w:t>
            </w:r>
            <w:r>
              <w:rPr>
                <w:rFonts w:ascii="Times New Roman" w:hAnsi="Times New Roman"/>
              </w:rPr>
              <w:t>/h</w:t>
            </w:r>
          </w:p>
        </w:tc>
        <w:tc>
          <w:tcPr>
            <w:tcW w:w="850" w:type="dxa"/>
            <w:vAlign w:val="center"/>
          </w:tcPr>
          <w:p>
            <w:pPr>
              <w:jc w:val="center"/>
              <w:rPr>
                <w:rFonts w:ascii="Times New Roman" w:hAnsi="Times New Roman"/>
              </w:rPr>
            </w:pPr>
            <w:r>
              <w:rPr>
                <w:rFonts w:ascii="Times New Roman" w:hAnsi="Times New Roman"/>
              </w:rPr>
              <w:t>95%</w:t>
            </w:r>
          </w:p>
        </w:tc>
        <w:tc>
          <w:tcPr>
            <w:tcW w:w="851" w:type="dxa"/>
            <w:vAlign w:val="center"/>
          </w:tcPr>
          <w:p>
            <w:pPr>
              <w:jc w:val="center"/>
              <w:rPr>
                <w:rFonts w:ascii="Times New Roman" w:hAnsi="Times New Roman"/>
              </w:rPr>
            </w:pPr>
            <w:r>
              <w:rPr>
                <w:rFonts w:ascii="Times New Roman" w:hAnsi="Times New Roman"/>
              </w:rPr>
              <w:t>90%</w:t>
            </w:r>
          </w:p>
        </w:tc>
        <w:tc>
          <w:tcPr>
            <w:tcW w:w="992" w:type="dxa"/>
            <w:vAlign w:val="center"/>
          </w:tcPr>
          <w:p>
            <w:pPr>
              <w:jc w:val="center"/>
              <w:rPr>
                <w:rFonts w:ascii="Times New Roman" w:hAnsi="Times New Roman"/>
              </w:rPr>
            </w:pPr>
            <w:r>
              <w:rPr>
                <w:rFonts w:ascii="Times New Roman" w:hAnsi="Times New Roman"/>
              </w:rPr>
              <w:t>0.043</w:t>
            </w:r>
          </w:p>
        </w:tc>
        <w:tc>
          <w:tcPr>
            <w:tcW w:w="992" w:type="dxa"/>
            <w:vAlign w:val="center"/>
          </w:tcPr>
          <w:p>
            <w:pPr>
              <w:jc w:val="center"/>
              <w:rPr>
                <w:rFonts w:ascii="Times New Roman" w:hAnsi="Times New Roman"/>
              </w:rPr>
            </w:pPr>
            <w:r>
              <w:rPr>
                <w:rFonts w:ascii="Times New Roman" w:hAnsi="Times New Roman"/>
              </w:rPr>
              <w:t>0.018</w:t>
            </w:r>
          </w:p>
        </w:tc>
        <w:tc>
          <w:tcPr>
            <w:tcW w:w="904" w:type="dxa"/>
            <w:vAlign w:val="center"/>
          </w:tcPr>
          <w:p>
            <w:pPr>
              <w:jc w:val="center"/>
              <w:rPr>
                <w:rFonts w:ascii="Times New Roman" w:hAnsi="Times New Roman"/>
              </w:rPr>
            </w:pPr>
            <w:r>
              <w:rPr>
                <w:rFonts w:ascii="Times New Roman" w:hAnsi="Times New Roman"/>
              </w:rPr>
              <w:t>0.892</w:t>
            </w:r>
          </w:p>
        </w:tc>
        <w:tc>
          <w:tcPr>
            <w:tcW w:w="690" w:type="dxa"/>
            <w:vAlign w:val="center"/>
          </w:tcPr>
          <w:p>
            <w:pPr>
              <w:jc w:val="center"/>
              <w:rPr>
                <w:rFonts w:ascii="Times New Roman" w:hAnsi="Times New Roman"/>
              </w:rPr>
            </w:pPr>
            <w:r>
              <w:rPr>
                <w:rFonts w:ascii="Times New Roman" w:hAnsi="Times New Roma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99" w:hRule="atLeast"/>
          <w:jc w:val="center"/>
        </w:trPr>
        <w:tc>
          <w:tcPr>
            <w:tcW w:w="1384" w:type="dxa"/>
            <w:vAlign w:val="center"/>
          </w:tcPr>
          <w:p>
            <w:pPr>
              <w:jc w:val="center"/>
              <w:rPr>
                <w:rFonts w:ascii="Times New Roman" w:hAnsi="Times New Roman"/>
              </w:rPr>
            </w:pPr>
            <w:r>
              <w:rPr>
                <w:rFonts w:ascii="Times New Roman" w:hAnsi="Times New Roman"/>
              </w:rPr>
              <w:t>无组织--涂保护液印刷、烘烤、喷AF膜等</w:t>
            </w:r>
          </w:p>
        </w:tc>
        <w:tc>
          <w:tcPr>
            <w:tcW w:w="548" w:type="dxa"/>
            <w:vMerge w:val="continue"/>
            <w:vAlign w:val="center"/>
          </w:tcPr>
          <w:p>
            <w:pPr>
              <w:jc w:val="center"/>
              <w:rPr>
                <w:rFonts w:ascii="Times New Roman" w:hAnsi="Times New Roman"/>
              </w:rPr>
            </w:pPr>
          </w:p>
        </w:tc>
        <w:tc>
          <w:tcPr>
            <w:tcW w:w="822" w:type="dxa"/>
            <w:vAlign w:val="center"/>
          </w:tcPr>
          <w:p>
            <w:pPr>
              <w:jc w:val="center"/>
              <w:rPr>
                <w:rFonts w:ascii="Times New Roman" w:hAnsi="Times New Roman"/>
              </w:rPr>
            </w:pPr>
            <w:r>
              <w:rPr>
                <w:rFonts w:ascii="Times New Roman" w:hAnsi="Times New Roman"/>
              </w:rPr>
              <w:t>0.0825</w:t>
            </w:r>
          </w:p>
        </w:tc>
        <w:tc>
          <w:tcPr>
            <w:tcW w:w="898" w:type="dxa"/>
            <w:vAlign w:val="center"/>
          </w:tcPr>
          <w:p>
            <w:pPr>
              <w:jc w:val="center"/>
              <w:rPr>
                <w:rFonts w:ascii="Times New Roman" w:hAnsi="Times New Roman"/>
              </w:rPr>
            </w:pPr>
            <w:r>
              <w:rPr>
                <w:rFonts w:ascii="Times New Roman" w:hAnsi="Times New Roman"/>
              </w:rPr>
              <w:t>0.0687</w:t>
            </w:r>
          </w:p>
        </w:tc>
        <w:tc>
          <w:tcPr>
            <w:tcW w:w="709" w:type="dxa"/>
            <w:vAlign w:val="center"/>
          </w:tcPr>
          <w:p>
            <w:pPr>
              <w:jc w:val="center"/>
              <w:rPr>
                <w:rFonts w:ascii="Times New Roman" w:hAnsi="Times New Roman"/>
              </w:rPr>
            </w:pPr>
            <w:r>
              <w:rPr>
                <w:rFonts w:ascii="Times New Roman" w:hAnsi="Times New Roman"/>
              </w:rPr>
              <w:t>/</w:t>
            </w:r>
          </w:p>
        </w:tc>
        <w:tc>
          <w:tcPr>
            <w:tcW w:w="850" w:type="dxa"/>
            <w:vAlign w:val="center"/>
          </w:tcPr>
          <w:p>
            <w:pPr>
              <w:jc w:val="center"/>
              <w:rPr>
                <w:rFonts w:ascii="Times New Roman" w:hAnsi="Times New Roman"/>
              </w:rPr>
            </w:pPr>
            <w:r>
              <w:rPr>
                <w:rFonts w:ascii="Times New Roman" w:hAnsi="Times New Roman"/>
              </w:rPr>
              <w:t>无组织</w:t>
            </w:r>
          </w:p>
        </w:tc>
        <w:tc>
          <w:tcPr>
            <w:tcW w:w="2514" w:type="dxa"/>
            <w:vAlign w:val="center"/>
          </w:tcPr>
          <w:p>
            <w:pPr>
              <w:jc w:val="center"/>
              <w:rPr>
                <w:rFonts w:ascii="Times New Roman" w:hAnsi="Times New Roman"/>
              </w:rPr>
            </w:pPr>
            <w:r>
              <w:rPr>
                <w:rFonts w:ascii="Times New Roman" w:hAnsi="Times New Roman"/>
              </w:rPr>
              <w:t>安装排气扇，加强通风</w:t>
            </w:r>
          </w:p>
        </w:tc>
        <w:tc>
          <w:tcPr>
            <w:tcW w:w="1172" w:type="dxa"/>
            <w:vAlign w:val="center"/>
          </w:tcPr>
          <w:p>
            <w:pPr>
              <w:jc w:val="center"/>
              <w:rPr>
                <w:rFonts w:ascii="Times New Roman" w:hAnsi="Times New Roman"/>
              </w:rPr>
            </w:pPr>
            <w:r>
              <w:rPr>
                <w:rFonts w:ascii="Times New Roman" w:hAnsi="Times New Roman"/>
              </w:rPr>
              <w:t>/</w:t>
            </w:r>
          </w:p>
        </w:tc>
        <w:tc>
          <w:tcPr>
            <w:tcW w:w="850" w:type="dxa"/>
            <w:vAlign w:val="center"/>
          </w:tcPr>
          <w:p>
            <w:pPr>
              <w:jc w:val="center"/>
              <w:rPr>
                <w:rFonts w:ascii="Times New Roman" w:hAnsi="Times New Roman"/>
              </w:rPr>
            </w:pPr>
            <w:r>
              <w:rPr>
                <w:rFonts w:ascii="Times New Roman" w:hAnsi="Times New Roman"/>
              </w:rPr>
              <w:t>/</w:t>
            </w:r>
          </w:p>
        </w:tc>
        <w:tc>
          <w:tcPr>
            <w:tcW w:w="851" w:type="dxa"/>
            <w:vAlign w:val="center"/>
          </w:tcPr>
          <w:p>
            <w:pPr>
              <w:jc w:val="center"/>
              <w:rPr>
                <w:rFonts w:ascii="Times New Roman" w:hAnsi="Times New Roman"/>
              </w:rPr>
            </w:pPr>
            <w:r>
              <w:rPr>
                <w:rFonts w:ascii="Times New Roman" w:hAnsi="Times New Roman"/>
              </w:rPr>
              <w:t>/</w:t>
            </w:r>
          </w:p>
        </w:tc>
        <w:tc>
          <w:tcPr>
            <w:tcW w:w="992" w:type="dxa"/>
            <w:vAlign w:val="center"/>
          </w:tcPr>
          <w:p>
            <w:pPr>
              <w:jc w:val="center"/>
              <w:rPr>
                <w:rFonts w:ascii="Times New Roman" w:hAnsi="Times New Roman"/>
              </w:rPr>
            </w:pPr>
            <w:r>
              <w:rPr>
                <w:rFonts w:ascii="Times New Roman" w:hAnsi="Times New Roman"/>
              </w:rPr>
              <w:t>0.0825</w:t>
            </w:r>
          </w:p>
        </w:tc>
        <w:tc>
          <w:tcPr>
            <w:tcW w:w="992" w:type="dxa"/>
            <w:vAlign w:val="center"/>
          </w:tcPr>
          <w:p>
            <w:pPr>
              <w:jc w:val="center"/>
              <w:rPr>
                <w:rFonts w:ascii="Times New Roman" w:hAnsi="Times New Roman"/>
              </w:rPr>
            </w:pPr>
            <w:r>
              <w:rPr>
                <w:rFonts w:ascii="Times New Roman" w:hAnsi="Times New Roman"/>
              </w:rPr>
              <w:t>0.0687</w:t>
            </w:r>
          </w:p>
        </w:tc>
        <w:tc>
          <w:tcPr>
            <w:tcW w:w="904" w:type="dxa"/>
            <w:vAlign w:val="center"/>
          </w:tcPr>
          <w:p>
            <w:pPr>
              <w:jc w:val="center"/>
              <w:rPr>
                <w:rFonts w:ascii="Times New Roman" w:hAnsi="Times New Roman"/>
              </w:rPr>
            </w:pPr>
            <w:r>
              <w:rPr>
                <w:rFonts w:ascii="Times New Roman" w:hAnsi="Times New Roman"/>
              </w:rPr>
              <w:t>/</w:t>
            </w:r>
          </w:p>
        </w:tc>
        <w:tc>
          <w:tcPr>
            <w:tcW w:w="690"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32" w:hRule="atLeast"/>
          <w:jc w:val="center"/>
        </w:trPr>
        <w:tc>
          <w:tcPr>
            <w:tcW w:w="1384" w:type="dxa"/>
            <w:vAlign w:val="center"/>
          </w:tcPr>
          <w:p>
            <w:pPr>
              <w:jc w:val="center"/>
              <w:rPr>
                <w:rFonts w:ascii="Times New Roman" w:hAnsi="Times New Roman"/>
              </w:rPr>
            </w:pPr>
            <w:r>
              <w:rPr>
                <w:rFonts w:ascii="Times New Roman" w:hAnsi="Times New Roman"/>
              </w:rPr>
              <w:t>无组织--检验</w:t>
            </w:r>
          </w:p>
        </w:tc>
        <w:tc>
          <w:tcPr>
            <w:tcW w:w="548" w:type="dxa"/>
            <w:vMerge w:val="continue"/>
            <w:vAlign w:val="center"/>
          </w:tcPr>
          <w:p>
            <w:pPr>
              <w:jc w:val="center"/>
              <w:rPr>
                <w:rFonts w:ascii="Times New Roman" w:hAnsi="Times New Roman"/>
              </w:rPr>
            </w:pPr>
          </w:p>
        </w:tc>
        <w:tc>
          <w:tcPr>
            <w:tcW w:w="822" w:type="dxa"/>
            <w:vAlign w:val="center"/>
          </w:tcPr>
          <w:p>
            <w:pPr>
              <w:jc w:val="center"/>
              <w:rPr>
                <w:rFonts w:ascii="Times New Roman" w:hAnsi="Times New Roman"/>
              </w:rPr>
            </w:pPr>
            <w:r>
              <w:rPr>
                <w:rFonts w:ascii="Times New Roman" w:hAnsi="Times New Roman"/>
              </w:rPr>
              <w:t>0.475</w:t>
            </w:r>
          </w:p>
        </w:tc>
        <w:tc>
          <w:tcPr>
            <w:tcW w:w="898" w:type="dxa"/>
            <w:vAlign w:val="center"/>
          </w:tcPr>
          <w:p>
            <w:pPr>
              <w:jc w:val="center"/>
              <w:rPr>
                <w:rFonts w:ascii="Times New Roman" w:hAnsi="Times New Roman"/>
              </w:rPr>
            </w:pPr>
            <w:r>
              <w:rPr>
                <w:rFonts w:ascii="Times New Roman" w:hAnsi="Times New Roman"/>
              </w:rPr>
              <w:t>0.396</w:t>
            </w:r>
          </w:p>
        </w:tc>
        <w:tc>
          <w:tcPr>
            <w:tcW w:w="709" w:type="dxa"/>
            <w:vAlign w:val="center"/>
          </w:tcPr>
          <w:p>
            <w:pPr>
              <w:jc w:val="center"/>
              <w:rPr>
                <w:rFonts w:ascii="Times New Roman" w:hAnsi="Times New Roman"/>
              </w:rPr>
            </w:pPr>
            <w:r>
              <w:rPr>
                <w:rFonts w:ascii="Times New Roman" w:hAnsi="Times New Roman"/>
              </w:rPr>
              <w:t>/</w:t>
            </w:r>
          </w:p>
        </w:tc>
        <w:tc>
          <w:tcPr>
            <w:tcW w:w="850" w:type="dxa"/>
            <w:vAlign w:val="center"/>
          </w:tcPr>
          <w:p>
            <w:pPr>
              <w:jc w:val="center"/>
              <w:rPr>
                <w:rFonts w:ascii="Times New Roman" w:hAnsi="Times New Roman"/>
              </w:rPr>
            </w:pPr>
            <w:r>
              <w:rPr>
                <w:rFonts w:ascii="Times New Roman" w:hAnsi="Times New Roman"/>
              </w:rPr>
              <w:t>无组织</w:t>
            </w:r>
          </w:p>
        </w:tc>
        <w:tc>
          <w:tcPr>
            <w:tcW w:w="2514" w:type="dxa"/>
            <w:vAlign w:val="center"/>
          </w:tcPr>
          <w:p>
            <w:pPr>
              <w:jc w:val="center"/>
              <w:rPr>
                <w:rFonts w:ascii="Times New Roman" w:hAnsi="Times New Roman"/>
              </w:rPr>
            </w:pPr>
            <w:r>
              <w:rPr>
                <w:rFonts w:ascii="Times New Roman" w:hAnsi="Times New Roman"/>
              </w:rPr>
              <w:t>安装排气扇，加强通风</w:t>
            </w:r>
          </w:p>
        </w:tc>
        <w:tc>
          <w:tcPr>
            <w:tcW w:w="1172" w:type="dxa"/>
            <w:vAlign w:val="center"/>
          </w:tcPr>
          <w:p>
            <w:pPr>
              <w:jc w:val="center"/>
              <w:rPr>
                <w:rFonts w:ascii="Times New Roman" w:hAnsi="Times New Roman"/>
              </w:rPr>
            </w:pPr>
            <w:r>
              <w:rPr>
                <w:rFonts w:ascii="Times New Roman" w:hAnsi="Times New Roman"/>
              </w:rPr>
              <w:t>/</w:t>
            </w:r>
          </w:p>
        </w:tc>
        <w:tc>
          <w:tcPr>
            <w:tcW w:w="850" w:type="dxa"/>
            <w:vAlign w:val="center"/>
          </w:tcPr>
          <w:p>
            <w:pPr>
              <w:jc w:val="center"/>
              <w:rPr>
                <w:rFonts w:ascii="Times New Roman" w:hAnsi="Times New Roman"/>
              </w:rPr>
            </w:pPr>
            <w:r>
              <w:rPr>
                <w:rFonts w:ascii="Times New Roman" w:hAnsi="Times New Roman"/>
              </w:rPr>
              <w:t>/</w:t>
            </w:r>
          </w:p>
        </w:tc>
        <w:tc>
          <w:tcPr>
            <w:tcW w:w="851" w:type="dxa"/>
            <w:vAlign w:val="center"/>
          </w:tcPr>
          <w:p>
            <w:pPr>
              <w:jc w:val="center"/>
              <w:rPr>
                <w:rFonts w:ascii="Times New Roman" w:hAnsi="Times New Roman"/>
              </w:rPr>
            </w:pPr>
            <w:r>
              <w:rPr>
                <w:rFonts w:ascii="Times New Roman" w:hAnsi="Times New Roman"/>
              </w:rPr>
              <w:t>/</w:t>
            </w:r>
          </w:p>
        </w:tc>
        <w:tc>
          <w:tcPr>
            <w:tcW w:w="992" w:type="dxa"/>
            <w:vAlign w:val="center"/>
          </w:tcPr>
          <w:p>
            <w:pPr>
              <w:jc w:val="center"/>
              <w:rPr>
                <w:rFonts w:ascii="Times New Roman" w:hAnsi="Times New Roman"/>
              </w:rPr>
            </w:pPr>
            <w:r>
              <w:rPr>
                <w:rFonts w:ascii="Times New Roman" w:hAnsi="Times New Roman"/>
              </w:rPr>
              <w:t>0.475</w:t>
            </w:r>
          </w:p>
        </w:tc>
        <w:tc>
          <w:tcPr>
            <w:tcW w:w="992" w:type="dxa"/>
            <w:vAlign w:val="center"/>
          </w:tcPr>
          <w:p>
            <w:pPr>
              <w:jc w:val="center"/>
              <w:rPr>
                <w:rFonts w:ascii="Times New Roman" w:hAnsi="Times New Roman"/>
              </w:rPr>
            </w:pPr>
            <w:r>
              <w:rPr>
                <w:rFonts w:ascii="Times New Roman" w:hAnsi="Times New Roman"/>
              </w:rPr>
              <w:t>0.396</w:t>
            </w:r>
          </w:p>
        </w:tc>
        <w:tc>
          <w:tcPr>
            <w:tcW w:w="904" w:type="dxa"/>
            <w:vAlign w:val="center"/>
          </w:tcPr>
          <w:p>
            <w:pPr>
              <w:jc w:val="center"/>
              <w:rPr>
                <w:rFonts w:ascii="Times New Roman" w:hAnsi="Times New Roman"/>
              </w:rPr>
            </w:pPr>
            <w:r>
              <w:rPr>
                <w:rFonts w:ascii="Times New Roman" w:hAnsi="Times New Roman"/>
              </w:rPr>
              <w:t>/</w:t>
            </w:r>
          </w:p>
        </w:tc>
        <w:tc>
          <w:tcPr>
            <w:tcW w:w="690" w:type="dxa"/>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1384" w:type="dxa"/>
            <w:vAlign w:val="center"/>
          </w:tcPr>
          <w:p>
            <w:pPr>
              <w:jc w:val="center"/>
              <w:rPr>
                <w:rFonts w:ascii="Times New Roman" w:hAnsi="Times New Roman"/>
              </w:rPr>
            </w:pPr>
            <w:r>
              <w:rPr>
                <w:rFonts w:ascii="Times New Roman" w:hAnsi="Times New Roman"/>
              </w:rPr>
              <w:t>食堂油烟</w:t>
            </w:r>
          </w:p>
        </w:tc>
        <w:tc>
          <w:tcPr>
            <w:tcW w:w="548" w:type="dxa"/>
            <w:vAlign w:val="center"/>
          </w:tcPr>
          <w:p>
            <w:pPr>
              <w:jc w:val="center"/>
              <w:rPr>
                <w:rFonts w:ascii="Times New Roman" w:hAnsi="Times New Roman"/>
              </w:rPr>
            </w:pPr>
            <w:r>
              <w:rPr>
                <w:rFonts w:ascii="Times New Roman" w:hAnsi="Times New Roman"/>
              </w:rPr>
              <w:t>油烟</w:t>
            </w:r>
          </w:p>
        </w:tc>
        <w:tc>
          <w:tcPr>
            <w:tcW w:w="822" w:type="dxa"/>
            <w:vAlign w:val="center"/>
          </w:tcPr>
          <w:p>
            <w:pPr>
              <w:jc w:val="center"/>
              <w:rPr>
                <w:rFonts w:ascii="Times New Roman" w:hAnsi="Times New Roman"/>
              </w:rPr>
            </w:pPr>
            <w:r>
              <w:rPr>
                <w:rFonts w:ascii="Times New Roman" w:hAnsi="Times New Roman"/>
              </w:rPr>
              <w:t>0.018</w:t>
            </w:r>
          </w:p>
        </w:tc>
        <w:tc>
          <w:tcPr>
            <w:tcW w:w="898" w:type="dxa"/>
            <w:vAlign w:val="center"/>
          </w:tcPr>
          <w:p>
            <w:pPr>
              <w:jc w:val="center"/>
              <w:rPr>
                <w:rFonts w:ascii="Times New Roman" w:hAnsi="Times New Roman"/>
              </w:rPr>
            </w:pPr>
            <w:r>
              <w:rPr>
                <w:rFonts w:ascii="Times New Roman" w:hAnsi="Times New Roman"/>
              </w:rPr>
              <w:t>0.015</w:t>
            </w:r>
          </w:p>
        </w:tc>
        <w:tc>
          <w:tcPr>
            <w:tcW w:w="709" w:type="dxa"/>
            <w:vAlign w:val="center"/>
          </w:tcPr>
          <w:p>
            <w:pPr>
              <w:jc w:val="center"/>
              <w:rPr>
                <w:rFonts w:ascii="Times New Roman" w:hAnsi="Times New Roman"/>
              </w:rPr>
            </w:pPr>
            <w:r>
              <w:rPr>
                <w:rFonts w:ascii="Times New Roman" w:hAnsi="Times New Roman"/>
              </w:rPr>
              <w:t>3</w:t>
            </w:r>
          </w:p>
        </w:tc>
        <w:tc>
          <w:tcPr>
            <w:tcW w:w="850" w:type="dxa"/>
            <w:vAlign w:val="center"/>
          </w:tcPr>
          <w:p>
            <w:pPr>
              <w:jc w:val="center"/>
              <w:rPr>
                <w:rFonts w:ascii="Times New Roman" w:hAnsi="Times New Roman"/>
              </w:rPr>
            </w:pPr>
            <w:r>
              <w:rPr>
                <w:rFonts w:ascii="Times New Roman" w:hAnsi="Times New Roman"/>
              </w:rPr>
              <w:t>有组织</w:t>
            </w:r>
          </w:p>
        </w:tc>
        <w:tc>
          <w:tcPr>
            <w:tcW w:w="2514" w:type="dxa"/>
            <w:vAlign w:val="center"/>
          </w:tcPr>
          <w:p>
            <w:pPr>
              <w:jc w:val="center"/>
              <w:rPr>
                <w:rFonts w:ascii="Times New Roman" w:hAnsi="Times New Roman"/>
              </w:rPr>
            </w:pPr>
            <w:r>
              <w:rPr>
                <w:rFonts w:ascii="Times New Roman" w:hAnsi="Times New Roman"/>
              </w:rPr>
              <w:t>油烟净化设备+专用风道</w:t>
            </w:r>
          </w:p>
        </w:tc>
        <w:tc>
          <w:tcPr>
            <w:tcW w:w="1172" w:type="dxa"/>
            <w:vAlign w:val="center"/>
          </w:tcPr>
          <w:p>
            <w:pPr>
              <w:jc w:val="center"/>
              <w:rPr>
                <w:rFonts w:ascii="Times New Roman" w:hAnsi="Times New Roman"/>
              </w:rPr>
            </w:pPr>
            <w:r>
              <w:rPr>
                <w:rFonts w:ascii="Times New Roman" w:hAnsi="Times New Roman"/>
              </w:rPr>
              <w:t>5000m</w:t>
            </w:r>
            <w:r>
              <w:rPr>
                <w:rFonts w:ascii="Times New Roman" w:hAnsi="Times New Roman"/>
                <w:vertAlign w:val="superscript"/>
              </w:rPr>
              <w:t>3</w:t>
            </w:r>
            <w:r>
              <w:rPr>
                <w:rFonts w:ascii="Times New Roman" w:hAnsi="Times New Roman"/>
              </w:rPr>
              <w:t>/h</w:t>
            </w:r>
          </w:p>
        </w:tc>
        <w:tc>
          <w:tcPr>
            <w:tcW w:w="850" w:type="dxa"/>
            <w:vAlign w:val="center"/>
          </w:tcPr>
          <w:p>
            <w:pPr>
              <w:jc w:val="center"/>
              <w:rPr>
                <w:rFonts w:ascii="Times New Roman" w:hAnsi="Times New Roman"/>
              </w:rPr>
            </w:pPr>
            <w:r>
              <w:rPr>
                <w:rFonts w:ascii="Times New Roman" w:hAnsi="Times New Roman"/>
              </w:rPr>
              <w:t>/</w:t>
            </w:r>
          </w:p>
        </w:tc>
        <w:tc>
          <w:tcPr>
            <w:tcW w:w="851" w:type="dxa"/>
            <w:vAlign w:val="center"/>
          </w:tcPr>
          <w:p>
            <w:pPr>
              <w:jc w:val="center"/>
              <w:rPr>
                <w:rFonts w:ascii="Times New Roman" w:hAnsi="Times New Roman"/>
              </w:rPr>
            </w:pPr>
            <w:r>
              <w:rPr>
                <w:rFonts w:ascii="Times New Roman" w:hAnsi="Times New Roman"/>
              </w:rPr>
              <w:t>75%</w:t>
            </w:r>
          </w:p>
        </w:tc>
        <w:tc>
          <w:tcPr>
            <w:tcW w:w="992" w:type="dxa"/>
            <w:vAlign w:val="center"/>
          </w:tcPr>
          <w:p>
            <w:pPr>
              <w:jc w:val="center"/>
              <w:rPr>
                <w:rFonts w:ascii="Times New Roman" w:hAnsi="Times New Roman"/>
              </w:rPr>
            </w:pPr>
            <w:r>
              <w:rPr>
                <w:rFonts w:ascii="Times New Roman" w:hAnsi="Times New Roman"/>
              </w:rPr>
              <w:t>0.0045</w:t>
            </w:r>
          </w:p>
        </w:tc>
        <w:tc>
          <w:tcPr>
            <w:tcW w:w="992" w:type="dxa"/>
            <w:vAlign w:val="center"/>
          </w:tcPr>
          <w:p>
            <w:pPr>
              <w:jc w:val="center"/>
              <w:rPr>
                <w:rFonts w:ascii="Times New Roman" w:hAnsi="Times New Roman"/>
              </w:rPr>
            </w:pPr>
            <w:r>
              <w:rPr>
                <w:rFonts w:ascii="Times New Roman" w:hAnsi="Times New Roman"/>
              </w:rPr>
              <w:t>0.038</w:t>
            </w:r>
          </w:p>
        </w:tc>
        <w:tc>
          <w:tcPr>
            <w:tcW w:w="904" w:type="dxa"/>
            <w:vAlign w:val="center"/>
          </w:tcPr>
          <w:p>
            <w:pPr>
              <w:jc w:val="center"/>
              <w:rPr>
                <w:rFonts w:ascii="Times New Roman" w:hAnsi="Times New Roman"/>
              </w:rPr>
            </w:pPr>
            <w:r>
              <w:rPr>
                <w:rFonts w:ascii="Times New Roman" w:hAnsi="Times New Roman"/>
              </w:rPr>
              <w:t>0.75</w:t>
            </w:r>
          </w:p>
        </w:tc>
        <w:tc>
          <w:tcPr>
            <w:tcW w:w="690" w:type="dxa"/>
            <w:vAlign w:val="center"/>
          </w:tcPr>
          <w:p>
            <w:pPr>
              <w:jc w:val="center"/>
              <w:rPr>
                <w:rFonts w:ascii="Times New Roman" w:hAnsi="Times New Roman"/>
              </w:rPr>
            </w:pPr>
            <w:r>
              <w:rPr>
                <w:rFonts w:ascii="Times New Roman" w:hAnsi="Times New Roman"/>
              </w:rPr>
              <w:t>达标</w:t>
            </w:r>
          </w:p>
        </w:tc>
      </w:tr>
    </w:tbl>
    <w:p>
      <w:pPr>
        <w:pStyle w:val="119"/>
        <w:spacing w:line="440" w:lineRule="exact"/>
        <w:rPr>
          <w:rFonts w:cs="Times New Roman"/>
          <w:bCs/>
          <w:spacing w:val="4"/>
          <w:kern w:val="2"/>
          <w:lang w:val="zh-CN" w:bidi="zh-CN"/>
        </w:rPr>
      </w:pPr>
      <w:r>
        <w:rPr>
          <w:rFonts w:cs="Times New Roman"/>
          <w:bCs/>
          <w:spacing w:val="4"/>
          <w:kern w:val="2"/>
          <w:lang w:val="zh-CN" w:bidi="zh-CN"/>
        </w:rPr>
        <w:t>表4-2  项目废气排放口基本情况、排放标准及自行监测计划情况表</w:t>
      </w:r>
    </w:p>
    <w:tbl>
      <w:tblPr>
        <w:tblStyle w:val="22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34"/>
        <w:gridCol w:w="1276"/>
        <w:gridCol w:w="581"/>
        <w:gridCol w:w="666"/>
        <w:gridCol w:w="1670"/>
        <w:gridCol w:w="1670"/>
        <w:gridCol w:w="434"/>
        <w:gridCol w:w="595"/>
        <w:gridCol w:w="649"/>
        <w:gridCol w:w="2348"/>
        <w:gridCol w:w="1242"/>
        <w:gridCol w:w="851"/>
        <w:gridCol w:w="1026"/>
        <w:gridCol w:w="7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3" w:type="pct"/>
            <w:vMerge w:val="restart"/>
            <w:vAlign w:val="center"/>
          </w:tcPr>
          <w:p>
            <w:pPr>
              <w:snapToGrid w:val="0"/>
              <w:jc w:val="center"/>
              <w:rPr>
                <w:rFonts w:ascii="Times New Roman" w:hAnsi="Times New Roman"/>
                <w:b/>
                <w:bCs/>
              </w:rPr>
            </w:pPr>
            <w:r>
              <w:rPr>
                <w:rFonts w:ascii="Times New Roman" w:hAnsi="Times New Roman"/>
                <w:b/>
                <w:bCs/>
              </w:rPr>
              <w:t>序号</w:t>
            </w:r>
          </w:p>
        </w:tc>
        <w:tc>
          <w:tcPr>
            <w:tcW w:w="450" w:type="pct"/>
            <w:vMerge w:val="restart"/>
            <w:vAlign w:val="center"/>
          </w:tcPr>
          <w:p>
            <w:pPr>
              <w:snapToGrid w:val="0"/>
              <w:jc w:val="center"/>
              <w:rPr>
                <w:rFonts w:ascii="Times New Roman" w:hAnsi="Times New Roman"/>
                <w:b/>
                <w:bCs/>
              </w:rPr>
            </w:pPr>
            <w:r>
              <w:rPr>
                <w:rFonts w:ascii="Times New Roman" w:hAnsi="Times New Roman"/>
                <w:b/>
                <w:bCs/>
              </w:rPr>
              <w:t>排放口名称</w:t>
            </w:r>
          </w:p>
        </w:tc>
        <w:tc>
          <w:tcPr>
            <w:tcW w:w="205" w:type="pct"/>
            <w:vMerge w:val="restart"/>
            <w:vAlign w:val="center"/>
          </w:tcPr>
          <w:p>
            <w:pPr>
              <w:snapToGrid w:val="0"/>
              <w:jc w:val="center"/>
              <w:rPr>
                <w:rFonts w:ascii="Times New Roman" w:hAnsi="Times New Roman"/>
                <w:b/>
                <w:bCs/>
              </w:rPr>
            </w:pPr>
            <w:r>
              <w:rPr>
                <w:rFonts w:ascii="Times New Roman" w:hAnsi="Times New Roman"/>
                <w:b/>
                <w:bCs/>
              </w:rPr>
              <w:t>污染物种类</w:t>
            </w:r>
          </w:p>
        </w:tc>
        <w:tc>
          <w:tcPr>
            <w:tcW w:w="235" w:type="pct"/>
            <w:vMerge w:val="restart"/>
            <w:vAlign w:val="center"/>
          </w:tcPr>
          <w:p>
            <w:pPr>
              <w:snapToGrid w:val="0"/>
              <w:jc w:val="center"/>
              <w:rPr>
                <w:rFonts w:ascii="Times New Roman" w:hAnsi="Times New Roman"/>
                <w:b/>
                <w:bCs/>
              </w:rPr>
            </w:pPr>
            <w:r>
              <w:rPr>
                <w:rFonts w:ascii="Times New Roman" w:hAnsi="Times New Roman"/>
                <w:b/>
                <w:bCs/>
              </w:rPr>
              <w:t>排放口类型</w:t>
            </w:r>
          </w:p>
        </w:tc>
        <w:tc>
          <w:tcPr>
            <w:tcW w:w="1178" w:type="pct"/>
            <w:gridSpan w:val="2"/>
            <w:vAlign w:val="center"/>
          </w:tcPr>
          <w:p>
            <w:pPr>
              <w:snapToGrid w:val="0"/>
              <w:jc w:val="center"/>
              <w:rPr>
                <w:rFonts w:ascii="Times New Roman" w:hAnsi="Times New Roman"/>
                <w:b/>
                <w:bCs/>
              </w:rPr>
            </w:pPr>
            <w:r>
              <w:rPr>
                <w:rFonts w:ascii="Times New Roman" w:hAnsi="Times New Roman"/>
                <w:b/>
                <w:bCs/>
              </w:rPr>
              <w:t>排放口地理坐标</w:t>
            </w:r>
          </w:p>
        </w:tc>
        <w:tc>
          <w:tcPr>
            <w:tcW w:w="592" w:type="pct"/>
            <w:gridSpan w:val="3"/>
            <w:vAlign w:val="center"/>
          </w:tcPr>
          <w:p>
            <w:pPr>
              <w:snapToGrid w:val="0"/>
              <w:jc w:val="center"/>
              <w:rPr>
                <w:rFonts w:ascii="Times New Roman" w:hAnsi="Times New Roman"/>
                <w:b/>
                <w:bCs/>
              </w:rPr>
            </w:pPr>
            <w:r>
              <w:rPr>
                <w:rFonts w:ascii="Times New Roman" w:hAnsi="Times New Roman"/>
                <w:b/>
                <w:bCs/>
              </w:rPr>
              <w:t>排放口参数</w:t>
            </w:r>
          </w:p>
        </w:tc>
        <w:tc>
          <w:tcPr>
            <w:tcW w:w="1266" w:type="pct"/>
            <w:gridSpan w:val="2"/>
            <w:vAlign w:val="center"/>
          </w:tcPr>
          <w:p>
            <w:pPr>
              <w:snapToGrid w:val="0"/>
              <w:jc w:val="center"/>
              <w:rPr>
                <w:rFonts w:ascii="Times New Roman" w:hAnsi="Times New Roman"/>
                <w:b/>
                <w:bCs/>
              </w:rPr>
            </w:pPr>
            <w:r>
              <w:rPr>
                <w:rFonts w:ascii="Times New Roman" w:hAnsi="Times New Roman"/>
                <w:b/>
                <w:bCs/>
              </w:rPr>
              <w:t>排放标准</w:t>
            </w:r>
          </w:p>
        </w:tc>
        <w:tc>
          <w:tcPr>
            <w:tcW w:w="921" w:type="pct"/>
            <w:gridSpan w:val="3"/>
            <w:vAlign w:val="center"/>
          </w:tcPr>
          <w:p>
            <w:pPr>
              <w:snapToGrid w:val="0"/>
              <w:jc w:val="center"/>
              <w:rPr>
                <w:rFonts w:ascii="Times New Roman" w:hAnsi="Times New Roman"/>
                <w:b/>
                <w:bCs/>
              </w:rPr>
            </w:pPr>
            <w:r>
              <w:rPr>
                <w:rFonts w:ascii="Times New Roman" w:hAnsi="Times New Roman"/>
                <w:b/>
                <w:bCs/>
              </w:rPr>
              <w:t>自行监测要求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3" w:type="pct"/>
            <w:vMerge w:val="continue"/>
            <w:vAlign w:val="center"/>
          </w:tcPr>
          <w:p>
            <w:pPr>
              <w:snapToGrid w:val="0"/>
              <w:jc w:val="center"/>
              <w:rPr>
                <w:rFonts w:ascii="Times New Roman" w:hAnsi="Times New Roman"/>
                <w:b/>
                <w:bCs/>
              </w:rPr>
            </w:pPr>
          </w:p>
        </w:tc>
        <w:tc>
          <w:tcPr>
            <w:tcW w:w="450" w:type="pct"/>
            <w:vMerge w:val="continue"/>
            <w:vAlign w:val="center"/>
          </w:tcPr>
          <w:p>
            <w:pPr>
              <w:snapToGrid w:val="0"/>
              <w:jc w:val="center"/>
              <w:rPr>
                <w:rFonts w:ascii="Times New Roman" w:hAnsi="Times New Roman"/>
                <w:b/>
                <w:bCs/>
              </w:rPr>
            </w:pPr>
          </w:p>
        </w:tc>
        <w:tc>
          <w:tcPr>
            <w:tcW w:w="205" w:type="pct"/>
            <w:vMerge w:val="continue"/>
            <w:vAlign w:val="center"/>
          </w:tcPr>
          <w:p>
            <w:pPr>
              <w:snapToGrid w:val="0"/>
              <w:jc w:val="center"/>
              <w:rPr>
                <w:rFonts w:ascii="Times New Roman" w:hAnsi="Times New Roman"/>
                <w:b/>
                <w:bCs/>
              </w:rPr>
            </w:pPr>
          </w:p>
        </w:tc>
        <w:tc>
          <w:tcPr>
            <w:tcW w:w="235" w:type="pct"/>
            <w:vMerge w:val="continue"/>
            <w:vAlign w:val="center"/>
          </w:tcPr>
          <w:p>
            <w:pPr>
              <w:snapToGrid w:val="0"/>
              <w:jc w:val="center"/>
              <w:rPr>
                <w:rFonts w:ascii="Times New Roman" w:hAnsi="Times New Roman"/>
                <w:b/>
                <w:bCs/>
              </w:rPr>
            </w:pPr>
          </w:p>
        </w:tc>
        <w:tc>
          <w:tcPr>
            <w:tcW w:w="589" w:type="pct"/>
            <w:vAlign w:val="center"/>
          </w:tcPr>
          <w:p>
            <w:pPr>
              <w:snapToGrid w:val="0"/>
              <w:jc w:val="center"/>
              <w:rPr>
                <w:rFonts w:ascii="Times New Roman" w:hAnsi="Times New Roman"/>
                <w:b/>
                <w:bCs/>
              </w:rPr>
            </w:pPr>
            <w:r>
              <w:rPr>
                <w:rFonts w:ascii="Times New Roman" w:hAnsi="Times New Roman"/>
                <w:b/>
                <w:bCs/>
              </w:rPr>
              <w:t>经度</w:t>
            </w:r>
          </w:p>
        </w:tc>
        <w:tc>
          <w:tcPr>
            <w:tcW w:w="589" w:type="pct"/>
            <w:vAlign w:val="center"/>
          </w:tcPr>
          <w:p>
            <w:pPr>
              <w:snapToGrid w:val="0"/>
              <w:jc w:val="center"/>
              <w:rPr>
                <w:rFonts w:ascii="Times New Roman" w:hAnsi="Times New Roman"/>
                <w:b/>
                <w:bCs/>
              </w:rPr>
            </w:pPr>
            <w:r>
              <w:rPr>
                <w:rFonts w:ascii="Times New Roman" w:hAnsi="Times New Roman"/>
                <w:b/>
                <w:bCs/>
              </w:rPr>
              <w:t>纬度</w:t>
            </w:r>
          </w:p>
        </w:tc>
        <w:tc>
          <w:tcPr>
            <w:tcW w:w="153" w:type="pct"/>
            <w:vAlign w:val="center"/>
          </w:tcPr>
          <w:p>
            <w:pPr>
              <w:snapToGrid w:val="0"/>
              <w:jc w:val="center"/>
              <w:rPr>
                <w:rFonts w:ascii="Times New Roman" w:hAnsi="Times New Roman"/>
                <w:b/>
                <w:bCs/>
              </w:rPr>
            </w:pPr>
            <w:r>
              <w:rPr>
                <w:rFonts w:ascii="Times New Roman" w:hAnsi="Times New Roman"/>
                <w:b/>
                <w:bCs/>
              </w:rPr>
              <w:t>高度m</w:t>
            </w:r>
          </w:p>
        </w:tc>
        <w:tc>
          <w:tcPr>
            <w:tcW w:w="210" w:type="pct"/>
            <w:vAlign w:val="center"/>
          </w:tcPr>
          <w:p>
            <w:pPr>
              <w:snapToGrid w:val="0"/>
              <w:jc w:val="center"/>
              <w:rPr>
                <w:rFonts w:ascii="Times New Roman" w:hAnsi="Times New Roman"/>
                <w:b/>
                <w:bCs/>
              </w:rPr>
            </w:pPr>
            <w:r>
              <w:rPr>
                <w:rFonts w:ascii="Times New Roman" w:hAnsi="Times New Roman"/>
                <w:b/>
                <w:bCs/>
              </w:rPr>
              <w:t>内径</w:t>
            </w:r>
          </w:p>
          <w:p>
            <w:pPr>
              <w:snapToGrid w:val="0"/>
              <w:jc w:val="center"/>
              <w:rPr>
                <w:rFonts w:ascii="Times New Roman" w:hAnsi="Times New Roman"/>
                <w:b/>
                <w:bCs/>
              </w:rPr>
            </w:pPr>
            <w:r>
              <w:rPr>
                <w:rFonts w:ascii="Times New Roman" w:hAnsi="Times New Roman"/>
                <w:b/>
                <w:bCs/>
              </w:rPr>
              <w:t>m</w:t>
            </w:r>
          </w:p>
        </w:tc>
        <w:tc>
          <w:tcPr>
            <w:tcW w:w="229" w:type="pct"/>
            <w:vAlign w:val="center"/>
          </w:tcPr>
          <w:p>
            <w:pPr>
              <w:snapToGrid w:val="0"/>
              <w:jc w:val="center"/>
              <w:rPr>
                <w:rFonts w:ascii="Times New Roman" w:hAnsi="Times New Roman"/>
                <w:b/>
                <w:bCs/>
              </w:rPr>
            </w:pPr>
            <w:r>
              <w:rPr>
                <w:rFonts w:ascii="Times New Roman" w:hAnsi="Times New Roman"/>
                <w:b/>
                <w:bCs/>
              </w:rPr>
              <w:t>温度</w:t>
            </w:r>
            <w:r>
              <w:rPr>
                <w:rFonts w:hint="eastAsia" w:cs="宋体"/>
                <w:b/>
                <w:bCs/>
              </w:rPr>
              <w:t>℃</w:t>
            </w:r>
          </w:p>
        </w:tc>
        <w:tc>
          <w:tcPr>
            <w:tcW w:w="828" w:type="pct"/>
            <w:vAlign w:val="center"/>
          </w:tcPr>
          <w:p>
            <w:pPr>
              <w:snapToGrid w:val="0"/>
              <w:jc w:val="center"/>
              <w:rPr>
                <w:rFonts w:ascii="Times New Roman" w:hAnsi="Times New Roman"/>
                <w:b/>
                <w:bCs/>
              </w:rPr>
            </w:pPr>
            <w:r>
              <w:rPr>
                <w:rFonts w:ascii="Times New Roman" w:hAnsi="Times New Roman"/>
                <w:b/>
                <w:bCs/>
              </w:rPr>
              <w:t>标准名称</w:t>
            </w:r>
          </w:p>
        </w:tc>
        <w:tc>
          <w:tcPr>
            <w:tcW w:w="438" w:type="pct"/>
            <w:vAlign w:val="center"/>
          </w:tcPr>
          <w:p>
            <w:pPr>
              <w:snapToGrid w:val="0"/>
              <w:jc w:val="center"/>
              <w:rPr>
                <w:rFonts w:ascii="Times New Roman" w:hAnsi="Times New Roman"/>
                <w:b/>
                <w:bCs/>
              </w:rPr>
            </w:pPr>
            <w:r>
              <w:rPr>
                <w:rFonts w:ascii="Times New Roman" w:hAnsi="Times New Roman"/>
                <w:b/>
                <w:bCs/>
              </w:rPr>
              <w:t>标准限值</w:t>
            </w:r>
          </w:p>
        </w:tc>
        <w:tc>
          <w:tcPr>
            <w:tcW w:w="300" w:type="pct"/>
            <w:vAlign w:val="center"/>
          </w:tcPr>
          <w:p>
            <w:pPr>
              <w:snapToGrid w:val="0"/>
              <w:jc w:val="center"/>
              <w:rPr>
                <w:rFonts w:ascii="Times New Roman" w:hAnsi="Times New Roman"/>
                <w:b/>
                <w:bCs/>
              </w:rPr>
            </w:pPr>
            <w:r>
              <w:rPr>
                <w:rFonts w:ascii="Times New Roman" w:hAnsi="Times New Roman"/>
                <w:b/>
                <w:bCs/>
              </w:rPr>
              <w:t>监测点位</w:t>
            </w:r>
          </w:p>
        </w:tc>
        <w:tc>
          <w:tcPr>
            <w:tcW w:w="362" w:type="pct"/>
            <w:vAlign w:val="center"/>
          </w:tcPr>
          <w:p>
            <w:pPr>
              <w:snapToGrid w:val="0"/>
              <w:jc w:val="center"/>
              <w:rPr>
                <w:rFonts w:ascii="Times New Roman" w:hAnsi="Times New Roman"/>
                <w:b/>
                <w:bCs/>
              </w:rPr>
            </w:pPr>
            <w:r>
              <w:rPr>
                <w:rFonts w:ascii="Times New Roman" w:hAnsi="Times New Roman"/>
                <w:b/>
                <w:bCs/>
              </w:rPr>
              <w:t>监测因子</w:t>
            </w:r>
          </w:p>
        </w:tc>
        <w:tc>
          <w:tcPr>
            <w:tcW w:w="259" w:type="pct"/>
            <w:vAlign w:val="center"/>
          </w:tcPr>
          <w:p>
            <w:pPr>
              <w:snapToGrid w:val="0"/>
              <w:jc w:val="center"/>
              <w:rPr>
                <w:rFonts w:ascii="Times New Roman" w:hAnsi="Times New Roman"/>
                <w:b/>
                <w:bCs/>
              </w:rPr>
            </w:pPr>
            <w:r>
              <w:rPr>
                <w:rFonts w:ascii="Times New Roman" w:hAnsi="Times New Roman"/>
                <w:b/>
                <w:bCs/>
              </w:rPr>
              <w:t>监测频次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90" w:hRule="atLeast"/>
          <w:jc w:val="center"/>
        </w:trPr>
        <w:tc>
          <w:tcPr>
            <w:tcW w:w="153" w:type="pct"/>
            <w:vAlign w:val="center"/>
          </w:tcPr>
          <w:p>
            <w:pPr>
              <w:snapToGrid w:val="0"/>
              <w:jc w:val="center"/>
              <w:rPr>
                <w:rFonts w:ascii="Times New Roman" w:hAnsi="Times New Roman"/>
              </w:rPr>
            </w:pPr>
            <w:r>
              <w:rPr>
                <w:rFonts w:ascii="Times New Roman" w:hAnsi="Times New Roman"/>
              </w:rPr>
              <w:t>1</w:t>
            </w:r>
          </w:p>
        </w:tc>
        <w:tc>
          <w:tcPr>
            <w:tcW w:w="450" w:type="pct"/>
            <w:vAlign w:val="center"/>
          </w:tcPr>
          <w:p>
            <w:pPr>
              <w:snapToGrid w:val="0"/>
              <w:jc w:val="center"/>
              <w:rPr>
                <w:rFonts w:ascii="Times New Roman" w:hAnsi="Times New Roman"/>
              </w:rPr>
            </w:pPr>
            <w:r>
              <w:rPr>
                <w:rFonts w:ascii="Times New Roman" w:hAnsi="Times New Roman"/>
              </w:rPr>
              <w:t>喷涂保护液工序废气（DA001）</w:t>
            </w:r>
          </w:p>
        </w:tc>
        <w:tc>
          <w:tcPr>
            <w:tcW w:w="205" w:type="pct"/>
            <w:vMerge w:val="restart"/>
            <w:vAlign w:val="center"/>
          </w:tcPr>
          <w:p>
            <w:pPr>
              <w:snapToGrid w:val="0"/>
              <w:jc w:val="center"/>
              <w:rPr>
                <w:rFonts w:ascii="Times New Roman" w:hAnsi="Times New Roman"/>
              </w:rPr>
            </w:pPr>
            <w:r>
              <w:rPr>
                <w:rFonts w:ascii="Times New Roman" w:hAnsi="Times New Roman"/>
              </w:rPr>
              <w:t>非甲烷总烃</w:t>
            </w:r>
          </w:p>
        </w:tc>
        <w:tc>
          <w:tcPr>
            <w:tcW w:w="235" w:type="pct"/>
            <w:vMerge w:val="restart"/>
            <w:vAlign w:val="center"/>
          </w:tcPr>
          <w:p>
            <w:pPr>
              <w:snapToGrid w:val="0"/>
              <w:jc w:val="center"/>
              <w:rPr>
                <w:rFonts w:ascii="Times New Roman" w:hAnsi="Times New Roman"/>
              </w:rPr>
            </w:pPr>
            <w:r>
              <w:rPr>
                <w:rFonts w:ascii="Times New Roman" w:hAnsi="Times New Roman"/>
              </w:rPr>
              <w:t>一般排放口</w:t>
            </w:r>
          </w:p>
        </w:tc>
        <w:tc>
          <w:tcPr>
            <w:tcW w:w="589" w:type="pct"/>
            <w:vAlign w:val="center"/>
          </w:tcPr>
          <w:p>
            <w:pPr>
              <w:snapToGrid w:val="0"/>
              <w:jc w:val="center"/>
              <w:rPr>
                <w:rFonts w:ascii="Times New Roman" w:hAnsi="Times New Roman"/>
              </w:rPr>
            </w:pPr>
            <w:r>
              <w:rPr>
                <w:rFonts w:ascii="Times New Roman" w:hAnsi="Times New Roman"/>
              </w:rPr>
              <w:t>116°37′7.50379″</w:t>
            </w:r>
          </w:p>
        </w:tc>
        <w:tc>
          <w:tcPr>
            <w:tcW w:w="589" w:type="pct"/>
            <w:vAlign w:val="center"/>
          </w:tcPr>
          <w:p>
            <w:pPr>
              <w:snapToGrid w:val="0"/>
              <w:jc w:val="center"/>
              <w:rPr>
                <w:rFonts w:ascii="Times New Roman" w:hAnsi="Times New Roman"/>
              </w:rPr>
            </w:pPr>
            <w:r>
              <w:rPr>
                <w:rFonts w:ascii="Times New Roman" w:hAnsi="Times New Roman"/>
              </w:rPr>
              <w:t>32°45′49.82415″</w:t>
            </w:r>
          </w:p>
        </w:tc>
        <w:tc>
          <w:tcPr>
            <w:tcW w:w="153" w:type="pct"/>
            <w:vAlign w:val="center"/>
          </w:tcPr>
          <w:p>
            <w:pPr>
              <w:snapToGrid w:val="0"/>
              <w:jc w:val="center"/>
              <w:rPr>
                <w:rFonts w:ascii="Times New Roman" w:hAnsi="Times New Roman"/>
              </w:rPr>
            </w:pPr>
            <w:r>
              <w:rPr>
                <w:rFonts w:ascii="Times New Roman" w:hAnsi="Times New Roman"/>
              </w:rPr>
              <w:t>30</w:t>
            </w:r>
          </w:p>
        </w:tc>
        <w:tc>
          <w:tcPr>
            <w:tcW w:w="210" w:type="pct"/>
            <w:vAlign w:val="center"/>
          </w:tcPr>
          <w:p>
            <w:pPr>
              <w:snapToGrid w:val="0"/>
              <w:jc w:val="center"/>
              <w:rPr>
                <w:rFonts w:ascii="Times New Roman" w:hAnsi="Times New Roman"/>
              </w:rPr>
            </w:pPr>
            <w:r>
              <w:rPr>
                <w:rFonts w:ascii="Times New Roman" w:hAnsi="Times New Roman"/>
              </w:rPr>
              <w:t>0.50</w:t>
            </w:r>
          </w:p>
        </w:tc>
        <w:tc>
          <w:tcPr>
            <w:tcW w:w="229" w:type="pct"/>
            <w:vAlign w:val="center"/>
          </w:tcPr>
          <w:p>
            <w:pPr>
              <w:snapToGrid w:val="0"/>
              <w:jc w:val="center"/>
              <w:rPr>
                <w:rFonts w:ascii="Times New Roman" w:hAnsi="Times New Roman"/>
              </w:rPr>
            </w:pPr>
            <w:r>
              <w:rPr>
                <w:rFonts w:ascii="Times New Roman" w:hAnsi="Times New Roman"/>
              </w:rPr>
              <w:t>常温</w:t>
            </w:r>
          </w:p>
        </w:tc>
        <w:tc>
          <w:tcPr>
            <w:tcW w:w="828" w:type="pct"/>
            <w:vAlign w:val="center"/>
          </w:tcPr>
          <w:p>
            <w:pPr>
              <w:snapToGrid w:val="0"/>
              <w:jc w:val="center"/>
              <w:rPr>
                <w:rFonts w:ascii="Times New Roman" w:hAnsi="Times New Roman"/>
              </w:rPr>
            </w:pPr>
            <w:r>
              <w:rPr>
                <w:rFonts w:ascii="Times New Roman" w:hAnsi="Times New Roman"/>
              </w:rPr>
              <w:t>《大气污染物综合排放标准》（GB16297-1996）表2二级标准限值</w:t>
            </w:r>
          </w:p>
        </w:tc>
        <w:tc>
          <w:tcPr>
            <w:tcW w:w="438" w:type="pct"/>
            <w:vAlign w:val="center"/>
          </w:tcPr>
          <w:p>
            <w:pPr>
              <w:snapToGrid w:val="0"/>
              <w:jc w:val="center"/>
              <w:rPr>
                <w:rFonts w:ascii="Times New Roman" w:hAnsi="Times New Roman"/>
                <w:vertAlign w:val="superscript"/>
              </w:rPr>
            </w:pPr>
            <w:r>
              <w:rPr>
                <w:rFonts w:ascii="Times New Roman" w:hAnsi="Times New Roman"/>
              </w:rPr>
              <w:t>120mg/m</w:t>
            </w:r>
            <w:r>
              <w:rPr>
                <w:rFonts w:ascii="Times New Roman" w:hAnsi="Times New Roman"/>
                <w:vertAlign w:val="superscript"/>
              </w:rPr>
              <w:t>3</w:t>
            </w:r>
          </w:p>
          <w:p>
            <w:pPr>
              <w:snapToGrid w:val="0"/>
              <w:jc w:val="center"/>
              <w:rPr>
                <w:rFonts w:ascii="Times New Roman" w:hAnsi="Times New Roman"/>
              </w:rPr>
            </w:pPr>
            <w:r>
              <w:rPr>
                <w:rFonts w:ascii="Times New Roman" w:hAnsi="Times New Roman"/>
              </w:rPr>
              <w:t>（53kg/h）</w:t>
            </w:r>
          </w:p>
        </w:tc>
        <w:tc>
          <w:tcPr>
            <w:tcW w:w="300" w:type="pct"/>
            <w:vAlign w:val="center"/>
          </w:tcPr>
          <w:p>
            <w:pPr>
              <w:snapToGrid w:val="0"/>
              <w:jc w:val="center"/>
              <w:rPr>
                <w:rFonts w:ascii="Times New Roman" w:hAnsi="Times New Roman"/>
              </w:rPr>
            </w:pPr>
            <w:r>
              <w:rPr>
                <w:rFonts w:ascii="Times New Roman" w:hAnsi="Times New Roman"/>
              </w:rPr>
              <w:t>DA001</w:t>
            </w:r>
          </w:p>
        </w:tc>
        <w:tc>
          <w:tcPr>
            <w:tcW w:w="362" w:type="pct"/>
            <w:vMerge w:val="restart"/>
            <w:vAlign w:val="center"/>
          </w:tcPr>
          <w:p>
            <w:pPr>
              <w:snapToGrid w:val="0"/>
              <w:jc w:val="center"/>
              <w:rPr>
                <w:rFonts w:ascii="Times New Roman" w:hAnsi="Times New Roman"/>
              </w:rPr>
            </w:pPr>
            <w:r>
              <w:rPr>
                <w:rFonts w:ascii="Times New Roman" w:hAnsi="Times New Roman"/>
              </w:rPr>
              <w:t>非甲烷总烃排放浓度、排放速率等</w:t>
            </w:r>
          </w:p>
        </w:tc>
        <w:tc>
          <w:tcPr>
            <w:tcW w:w="259" w:type="pct"/>
            <w:vMerge w:val="restart"/>
            <w:vAlign w:val="center"/>
          </w:tcPr>
          <w:p>
            <w:pPr>
              <w:snapToGrid w:val="0"/>
              <w:jc w:val="center"/>
              <w:rPr>
                <w:rFonts w:ascii="Times New Roman" w:hAnsi="Times New Roman"/>
              </w:rPr>
            </w:pPr>
            <w:r>
              <w:rPr>
                <w:rFonts w:ascii="Times New Roman" w:hAnsi="Times New Roman"/>
              </w:rPr>
              <w:t>1次/年，非连续采样至少3个样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19" w:hRule="atLeast"/>
          <w:jc w:val="center"/>
        </w:trPr>
        <w:tc>
          <w:tcPr>
            <w:tcW w:w="153" w:type="pct"/>
            <w:vAlign w:val="center"/>
          </w:tcPr>
          <w:p>
            <w:pPr>
              <w:snapToGrid w:val="0"/>
              <w:jc w:val="center"/>
              <w:rPr>
                <w:rFonts w:ascii="Times New Roman" w:hAnsi="Times New Roman"/>
              </w:rPr>
            </w:pPr>
            <w:r>
              <w:rPr>
                <w:rFonts w:ascii="Times New Roman" w:hAnsi="Times New Roman"/>
              </w:rPr>
              <w:t>2</w:t>
            </w:r>
          </w:p>
        </w:tc>
        <w:tc>
          <w:tcPr>
            <w:tcW w:w="450" w:type="pct"/>
            <w:vAlign w:val="center"/>
          </w:tcPr>
          <w:p>
            <w:pPr>
              <w:snapToGrid w:val="0"/>
              <w:jc w:val="center"/>
              <w:rPr>
                <w:rFonts w:ascii="Times New Roman" w:hAnsi="Times New Roman"/>
              </w:rPr>
            </w:pPr>
            <w:r>
              <w:rPr>
                <w:rFonts w:hint="eastAsia" w:ascii="Times New Roman" w:hAnsi="Times New Roman"/>
              </w:rPr>
              <w:t>印刷</w:t>
            </w:r>
            <w:r>
              <w:rPr>
                <w:rFonts w:ascii="Times New Roman" w:hAnsi="Times New Roman"/>
              </w:rPr>
              <w:t>、喷AF膜及烘干工序废气（DA002）</w:t>
            </w:r>
          </w:p>
        </w:tc>
        <w:tc>
          <w:tcPr>
            <w:tcW w:w="205" w:type="pct"/>
            <w:vMerge w:val="continue"/>
            <w:vAlign w:val="center"/>
          </w:tcPr>
          <w:p>
            <w:pPr>
              <w:snapToGrid w:val="0"/>
              <w:jc w:val="center"/>
              <w:rPr>
                <w:rFonts w:ascii="Times New Roman" w:hAnsi="Times New Roman"/>
              </w:rPr>
            </w:pPr>
          </w:p>
        </w:tc>
        <w:tc>
          <w:tcPr>
            <w:tcW w:w="235" w:type="pct"/>
            <w:vMerge w:val="continue"/>
            <w:vAlign w:val="center"/>
          </w:tcPr>
          <w:p>
            <w:pPr>
              <w:snapToGrid w:val="0"/>
              <w:jc w:val="center"/>
              <w:rPr>
                <w:rFonts w:ascii="Times New Roman" w:hAnsi="Times New Roman"/>
              </w:rPr>
            </w:pPr>
          </w:p>
        </w:tc>
        <w:tc>
          <w:tcPr>
            <w:tcW w:w="589" w:type="pct"/>
            <w:vAlign w:val="center"/>
          </w:tcPr>
          <w:p>
            <w:pPr>
              <w:snapToGrid w:val="0"/>
              <w:jc w:val="center"/>
              <w:rPr>
                <w:rFonts w:ascii="Times New Roman" w:hAnsi="Times New Roman"/>
              </w:rPr>
            </w:pPr>
            <w:r>
              <w:rPr>
                <w:rFonts w:ascii="Times New Roman" w:hAnsi="Times New Roman"/>
              </w:rPr>
              <w:t xml:space="preserve">116°37′2.52132″ </w:t>
            </w:r>
          </w:p>
        </w:tc>
        <w:tc>
          <w:tcPr>
            <w:tcW w:w="589" w:type="pct"/>
            <w:vAlign w:val="center"/>
          </w:tcPr>
          <w:p>
            <w:pPr>
              <w:snapToGrid w:val="0"/>
              <w:jc w:val="center"/>
              <w:rPr>
                <w:rFonts w:ascii="Times New Roman" w:hAnsi="Times New Roman"/>
              </w:rPr>
            </w:pPr>
            <w:r>
              <w:rPr>
                <w:rFonts w:ascii="Times New Roman" w:hAnsi="Times New Roman"/>
              </w:rPr>
              <w:t>32°45′54.16932″</w:t>
            </w:r>
          </w:p>
        </w:tc>
        <w:tc>
          <w:tcPr>
            <w:tcW w:w="153" w:type="pct"/>
            <w:vAlign w:val="center"/>
          </w:tcPr>
          <w:p>
            <w:pPr>
              <w:snapToGrid w:val="0"/>
              <w:jc w:val="center"/>
              <w:rPr>
                <w:rFonts w:ascii="Times New Roman" w:hAnsi="Times New Roman"/>
              </w:rPr>
            </w:pPr>
            <w:r>
              <w:rPr>
                <w:rFonts w:ascii="Times New Roman" w:hAnsi="Times New Roman"/>
              </w:rPr>
              <w:t>30</w:t>
            </w:r>
          </w:p>
        </w:tc>
        <w:tc>
          <w:tcPr>
            <w:tcW w:w="210" w:type="pct"/>
            <w:vAlign w:val="center"/>
          </w:tcPr>
          <w:p>
            <w:pPr>
              <w:snapToGrid w:val="0"/>
              <w:jc w:val="center"/>
              <w:rPr>
                <w:rFonts w:ascii="Times New Roman" w:hAnsi="Times New Roman"/>
              </w:rPr>
            </w:pPr>
            <w:r>
              <w:rPr>
                <w:rFonts w:ascii="Times New Roman" w:hAnsi="Times New Roman"/>
              </w:rPr>
              <w:t>0.70</w:t>
            </w:r>
          </w:p>
        </w:tc>
        <w:tc>
          <w:tcPr>
            <w:tcW w:w="229" w:type="pct"/>
            <w:vAlign w:val="center"/>
          </w:tcPr>
          <w:p>
            <w:pPr>
              <w:snapToGrid w:val="0"/>
              <w:jc w:val="center"/>
              <w:rPr>
                <w:rFonts w:ascii="Times New Roman" w:hAnsi="Times New Roman"/>
              </w:rPr>
            </w:pPr>
            <w:r>
              <w:rPr>
                <w:rFonts w:ascii="Times New Roman" w:hAnsi="Times New Roman"/>
              </w:rPr>
              <w:t>常温</w:t>
            </w:r>
          </w:p>
        </w:tc>
        <w:tc>
          <w:tcPr>
            <w:tcW w:w="828" w:type="pct"/>
            <w:vAlign w:val="center"/>
          </w:tcPr>
          <w:p>
            <w:pPr>
              <w:snapToGrid w:val="0"/>
              <w:jc w:val="center"/>
              <w:rPr>
                <w:rFonts w:ascii="Times New Roman" w:hAnsi="Times New Roman"/>
              </w:rPr>
            </w:pPr>
            <w:r>
              <w:rPr>
                <w:rFonts w:ascii="Times New Roman" w:hAnsi="Times New Roman"/>
              </w:rPr>
              <w:t>《大气污染物综合排放标准》（GB16297-1996）表2二级标准限值</w:t>
            </w:r>
          </w:p>
        </w:tc>
        <w:tc>
          <w:tcPr>
            <w:tcW w:w="438" w:type="pct"/>
            <w:vAlign w:val="center"/>
          </w:tcPr>
          <w:p>
            <w:pPr>
              <w:snapToGrid w:val="0"/>
              <w:jc w:val="center"/>
              <w:rPr>
                <w:rFonts w:ascii="Times New Roman" w:hAnsi="Times New Roman"/>
                <w:vertAlign w:val="superscript"/>
              </w:rPr>
            </w:pPr>
            <w:r>
              <w:rPr>
                <w:rFonts w:ascii="Times New Roman" w:hAnsi="Times New Roman"/>
              </w:rPr>
              <w:t>120mg/m</w:t>
            </w:r>
            <w:r>
              <w:rPr>
                <w:rFonts w:ascii="Times New Roman" w:hAnsi="Times New Roman"/>
                <w:vertAlign w:val="superscript"/>
              </w:rPr>
              <w:t>3</w:t>
            </w:r>
          </w:p>
          <w:p>
            <w:pPr>
              <w:snapToGrid w:val="0"/>
              <w:jc w:val="center"/>
              <w:rPr>
                <w:rFonts w:ascii="Times New Roman" w:hAnsi="Times New Roman"/>
              </w:rPr>
            </w:pPr>
            <w:r>
              <w:rPr>
                <w:rFonts w:ascii="Times New Roman" w:hAnsi="Times New Roman"/>
              </w:rPr>
              <w:t>（53kg/h）</w:t>
            </w:r>
          </w:p>
        </w:tc>
        <w:tc>
          <w:tcPr>
            <w:tcW w:w="300" w:type="pct"/>
            <w:vAlign w:val="center"/>
          </w:tcPr>
          <w:p>
            <w:pPr>
              <w:snapToGrid w:val="0"/>
              <w:jc w:val="center"/>
              <w:rPr>
                <w:rFonts w:ascii="Times New Roman" w:hAnsi="Times New Roman"/>
              </w:rPr>
            </w:pPr>
            <w:r>
              <w:rPr>
                <w:rFonts w:ascii="Times New Roman" w:hAnsi="Times New Roman"/>
              </w:rPr>
              <w:t>DA002</w:t>
            </w:r>
          </w:p>
        </w:tc>
        <w:tc>
          <w:tcPr>
            <w:tcW w:w="362" w:type="pct"/>
            <w:vMerge w:val="continue"/>
            <w:vAlign w:val="center"/>
          </w:tcPr>
          <w:p>
            <w:pPr>
              <w:snapToGrid w:val="0"/>
              <w:jc w:val="center"/>
              <w:rPr>
                <w:rFonts w:ascii="Times New Roman" w:hAnsi="Times New Roman"/>
              </w:rPr>
            </w:pPr>
          </w:p>
        </w:tc>
        <w:tc>
          <w:tcPr>
            <w:tcW w:w="259" w:type="pct"/>
            <w:vMerge w:val="continue"/>
            <w:vAlign w:val="center"/>
          </w:tcPr>
          <w:p>
            <w:pPr>
              <w:snapToGrid w:val="0"/>
              <w:jc w:val="center"/>
              <w:rPr>
                <w:rFonts w:ascii="Times New Roman" w:hAnsi="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3" w:hRule="atLeast"/>
          <w:jc w:val="center"/>
        </w:trPr>
        <w:tc>
          <w:tcPr>
            <w:tcW w:w="153" w:type="pct"/>
            <w:vAlign w:val="center"/>
          </w:tcPr>
          <w:p>
            <w:pPr>
              <w:snapToGrid w:val="0"/>
              <w:jc w:val="center"/>
              <w:rPr>
                <w:rFonts w:ascii="Times New Roman" w:hAnsi="Times New Roman"/>
              </w:rPr>
            </w:pPr>
            <w:r>
              <w:rPr>
                <w:rFonts w:ascii="Times New Roman" w:hAnsi="Times New Roman"/>
              </w:rPr>
              <w:t>3</w:t>
            </w:r>
          </w:p>
        </w:tc>
        <w:tc>
          <w:tcPr>
            <w:tcW w:w="450" w:type="pct"/>
            <w:vAlign w:val="center"/>
          </w:tcPr>
          <w:p>
            <w:pPr>
              <w:snapToGrid w:val="0"/>
              <w:jc w:val="center"/>
              <w:rPr>
                <w:rFonts w:ascii="Times New Roman" w:hAnsi="Times New Roman"/>
              </w:rPr>
            </w:pPr>
            <w:r>
              <w:rPr>
                <w:rFonts w:ascii="Times New Roman" w:hAnsi="Times New Roman"/>
              </w:rPr>
              <w:t>厂界</w:t>
            </w:r>
          </w:p>
        </w:tc>
        <w:tc>
          <w:tcPr>
            <w:tcW w:w="205" w:type="pct"/>
            <w:vMerge w:val="continue"/>
            <w:vAlign w:val="center"/>
          </w:tcPr>
          <w:p>
            <w:pPr>
              <w:snapToGrid w:val="0"/>
              <w:jc w:val="center"/>
              <w:rPr>
                <w:rFonts w:ascii="Times New Roman" w:hAnsi="Times New Roman"/>
              </w:rPr>
            </w:pPr>
          </w:p>
        </w:tc>
        <w:tc>
          <w:tcPr>
            <w:tcW w:w="235" w:type="pct"/>
            <w:vAlign w:val="center"/>
          </w:tcPr>
          <w:p>
            <w:pPr>
              <w:snapToGrid w:val="0"/>
              <w:jc w:val="center"/>
              <w:rPr>
                <w:rFonts w:ascii="Times New Roman" w:hAnsi="Times New Roman"/>
              </w:rPr>
            </w:pPr>
            <w:r>
              <w:rPr>
                <w:rFonts w:ascii="Times New Roman" w:hAnsi="Times New Roman"/>
              </w:rPr>
              <w:t>/</w:t>
            </w:r>
          </w:p>
        </w:tc>
        <w:tc>
          <w:tcPr>
            <w:tcW w:w="589" w:type="pct"/>
            <w:vAlign w:val="center"/>
          </w:tcPr>
          <w:p>
            <w:pPr>
              <w:snapToGrid w:val="0"/>
              <w:jc w:val="center"/>
              <w:rPr>
                <w:rFonts w:ascii="Times New Roman" w:hAnsi="Times New Roman"/>
              </w:rPr>
            </w:pPr>
            <w:r>
              <w:rPr>
                <w:rFonts w:ascii="Times New Roman" w:hAnsi="Times New Roman"/>
              </w:rPr>
              <w:t>/</w:t>
            </w:r>
          </w:p>
        </w:tc>
        <w:tc>
          <w:tcPr>
            <w:tcW w:w="589" w:type="pct"/>
            <w:vAlign w:val="center"/>
          </w:tcPr>
          <w:p>
            <w:pPr>
              <w:snapToGrid w:val="0"/>
              <w:jc w:val="center"/>
              <w:rPr>
                <w:rFonts w:ascii="Times New Roman" w:hAnsi="Times New Roman"/>
              </w:rPr>
            </w:pPr>
            <w:r>
              <w:rPr>
                <w:rFonts w:ascii="Times New Roman" w:hAnsi="Times New Roman"/>
              </w:rPr>
              <w:t>/</w:t>
            </w:r>
          </w:p>
        </w:tc>
        <w:tc>
          <w:tcPr>
            <w:tcW w:w="153" w:type="pct"/>
            <w:vAlign w:val="center"/>
          </w:tcPr>
          <w:p>
            <w:pPr>
              <w:snapToGrid w:val="0"/>
              <w:jc w:val="center"/>
              <w:rPr>
                <w:rFonts w:ascii="Times New Roman" w:hAnsi="Times New Roman"/>
              </w:rPr>
            </w:pPr>
            <w:r>
              <w:rPr>
                <w:rFonts w:ascii="Times New Roman" w:hAnsi="Times New Roman"/>
              </w:rPr>
              <w:t>/</w:t>
            </w:r>
          </w:p>
        </w:tc>
        <w:tc>
          <w:tcPr>
            <w:tcW w:w="210" w:type="pct"/>
            <w:vAlign w:val="center"/>
          </w:tcPr>
          <w:p>
            <w:pPr>
              <w:snapToGrid w:val="0"/>
              <w:jc w:val="center"/>
              <w:rPr>
                <w:rFonts w:ascii="Times New Roman" w:hAnsi="Times New Roman"/>
              </w:rPr>
            </w:pPr>
            <w:r>
              <w:rPr>
                <w:rFonts w:ascii="Times New Roman" w:hAnsi="Times New Roman"/>
              </w:rPr>
              <w:t>/</w:t>
            </w:r>
          </w:p>
        </w:tc>
        <w:tc>
          <w:tcPr>
            <w:tcW w:w="229" w:type="pct"/>
            <w:vAlign w:val="center"/>
          </w:tcPr>
          <w:p>
            <w:pPr>
              <w:snapToGrid w:val="0"/>
              <w:jc w:val="center"/>
              <w:rPr>
                <w:rFonts w:ascii="Times New Roman" w:hAnsi="Times New Roman"/>
              </w:rPr>
            </w:pPr>
            <w:r>
              <w:rPr>
                <w:rFonts w:ascii="Times New Roman" w:hAnsi="Times New Roman"/>
              </w:rPr>
              <w:t>/</w:t>
            </w:r>
          </w:p>
        </w:tc>
        <w:tc>
          <w:tcPr>
            <w:tcW w:w="828" w:type="pct"/>
            <w:vAlign w:val="center"/>
          </w:tcPr>
          <w:p>
            <w:pPr>
              <w:snapToGrid w:val="0"/>
              <w:jc w:val="center"/>
              <w:rPr>
                <w:rFonts w:ascii="Times New Roman" w:hAnsi="Times New Roman"/>
              </w:rPr>
            </w:pPr>
            <w:r>
              <w:rPr>
                <w:rFonts w:ascii="Times New Roman" w:hAnsi="Times New Roman"/>
              </w:rPr>
              <w:t>《大气污染物综合排放标准》（GB16297-1996）表2无组织排放限值标准</w:t>
            </w:r>
          </w:p>
        </w:tc>
        <w:tc>
          <w:tcPr>
            <w:tcW w:w="438" w:type="pct"/>
            <w:vAlign w:val="center"/>
          </w:tcPr>
          <w:p>
            <w:pPr>
              <w:snapToGrid w:val="0"/>
              <w:jc w:val="center"/>
              <w:rPr>
                <w:rFonts w:ascii="Times New Roman" w:hAnsi="Times New Roman"/>
              </w:rPr>
            </w:pPr>
            <w:r>
              <w:rPr>
                <w:rFonts w:ascii="Times New Roman" w:hAnsi="Times New Roman"/>
              </w:rPr>
              <w:t>4.0mg/m</w:t>
            </w:r>
            <w:r>
              <w:rPr>
                <w:rFonts w:ascii="Times New Roman" w:hAnsi="Times New Roman"/>
                <w:vertAlign w:val="superscript"/>
              </w:rPr>
              <w:t>3</w:t>
            </w:r>
          </w:p>
        </w:tc>
        <w:tc>
          <w:tcPr>
            <w:tcW w:w="300" w:type="pct"/>
            <w:vAlign w:val="center"/>
          </w:tcPr>
          <w:p>
            <w:pPr>
              <w:snapToGrid w:val="0"/>
              <w:jc w:val="center"/>
              <w:rPr>
                <w:rFonts w:ascii="Times New Roman" w:hAnsi="Times New Roman"/>
              </w:rPr>
            </w:pPr>
            <w:r>
              <w:rPr>
                <w:rFonts w:ascii="Times New Roman" w:hAnsi="Times New Roman"/>
              </w:rPr>
              <w:t>厂界四周</w:t>
            </w:r>
          </w:p>
        </w:tc>
        <w:tc>
          <w:tcPr>
            <w:tcW w:w="362" w:type="pct"/>
            <w:vMerge w:val="restart"/>
            <w:vAlign w:val="center"/>
          </w:tcPr>
          <w:p>
            <w:pPr>
              <w:snapToGrid w:val="0"/>
              <w:jc w:val="center"/>
              <w:rPr>
                <w:rFonts w:ascii="Times New Roman" w:hAnsi="Times New Roman"/>
              </w:rPr>
            </w:pPr>
            <w:r>
              <w:rPr>
                <w:rFonts w:ascii="Times New Roman" w:hAnsi="Times New Roman"/>
              </w:rPr>
              <w:t>非甲烷总烃浓度、气象数据等</w:t>
            </w:r>
          </w:p>
        </w:tc>
        <w:tc>
          <w:tcPr>
            <w:tcW w:w="259" w:type="pct"/>
            <w:vMerge w:val="continue"/>
            <w:vAlign w:val="center"/>
          </w:tcPr>
          <w:p>
            <w:pPr>
              <w:snapToGrid w:val="0"/>
              <w:jc w:val="center"/>
              <w:rPr>
                <w:rFonts w:ascii="Times New Roman" w:hAnsi="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3" w:type="pct"/>
            <w:vAlign w:val="center"/>
          </w:tcPr>
          <w:p>
            <w:pPr>
              <w:snapToGrid w:val="0"/>
              <w:jc w:val="center"/>
              <w:rPr>
                <w:rFonts w:ascii="Times New Roman" w:hAnsi="Times New Roman"/>
              </w:rPr>
            </w:pPr>
            <w:r>
              <w:rPr>
                <w:rFonts w:ascii="Times New Roman" w:hAnsi="Times New Roman"/>
              </w:rPr>
              <w:t>4</w:t>
            </w:r>
          </w:p>
        </w:tc>
        <w:tc>
          <w:tcPr>
            <w:tcW w:w="450" w:type="pct"/>
            <w:vAlign w:val="center"/>
          </w:tcPr>
          <w:p>
            <w:pPr>
              <w:snapToGrid w:val="0"/>
              <w:jc w:val="center"/>
              <w:rPr>
                <w:rFonts w:ascii="Times New Roman" w:hAnsi="Times New Roman"/>
              </w:rPr>
            </w:pPr>
            <w:r>
              <w:rPr>
                <w:rFonts w:ascii="Times New Roman" w:hAnsi="Times New Roman"/>
              </w:rPr>
              <w:t>厂房外</w:t>
            </w:r>
          </w:p>
        </w:tc>
        <w:tc>
          <w:tcPr>
            <w:tcW w:w="205" w:type="pct"/>
            <w:vMerge w:val="continue"/>
            <w:vAlign w:val="center"/>
          </w:tcPr>
          <w:p>
            <w:pPr>
              <w:snapToGrid w:val="0"/>
              <w:jc w:val="center"/>
              <w:rPr>
                <w:rFonts w:ascii="Times New Roman" w:hAnsi="Times New Roman"/>
              </w:rPr>
            </w:pPr>
          </w:p>
        </w:tc>
        <w:tc>
          <w:tcPr>
            <w:tcW w:w="235" w:type="pct"/>
            <w:vAlign w:val="center"/>
          </w:tcPr>
          <w:p>
            <w:pPr>
              <w:snapToGrid w:val="0"/>
              <w:jc w:val="center"/>
              <w:rPr>
                <w:rFonts w:ascii="Times New Roman" w:hAnsi="Times New Roman"/>
              </w:rPr>
            </w:pPr>
            <w:r>
              <w:rPr>
                <w:rFonts w:ascii="Times New Roman" w:hAnsi="Times New Roman"/>
              </w:rPr>
              <w:t>/</w:t>
            </w:r>
          </w:p>
        </w:tc>
        <w:tc>
          <w:tcPr>
            <w:tcW w:w="589" w:type="pct"/>
            <w:vAlign w:val="center"/>
          </w:tcPr>
          <w:p>
            <w:pPr>
              <w:snapToGrid w:val="0"/>
              <w:jc w:val="center"/>
              <w:rPr>
                <w:rFonts w:ascii="Times New Roman" w:hAnsi="Times New Roman"/>
              </w:rPr>
            </w:pPr>
            <w:r>
              <w:rPr>
                <w:rFonts w:ascii="Times New Roman" w:hAnsi="Times New Roman"/>
              </w:rPr>
              <w:t>/</w:t>
            </w:r>
          </w:p>
        </w:tc>
        <w:tc>
          <w:tcPr>
            <w:tcW w:w="589" w:type="pct"/>
            <w:vAlign w:val="center"/>
          </w:tcPr>
          <w:p>
            <w:pPr>
              <w:snapToGrid w:val="0"/>
              <w:jc w:val="center"/>
              <w:rPr>
                <w:rFonts w:ascii="Times New Roman" w:hAnsi="Times New Roman"/>
              </w:rPr>
            </w:pPr>
            <w:r>
              <w:rPr>
                <w:rFonts w:ascii="Times New Roman" w:hAnsi="Times New Roman"/>
              </w:rPr>
              <w:t>/</w:t>
            </w:r>
          </w:p>
        </w:tc>
        <w:tc>
          <w:tcPr>
            <w:tcW w:w="153" w:type="pct"/>
            <w:vAlign w:val="center"/>
          </w:tcPr>
          <w:p>
            <w:pPr>
              <w:snapToGrid w:val="0"/>
              <w:jc w:val="center"/>
              <w:rPr>
                <w:rFonts w:ascii="Times New Roman" w:hAnsi="Times New Roman"/>
              </w:rPr>
            </w:pPr>
            <w:r>
              <w:rPr>
                <w:rFonts w:ascii="Times New Roman" w:hAnsi="Times New Roman"/>
              </w:rPr>
              <w:t>/</w:t>
            </w:r>
          </w:p>
        </w:tc>
        <w:tc>
          <w:tcPr>
            <w:tcW w:w="210" w:type="pct"/>
            <w:vAlign w:val="center"/>
          </w:tcPr>
          <w:p>
            <w:pPr>
              <w:snapToGrid w:val="0"/>
              <w:jc w:val="center"/>
              <w:rPr>
                <w:rFonts w:ascii="Times New Roman" w:hAnsi="Times New Roman"/>
              </w:rPr>
            </w:pPr>
            <w:r>
              <w:rPr>
                <w:rFonts w:ascii="Times New Roman" w:hAnsi="Times New Roman"/>
              </w:rPr>
              <w:t>/</w:t>
            </w:r>
          </w:p>
        </w:tc>
        <w:tc>
          <w:tcPr>
            <w:tcW w:w="229" w:type="pct"/>
            <w:vAlign w:val="center"/>
          </w:tcPr>
          <w:p>
            <w:pPr>
              <w:snapToGrid w:val="0"/>
              <w:jc w:val="center"/>
              <w:rPr>
                <w:rFonts w:ascii="Times New Roman" w:hAnsi="Times New Roman"/>
              </w:rPr>
            </w:pPr>
            <w:r>
              <w:rPr>
                <w:rFonts w:ascii="Times New Roman" w:hAnsi="Times New Roman"/>
              </w:rPr>
              <w:t>/</w:t>
            </w:r>
          </w:p>
        </w:tc>
        <w:tc>
          <w:tcPr>
            <w:tcW w:w="828" w:type="pct"/>
            <w:vAlign w:val="center"/>
          </w:tcPr>
          <w:p>
            <w:pPr>
              <w:snapToGrid w:val="0"/>
              <w:jc w:val="center"/>
              <w:rPr>
                <w:rFonts w:ascii="Times New Roman" w:hAnsi="Times New Roman"/>
              </w:rPr>
            </w:pPr>
            <w:r>
              <w:rPr>
                <w:rFonts w:ascii="Times New Roman" w:hAnsi="Times New Roman"/>
              </w:rPr>
              <w:t>《挥发性有机物无组织排放控制标准》（GB37822-2019）中特别排放限值要求</w:t>
            </w:r>
          </w:p>
        </w:tc>
        <w:tc>
          <w:tcPr>
            <w:tcW w:w="438" w:type="pct"/>
            <w:vAlign w:val="center"/>
          </w:tcPr>
          <w:p>
            <w:pPr>
              <w:snapToGrid w:val="0"/>
              <w:jc w:val="center"/>
              <w:rPr>
                <w:rFonts w:ascii="Times New Roman" w:hAnsi="Times New Roman"/>
              </w:rPr>
            </w:pPr>
            <w:r>
              <w:rPr>
                <w:rFonts w:ascii="Times New Roman" w:hAnsi="Times New Roman"/>
              </w:rPr>
              <w:t>6mg/m</w:t>
            </w:r>
            <w:r>
              <w:rPr>
                <w:rFonts w:ascii="Times New Roman" w:hAnsi="Times New Roman"/>
                <w:vertAlign w:val="superscript"/>
              </w:rPr>
              <w:t>3</w:t>
            </w:r>
          </w:p>
          <w:p>
            <w:pPr>
              <w:pStyle w:val="15"/>
              <w:jc w:val="center"/>
              <w:rPr>
                <w:rFonts w:ascii="Times New Roman" w:hAnsi="Times New Roman" w:cs="Times New Roman"/>
                <w:sz w:val="21"/>
                <w:szCs w:val="21"/>
              </w:rPr>
            </w:pPr>
            <w:r>
              <w:rPr>
                <w:rFonts w:ascii="Times New Roman" w:hAnsi="Times New Roman" w:cs="Times New Roman"/>
                <w:sz w:val="21"/>
                <w:szCs w:val="21"/>
              </w:rPr>
              <w:t>20mg/m</w:t>
            </w:r>
            <w:r>
              <w:rPr>
                <w:rFonts w:ascii="Times New Roman" w:hAnsi="Times New Roman" w:cs="Times New Roman"/>
                <w:sz w:val="21"/>
                <w:szCs w:val="21"/>
                <w:vertAlign w:val="superscript"/>
              </w:rPr>
              <w:t>3</w:t>
            </w:r>
          </w:p>
        </w:tc>
        <w:tc>
          <w:tcPr>
            <w:tcW w:w="300" w:type="pct"/>
            <w:vAlign w:val="center"/>
          </w:tcPr>
          <w:p>
            <w:pPr>
              <w:snapToGrid w:val="0"/>
              <w:jc w:val="center"/>
              <w:rPr>
                <w:rFonts w:ascii="Times New Roman" w:hAnsi="Times New Roman"/>
              </w:rPr>
            </w:pPr>
            <w:r>
              <w:rPr>
                <w:rFonts w:ascii="Times New Roman" w:hAnsi="Times New Roman"/>
              </w:rPr>
              <w:t>厂房外</w:t>
            </w:r>
          </w:p>
        </w:tc>
        <w:tc>
          <w:tcPr>
            <w:tcW w:w="362" w:type="pct"/>
            <w:vMerge w:val="continue"/>
            <w:vAlign w:val="center"/>
          </w:tcPr>
          <w:p>
            <w:pPr>
              <w:snapToGrid w:val="0"/>
              <w:jc w:val="center"/>
              <w:rPr>
                <w:rFonts w:ascii="Times New Roman" w:hAnsi="Times New Roman"/>
              </w:rPr>
            </w:pPr>
          </w:p>
        </w:tc>
        <w:tc>
          <w:tcPr>
            <w:tcW w:w="259" w:type="pct"/>
            <w:vMerge w:val="continue"/>
            <w:vAlign w:val="center"/>
          </w:tcPr>
          <w:p>
            <w:pPr>
              <w:snapToGrid w:val="0"/>
              <w:jc w:val="center"/>
              <w:rPr>
                <w:rFonts w:ascii="Times New Roman" w:hAnsi="Times New Roman"/>
              </w:rPr>
            </w:pPr>
          </w:p>
        </w:tc>
      </w:tr>
    </w:tbl>
    <w:p>
      <w:pPr>
        <w:pStyle w:val="2"/>
        <w:spacing w:line="440" w:lineRule="exact"/>
        <w:ind w:left="0" w:leftChars="0" w:firstLine="0" w:firstLineChars="0"/>
        <w:rPr>
          <w:rFonts w:ascii="Times New Roman" w:hAnsi="Times New Roman"/>
        </w:rPr>
      </w:pPr>
    </w:p>
    <w:p>
      <w:pPr>
        <w:spacing w:line="440" w:lineRule="exact"/>
        <w:rPr>
          <w:rFonts w:ascii="Times New Roman" w:hAnsi="Times New Roman"/>
        </w:rPr>
        <w:sectPr>
          <w:pgSz w:w="16840" w:h="11910" w:orient="landscape"/>
          <w:pgMar w:top="1797" w:right="1440" w:bottom="1797" w:left="1440" w:header="0" w:footer="963" w:gutter="0"/>
          <w:cols w:space="720" w:num="1"/>
        </w:sectPr>
      </w:pPr>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88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36" w:type="dxa"/>
            <w:vAlign w:val="center"/>
          </w:tcPr>
          <w:p>
            <w:pPr>
              <w:spacing w:line="440" w:lineRule="exact"/>
              <w:jc w:val="center"/>
              <w:rPr>
                <w:rFonts w:ascii="Times New Roman" w:hAnsi="Times New Roman"/>
                <w:sz w:val="24"/>
                <w:szCs w:val="24"/>
                <w:lang w:val="en-US"/>
              </w:rPr>
            </w:pPr>
            <w:r>
              <w:rPr>
                <w:rFonts w:ascii="Times New Roman" w:hAnsi="Times New Roman"/>
                <w:sz w:val="24"/>
                <w:szCs w:val="24"/>
                <w:lang w:val="en-US"/>
              </w:rPr>
              <w:t>运营期环境影响和保护措施</w:t>
            </w:r>
          </w:p>
          <w:p>
            <w:pPr>
              <w:spacing w:line="440" w:lineRule="exact"/>
              <w:rPr>
                <w:rFonts w:ascii="Times New Roman" w:hAnsi="Times New Roman"/>
                <w:b/>
                <w:bCs/>
                <w:sz w:val="24"/>
                <w:szCs w:val="24"/>
                <w:lang w:val="en-US"/>
              </w:rPr>
            </w:pPr>
          </w:p>
        </w:tc>
        <w:tc>
          <w:tcPr>
            <w:tcW w:w="8803" w:type="dxa"/>
            <w:vAlign w:val="center"/>
          </w:tcPr>
          <w:p>
            <w:pPr>
              <w:adjustRightInd w:val="0"/>
              <w:spacing w:line="440" w:lineRule="exact"/>
              <w:ind w:firstLine="482" w:firstLineChars="200"/>
              <w:rPr>
                <w:rFonts w:ascii="Times New Roman" w:hAnsi="Times New Roman"/>
                <w:b/>
                <w:sz w:val="24"/>
                <w:szCs w:val="28"/>
              </w:rPr>
            </w:pPr>
            <w:r>
              <w:rPr>
                <w:rFonts w:ascii="Times New Roman" w:hAnsi="Times New Roman"/>
                <w:b/>
                <w:sz w:val="24"/>
                <w:szCs w:val="28"/>
              </w:rPr>
              <w:t>2、非正常工况废气排放情况</w:t>
            </w:r>
          </w:p>
          <w:p>
            <w:pPr>
              <w:spacing w:line="440" w:lineRule="exact"/>
              <w:ind w:firstLine="480" w:firstLineChars="200"/>
              <w:rPr>
                <w:rFonts w:ascii="Times New Roman" w:hAnsi="Times New Roman"/>
                <w:sz w:val="24"/>
              </w:rPr>
            </w:pPr>
            <w:r>
              <w:rPr>
                <w:rFonts w:ascii="Times New Roman" w:hAnsi="Times New Roman"/>
                <w:sz w:val="24"/>
              </w:rPr>
              <w:t>本项目将废气处理设施出现故障，污染物直接排放定为非正常工况下的废气排放源强。项目非正常工况废气的排放情况见下表。</w:t>
            </w:r>
          </w:p>
          <w:p>
            <w:pPr>
              <w:pStyle w:val="119"/>
              <w:spacing w:line="440" w:lineRule="exact"/>
              <w:rPr>
                <w:rFonts w:cs="Times New Roman"/>
              </w:rPr>
            </w:pPr>
            <w:r>
              <w:rPr>
                <w:rFonts w:cs="Times New Roman"/>
                <w:bCs/>
                <w:spacing w:val="4"/>
                <w:kern w:val="2"/>
                <w:lang w:val="zh-CN" w:bidi="zh-CN"/>
              </w:rPr>
              <w:t>表4-3</w:t>
            </w:r>
            <w:r>
              <w:rPr>
                <w:rFonts w:cs="Times New Roman"/>
              </w:rPr>
              <w:t>非正常排放情况及概率分析</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772"/>
              <w:gridCol w:w="1411"/>
              <w:gridCol w:w="672"/>
              <w:gridCol w:w="1064"/>
              <w:gridCol w:w="672"/>
              <w:gridCol w:w="882"/>
              <w:gridCol w:w="2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064" w:type="dxa"/>
                  <w:vAlign w:val="center"/>
                </w:tcPr>
                <w:p>
                  <w:pPr>
                    <w:snapToGrid w:val="0"/>
                    <w:jc w:val="center"/>
                    <w:rPr>
                      <w:rFonts w:ascii="Times New Roman" w:hAnsi="Times New Roman"/>
                      <w:b/>
                      <w:bCs/>
                    </w:rPr>
                  </w:pPr>
                  <w:r>
                    <w:rPr>
                      <w:rFonts w:ascii="Times New Roman" w:hAnsi="Times New Roman"/>
                      <w:b/>
                      <w:bCs/>
                    </w:rPr>
                    <w:t>产排污环节</w:t>
                  </w:r>
                </w:p>
              </w:tc>
              <w:tc>
                <w:tcPr>
                  <w:tcW w:w="818" w:type="dxa"/>
                  <w:vAlign w:val="center"/>
                </w:tcPr>
                <w:p>
                  <w:pPr>
                    <w:snapToGrid w:val="0"/>
                    <w:jc w:val="center"/>
                    <w:rPr>
                      <w:rFonts w:ascii="Times New Roman" w:hAnsi="Times New Roman"/>
                      <w:b/>
                      <w:bCs/>
                    </w:rPr>
                  </w:pPr>
                  <w:r>
                    <w:rPr>
                      <w:rFonts w:ascii="Times New Roman" w:hAnsi="Times New Roman"/>
                      <w:b/>
                      <w:bCs/>
                    </w:rPr>
                    <w:t>污染物种类</w:t>
                  </w:r>
                </w:p>
              </w:tc>
              <w:tc>
                <w:tcPr>
                  <w:tcW w:w="1511" w:type="dxa"/>
                  <w:vAlign w:val="center"/>
                </w:tcPr>
                <w:p>
                  <w:pPr>
                    <w:snapToGrid w:val="0"/>
                    <w:jc w:val="center"/>
                    <w:rPr>
                      <w:rFonts w:ascii="Times New Roman" w:hAnsi="Times New Roman"/>
                      <w:b/>
                      <w:bCs/>
                    </w:rPr>
                  </w:pPr>
                  <w:r>
                    <w:rPr>
                      <w:rFonts w:ascii="Times New Roman" w:hAnsi="Times New Roman"/>
                      <w:b/>
                      <w:bCs/>
                    </w:rPr>
                    <w:t>非正常工况</w:t>
                  </w:r>
                </w:p>
              </w:tc>
              <w:tc>
                <w:tcPr>
                  <w:tcW w:w="709" w:type="dxa"/>
                  <w:vAlign w:val="center"/>
                </w:tcPr>
                <w:p>
                  <w:pPr>
                    <w:snapToGrid w:val="0"/>
                    <w:jc w:val="center"/>
                    <w:rPr>
                      <w:rFonts w:ascii="Times New Roman" w:hAnsi="Times New Roman"/>
                      <w:b/>
                      <w:bCs/>
                    </w:rPr>
                  </w:pPr>
                  <w:r>
                    <w:rPr>
                      <w:rFonts w:ascii="Times New Roman" w:hAnsi="Times New Roman"/>
                      <w:b/>
                      <w:bCs/>
                    </w:rPr>
                    <w:t>频次</w:t>
                  </w:r>
                </w:p>
              </w:tc>
              <w:tc>
                <w:tcPr>
                  <w:tcW w:w="1134" w:type="dxa"/>
                  <w:vAlign w:val="center"/>
                </w:tcPr>
                <w:p>
                  <w:pPr>
                    <w:snapToGrid w:val="0"/>
                    <w:jc w:val="center"/>
                    <w:rPr>
                      <w:rFonts w:ascii="Times New Roman" w:hAnsi="Times New Roman"/>
                      <w:b/>
                      <w:bCs/>
                    </w:rPr>
                  </w:pPr>
                  <w:r>
                    <w:rPr>
                      <w:rFonts w:ascii="Times New Roman" w:hAnsi="Times New Roman"/>
                      <w:b/>
                      <w:bCs/>
                    </w:rPr>
                    <w:t>排放浓度mg/m</w:t>
                  </w:r>
                  <w:r>
                    <w:rPr>
                      <w:rFonts w:ascii="Times New Roman" w:hAnsi="Times New Roman"/>
                      <w:b/>
                      <w:bCs/>
                      <w:vertAlign w:val="superscript"/>
                    </w:rPr>
                    <w:t>3</w:t>
                  </w:r>
                </w:p>
              </w:tc>
              <w:tc>
                <w:tcPr>
                  <w:tcW w:w="709" w:type="dxa"/>
                  <w:vAlign w:val="center"/>
                </w:tcPr>
                <w:p>
                  <w:pPr>
                    <w:snapToGrid w:val="0"/>
                    <w:jc w:val="center"/>
                    <w:rPr>
                      <w:rFonts w:ascii="Times New Roman" w:hAnsi="Times New Roman"/>
                      <w:b/>
                      <w:bCs/>
                    </w:rPr>
                  </w:pPr>
                  <w:r>
                    <w:rPr>
                      <w:rFonts w:ascii="Times New Roman" w:hAnsi="Times New Roman"/>
                      <w:b/>
                      <w:bCs/>
                    </w:rPr>
                    <w:t>持续时间</w:t>
                  </w:r>
                </w:p>
              </w:tc>
              <w:tc>
                <w:tcPr>
                  <w:tcW w:w="937" w:type="dxa"/>
                  <w:vAlign w:val="center"/>
                </w:tcPr>
                <w:p>
                  <w:pPr>
                    <w:snapToGrid w:val="0"/>
                    <w:jc w:val="center"/>
                    <w:rPr>
                      <w:rFonts w:ascii="Times New Roman" w:hAnsi="Times New Roman"/>
                      <w:b/>
                      <w:bCs/>
                    </w:rPr>
                  </w:pPr>
                  <w:r>
                    <w:rPr>
                      <w:rFonts w:ascii="Times New Roman" w:hAnsi="Times New Roman"/>
                      <w:b/>
                      <w:bCs/>
                    </w:rPr>
                    <w:t>排放量</w:t>
                  </w:r>
                </w:p>
                <w:p>
                  <w:pPr>
                    <w:snapToGrid w:val="0"/>
                    <w:jc w:val="center"/>
                    <w:rPr>
                      <w:rFonts w:ascii="Times New Roman" w:hAnsi="Times New Roman"/>
                      <w:b/>
                      <w:bCs/>
                    </w:rPr>
                  </w:pPr>
                  <w:r>
                    <w:rPr>
                      <w:rFonts w:ascii="Times New Roman" w:hAnsi="Times New Roman"/>
                      <w:b/>
                      <w:bCs/>
                    </w:rPr>
                    <w:t>（kg/a）</w:t>
                  </w:r>
                </w:p>
              </w:tc>
              <w:tc>
                <w:tcPr>
                  <w:tcW w:w="2274" w:type="dxa"/>
                  <w:vAlign w:val="center"/>
                </w:tcPr>
                <w:p>
                  <w:pPr>
                    <w:snapToGrid w:val="0"/>
                    <w:jc w:val="center"/>
                    <w:rPr>
                      <w:rFonts w:ascii="Times New Roman" w:hAnsi="Times New Roman"/>
                      <w:b/>
                      <w:bCs/>
                    </w:rPr>
                  </w:pPr>
                  <w:r>
                    <w:rPr>
                      <w:rFonts w:ascii="Times New Roman" w:hAnsi="Times New Roman"/>
                      <w:b/>
                      <w:bCs/>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064" w:type="dxa"/>
                  <w:vAlign w:val="center"/>
                </w:tcPr>
                <w:p>
                  <w:pPr>
                    <w:snapToGrid w:val="0"/>
                    <w:jc w:val="both"/>
                    <w:rPr>
                      <w:rFonts w:ascii="Times New Roman" w:hAnsi="Times New Roman"/>
                    </w:rPr>
                  </w:pPr>
                  <w:r>
                    <w:rPr>
                      <w:rFonts w:ascii="Times New Roman" w:hAnsi="Times New Roman"/>
                    </w:rPr>
                    <w:t>喷涂保护液工序</w:t>
                  </w:r>
                </w:p>
              </w:tc>
              <w:tc>
                <w:tcPr>
                  <w:tcW w:w="818" w:type="dxa"/>
                  <w:vAlign w:val="center"/>
                </w:tcPr>
                <w:p>
                  <w:pPr>
                    <w:snapToGrid w:val="0"/>
                    <w:jc w:val="center"/>
                    <w:rPr>
                      <w:rFonts w:ascii="Times New Roman" w:hAnsi="Times New Roman"/>
                    </w:rPr>
                  </w:pPr>
                  <w:r>
                    <w:rPr>
                      <w:rFonts w:ascii="Times New Roman" w:hAnsi="Times New Roman"/>
                    </w:rPr>
                    <w:t>非甲烷总烃</w:t>
                  </w:r>
                </w:p>
              </w:tc>
              <w:tc>
                <w:tcPr>
                  <w:tcW w:w="1511" w:type="dxa"/>
                  <w:vAlign w:val="center"/>
                </w:tcPr>
                <w:p>
                  <w:pPr>
                    <w:snapToGrid w:val="0"/>
                    <w:jc w:val="center"/>
                    <w:rPr>
                      <w:rFonts w:ascii="Times New Roman" w:hAnsi="Times New Roman"/>
                    </w:rPr>
                  </w:pPr>
                  <w:r>
                    <w:rPr>
                      <w:rFonts w:ascii="Times New Roman" w:hAnsi="Times New Roman"/>
                    </w:rPr>
                    <w:t>废气处理装置出现故障，导致废气未经处理直接排放</w:t>
                  </w:r>
                </w:p>
              </w:tc>
              <w:tc>
                <w:tcPr>
                  <w:tcW w:w="709" w:type="dxa"/>
                  <w:vAlign w:val="center"/>
                </w:tcPr>
                <w:p>
                  <w:pPr>
                    <w:snapToGrid w:val="0"/>
                    <w:jc w:val="center"/>
                    <w:rPr>
                      <w:rFonts w:ascii="Times New Roman" w:hAnsi="Times New Roman"/>
                    </w:rPr>
                  </w:pPr>
                  <w:r>
                    <w:rPr>
                      <w:rFonts w:ascii="Times New Roman" w:hAnsi="Times New Roman"/>
                    </w:rPr>
                    <w:t>1次/a</w:t>
                  </w:r>
                </w:p>
              </w:tc>
              <w:tc>
                <w:tcPr>
                  <w:tcW w:w="1134" w:type="dxa"/>
                  <w:vAlign w:val="center"/>
                </w:tcPr>
                <w:p>
                  <w:pPr>
                    <w:jc w:val="center"/>
                    <w:rPr>
                      <w:rFonts w:ascii="Times New Roman" w:hAnsi="Times New Roman"/>
                    </w:rPr>
                  </w:pPr>
                  <w:r>
                    <w:rPr>
                      <w:rFonts w:ascii="Times New Roman" w:hAnsi="Times New Roman"/>
                    </w:rPr>
                    <w:t>38</w:t>
                  </w:r>
                </w:p>
              </w:tc>
              <w:tc>
                <w:tcPr>
                  <w:tcW w:w="709" w:type="dxa"/>
                  <w:vAlign w:val="center"/>
                </w:tcPr>
                <w:p>
                  <w:pPr>
                    <w:snapToGrid w:val="0"/>
                    <w:jc w:val="center"/>
                    <w:rPr>
                      <w:rFonts w:ascii="Times New Roman" w:hAnsi="Times New Roman"/>
                    </w:rPr>
                  </w:pPr>
                  <w:r>
                    <w:rPr>
                      <w:rFonts w:ascii="Times New Roman" w:hAnsi="Times New Roman"/>
                    </w:rPr>
                    <w:t>1h/次</w:t>
                  </w:r>
                </w:p>
              </w:tc>
              <w:tc>
                <w:tcPr>
                  <w:tcW w:w="937" w:type="dxa"/>
                  <w:vAlign w:val="center"/>
                </w:tcPr>
                <w:p>
                  <w:pPr>
                    <w:jc w:val="center"/>
                    <w:rPr>
                      <w:rFonts w:ascii="Times New Roman" w:hAnsi="Times New Roman"/>
                    </w:rPr>
                  </w:pPr>
                  <w:r>
                    <w:rPr>
                      <w:rFonts w:ascii="Times New Roman" w:hAnsi="Times New Roman"/>
                    </w:rPr>
                    <w:t>0.38</w:t>
                  </w:r>
                </w:p>
              </w:tc>
              <w:tc>
                <w:tcPr>
                  <w:tcW w:w="2274" w:type="dxa"/>
                  <w:vMerge w:val="restart"/>
                  <w:vAlign w:val="center"/>
                </w:tcPr>
                <w:p>
                  <w:pPr>
                    <w:snapToGrid w:val="0"/>
                    <w:jc w:val="center"/>
                    <w:rPr>
                      <w:rFonts w:ascii="Times New Roman" w:hAnsi="Times New Roman"/>
                    </w:rPr>
                  </w:pPr>
                  <w:r>
                    <w:rPr>
                      <w:rFonts w:ascii="Times New Roman" w:hAnsi="Times New Roman"/>
                    </w:rPr>
                    <w:t>制定环保设备例行检查制度，加强定期维护保养，检修时应停止生产活动运行，杜绝废气未经处理直接排放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064" w:type="dxa"/>
                  <w:vAlign w:val="center"/>
                </w:tcPr>
                <w:p>
                  <w:pPr>
                    <w:snapToGrid w:val="0"/>
                    <w:jc w:val="both"/>
                    <w:rPr>
                      <w:rFonts w:ascii="Times New Roman" w:hAnsi="Times New Roman"/>
                    </w:rPr>
                  </w:pPr>
                  <w:r>
                    <w:rPr>
                      <w:rFonts w:ascii="Times New Roman" w:hAnsi="Times New Roman"/>
                    </w:rPr>
                    <w:t>丝印、喷AF膜及烘干工序</w:t>
                  </w:r>
                </w:p>
              </w:tc>
              <w:tc>
                <w:tcPr>
                  <w:tcW w:w="818" w:type="dxa"/>
                  <w:vAlign w:val="center"/>
                </w:tcPr>
                <w:p>
                  <w:pPr>
                    <w:snapToGrid w:val="0"/>
                    <w:jc w:val="center"/>
                    <w:rPr>
                      <w:rFonts w:ascii="Times New Roman" w:hAnsi="Times New Roman"/>
                    </w:rPr>
                  </w:pPr>
                  <w:r>
                    <w:rPr>
                      <w:rFonts w:ascii="Times New Roman" w:hAnsi="Times New Roman"/>
                    </w:rPr>
                    <w:t>非甲烷总烃</w:t>
                  </w:r>
                </w:p>
              </w:tc>
              <w:tc>
                <w:tcPr>
                  <w:tcW w:w="1511" w:type="dxa"/>
                  <w:vAlign w:val="center"/>
                </w:tcPr>
                <w:p>
                  <w:pPr>
                    <w:snapToGrid w:val="0"/>
                    <w:jc w:val="center"/>
                    <w:rPr>
                      <w:rFonts w:ascii="Times New Roman" w:hAnsi="Times New Roman"/>
                    </w:rPr>
                  </w:pPr>
                  <w:r>
                    <w:rPr>
                      <w:rFonts w:ascii="Times New Roman" w:hAnsi="Times New Roman"/>
                    </w:rPr>
                    <w:t>废气处理装置出现故障，导致废气未经处理直接排放</w:t>
                  </w:r>
                </w:p>
              </w:tc>
              <w:tc>
                <w:tcPr>
                  <w:tcW w:w="709" w:type="dxa"/>
                  <w:vAlign w:val="center"/>
                </w:tcPr>
                <w:p>
                  <w:pPr>
                    <w:snapToGrid w:val="0"/>
                    <w:jc w:val="center"/>
                    <w:rPr>
                      <w:rFonts w:ascii="Times New Roman" w:hAnsi="Times New Roman"/>
                    </w:rPr>
                  </w:pPr>
                  <w:r>
                    <w:rPr>
                      <w:rFonts w:ascii="Times New Roman" w:hAnsi="Times New Roman"/>
                    </w:rPr>
                    <w:t>1次/a</w:t>
                  </w:r>
                </w:p>
              </w:tc>
              <w:tc>
                <w:tcPr>
                  <w:tcW w:w="1134" w:type="dxa"/>
                  <w:vAlign w:val="center"/>
                </w:tcPr>
                <w:p>
                  <w:pPr>
                    <w:jc w:val="center"/>
                    <w:rPr>
                      <w:rFonts w:ascii="Times New Roman" w:hAnsi="Times New Roman"/>
                    </w:rPr>
                  </w:pPr>
                  <w:r>
                    <w:rPr>
                      <w:rFonts w:ascii="Times New Roman" w:hAnsi="Times New Roman"/>
                      <w:kern w:val="2"/>
                    </w:rPr>
                    <w:t>8.92</w:t>
                  </w:r>
                </w:p>
              </w:tc>
              <w:tc>
                <w:tcPr>
                  <w:tcW w:w="709" w:type="dxa"/>
                  <w:vAlign w:val="center"/>
                </w:tcPr>
                <w:p>
                  <w:pPr>
                    <w:snapToGrid w:val="0"/>
                    <w:jc w:val="center"/>
                    <w:rPr>
                      <w:rFonts w:ascii="Times New Roman" w:hAnsi="Times New Roman"/>
                    </w:rPr>
                  </w:pPr>
                  <w:r>
                    <w:rPr>
                      <w:rFonts w:ascii="Times New Roman" w:hAnsi="Times New Roman"/>
                    </w:rPr>
                    <w:t>1h/次</w:t>
                  </w:r>
                </w:p>
              </w:tc>
              <w:tc>
                <w:tcPr>
                  <w:tcW w:w="937" w:type="dxa"/>
                  <w:vAlign w:val="center"/>
                </w:tcPr>
                <w:p>
                  <w:pPr>
                    <w:jc w:val="center"/>
                    <w:rPr>
                      <w:rFonts w:ascii="Times New Roman" w:hAnsi="Times New Roman"/>
                    </w:rPr>
                  </w:pPr>
                  <w:r>
                    <w:rPr>
                      <w:rFonts w:ascii="Times New Roman" w:hAnsi="Times New Roman"/>
                    </w:rPr>
                    <w:t>0.178</w:t>
                  </w:r>
                </w:p>
              </w:tc>
              <w:tc>
                <w:tcPr>
                  <w:tcW w:w="2274" w:type="dxa"/>
                  <w:vMerge w:val="continue"/>
                  <w:vAlign w:val="center"/>
                </w:tcPr>
                <w:p>
                  <w:pPr>
                    <w:snapToGrid w:val="0"/>
                    <w:ind w:left="-105" w:leftChars="-50" w:right="-105" w:rightChars="-50"/>
                    <w:jc w:val="center"/>
                    <w:rPr>
                      <w:rFonts w:ascii="Times New Roman" w:hAnsi="Times New Roman"/>
                    </w:rPr>
                  </w:pPr>
                </w:p>
              </w:tc>
            </w:tr>
          </w:tbl>
          <w:p>
            <w:pPr>
              <w:adjustRightInd w:val="0"/>
              <w:snapToGrid w:val="0"/>
              <w:spacing w:line="360" w:lineRule="auto"/>
              <w:ind w:firstLine="480" w:firstLineChars="200"/>
              <w:jc w:val="both"/>
              <w:rPr>
                <w:rFonts w:ascii="Times New Roman" w:hAnsi="Times New Roman"/>
                <w:sz w:val="24"/>
                <w:szCs w:val="24"/>
              </w:rPr>
            </w:pPr>
            <w:r>
              <w:rPr>
                <w:rFonts w:ascii="Times New Roman" w:hAnsi="Times New Roman"/>
                <w:sz w:val="24"/>
                <w:szCs w:val="24"/>
              </w:rPr>
              <w:t>通过上表可知，非正常工况下，喷涂保护液产生非甲烷总烃排放浓度为38mg/m</w:t>
            </w:r>
            <w:r>
              <w:rPr>
                <w:rFonts w:ascii="Times New Roman" w:hAnsi="Times New Roman"/>
                <w:sz w:val="24"/>
                <w:szCs w:val="24"/>
                <w:vertAlign w:val="superscript"/>
              </w:rPr>
              <w:t>3</w:t>
            </w:r>
            <w:r>
              <w:rPr>
                <w:rFonts w:ascii="Times New Roman" w:hAnsi="Times New Roman"/>
                <w:sz w:val="24"/>
                <w:szCs w:val="24"/>
              </w:rPr>
              <w:t>，丝印、喷AF膜及烘干产生非甲烷总烃排放浓度为8.92mg/m</w:t>
            </w:r>
            <w:r>
              <w:rPr>
                <w:rFonts w:ascii="Times New Roman" w:hAnsi="Times New Roman"/>
                <w:sz w:val="24"/>
                <w:szCs w:val="24"/>
                <w:vertAlign w:val="superscript"/>
              </w:rPr>
              <w:t>3</w:t>
            </w:r>
            <w:r>
              <w:rPr>
                <w:rFonts w:ascii="Times New Roman" w:hAnsi="Times New Roman"/>
                <w:sz w:val="24"/>
                <w:szCs w:val="24"/>
              </w:rPr>
              <w:t>，《大气污染物综合排放标准》（GB16297-1996）表2二级标准浓度限值为120mg/m</w:t>
            </w:r>
            <w:r>
              <w:rPr>
                <w:rFonts w:ascii="Times New Roman" w:hAnsi="Times New Roman"/>
                <w:sz w:val="24"/>
                <w:szCs w:val="24"/>
                <w:vertAlign w:val="superscript"/>
              </w:rPr>
              <w:t>3</w:t>
            </w:r>
            <w:r>
              <w:rPr>
                <w:rFonts w:ascii="Times New Roman" w:hAnsi="Times New Roman"/>
                <w:sz w:val="24"/>
                <w:szCs w:val="24"/>
              </w:rPr>
              <w:t>，污染物质仍满足标准限值。污染物排放浓度较低，且持续时间较短，因此不对区域大气环境产生明显影响。</w:t>
            </w:r>
          </w:p>
          <w:p>
            <w:pPr>
              <w:spacing w:line="440" w:lineRule="exact"/>
              <w:ind w:firstLine="482"/>
              <w:rPr>
                <w:rFonts w:ascii="Times New Roman" w:hAnsi="Times New Roman"/>
                <w:b/>
                <w:bCs/>
                <w:sz w:val="24"/>
                <w:szCs w:val="24"/>
              </w:rPr>
            </w:pPr>
            <w:r>
              <w:rPr>
                <w:rFonts w:ascii="Times New Roman" w:hAnsi="Times New Roman"/>
                <w:b/>
                <w:bCs/>
                <w:sz w:val="24"/>
                <w:szCs w:val="24"/>
              </w:rPr>
              <w:t>3、项目废气拟采取的措施可行性分析</w:t>
            </w:r>
          </w:p>
          <w:p>
            <w:pPr>
              <w:adjustRightInd w:val="0"/>
              <w:snapToGrid w:val="0"/>
              <w:spacing w:line="440" w:lineRule="exact"/>
              <w:ind w:firstLine="480" w:firstLineChars="200"/>
              <w:rPr>
                <w:rFonts w:ascii="Times New Roman" w:hAnsi="Times New Roman"/>
                <w:sz w:val="24"/>
                <w:szCs w:val="24"/>
              </w:rPr>
            </w:pPr>
            <w:r>
              <w:rPr>
                <w:rFonts w:ascii="Times New Roman" w:hAnsi="Times New Roman"/>
                <w:sz w:val="24"/>
                <w:szCs w:val="24"/>
              </w:rPr>
              <w:t>项目工艺废气治理及排放去向示意图见图4-1。</w:t>
            </w:r>
          </w:p>
          <w:p>
            <w:pPr>
              <w:jc w:val="center"/>
              <w:rPr>
                <w:rFonts w:ascii="Times New Roman" w:hAnsi="Times New Roman"/>
              </w:rPr>
            </w:pPr>
            <w:r>
              <w:rPr>
                <w:lang w:val="en-US" w:bidi="ar-SA"/>
              </w:rPr>
              <w:drawing>
                <wp:inline distT="0" distB="0" distL="0" distR="0">
                  <wp:extent cx="5452745" cy="16783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452745" cy="1678305"/>
                          </a:xfrm>
                          <a:prstGeom prst="rect">
                            <a:avLst/>
                          </a:prstGeom>
                        </pic:spPr>
                      </pic:pic>
                    </a:graphicData>
                  </a:graphic>
                </wp:inline>
              </w:drawing>
            </w:r>
          </w:p>
          <w:p>
            <w:pPr>
              <w:adjustRightInd w:val="0"/>
              <w:snapToGrid w:val="0"/>
              <w:spacing w:line="440" w:lineRule="exact"/>
              <w:jc w:val="center"/>
              <w:rPr>
                <w:rFonts w:ascii="Times New Roman" w:hAnsi="Times New Roman"/>
                <w:b/>
                <w:bCs/>
              </w:rPr>
            </w:pPr>
            <w:r>
              <w:rPr>
                <w:rFonts w:ascii="Times New Roman" w:hAnsi="Times New Roman"/>
                <w:b/>
                <w:bCs/>
              </w:rPr>
              <w:t>图4-1  项目工艺废气治理及排放去向示意图</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（1）有机废气治理设施可行性分析</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项目喷保护液工序、丝印/喷AF膜及相应烘干工序产生非甲烷总烃废气分别采用“</w:t>
            </w:r>
            <w:r>
              <w:rPr>
                <w:rFonts w:ascii="Times New Roman" w:hAnsi="Times New Roman"/>
                <w:sz w:val="24"/>
                <w:szCs w:val="24"/>
                <w:lang w:val="en-US"/>
              </w:rPr>
              <w:t>二级</w:t>
            </w:r>
            <w:r>
              <w:rPr>
                <w:rFonts w:ascii="Times New Roman" w:hAnsi="Times New Roman"/>
                <w:sz w:val="24"/>
                <w:szCs w:val="24"/>
              </w:rPr>
              <w:t>活性炭吸附装置+30m高排气筒DA001高空排放”、“</w:t>
            </w:r>
            <w:r>
              <w:rPr>
                <w:rFonts w:hint="eastAsia" w:ascii="Times New Roman" w:hAnsi="Times New Roman"/>
                <w:sz w:val="24"/>
                <w:szCs w:val="24"/>
              </w:rPr>
              <w:t>密闭收集</w:t>
            </w:r>
            <w:r>
              <w:rPr>
                <w:rFonts w:ascii="Times New Roman" w:hAnsi="Times New Roman"/>
                <w:sz w:val="24"/>
                <w:szCs w:val="24"/>
              </w:rPr>
              <w:t>+二级活性炭纤维吸附装置+30m高排气筒DA002高空排放”处理。</w:t>
            </w:r>
          </w:p>
          <w:p>
            <w:pPr>
              <w:adjustRightInd w:val="0"/>
              <w:snapToGrid w:val="0"/>
              <w:spacing w:line="360" w:lineRule="auto"/>
              <w:ind w:firstLine="482" w:firstLineChars="200"/>
              <w:rPr>
                <w:rFonts w:ascii="Times New Roman" w:hAnsi="Times New Roman"/>
                <w:sz w:val="24"/>
                <w:szCs w:val="24"/>
              </w:rPr>
            </w:pPr>
            <w:r>
              <w:rPr>
                <w:rFonts w:ascii="Times New Roman" w:hAnsi="Times New Roman"/>
                <w:b/>
                <w:bCs/>
                <w:sz w:val="24"/>
                <w:szCs w:val="24"/>
              </w:rPr>
              <w:t>活性炭吸附工作原理：</w:t>
            </w:r>
            <w:r>
              <w:rPr>
                <w:rFonts w:ascii="Times New Roman" w:hAnsi="Times New Roman"/>
                <w:sz w:val="24"/>
                <w:szCs w:val="24"/>
              </w:rPr>
              <w:t>活性炭是一种多孔性的含炭物质，它具有高度发达的孔隙构造，活性炭的多孔结构为其提供了大量的表面积，能与气体（杂质）充分接触，从而赋予了活性炭所特有的吸附性能。活性炭表面上存在着未平衡和未饱和的分子引力或化学键力，当此活性炭表面与气体接触时，就能吸着气体分子，使其富集并保持在活性炭表面。利用活性炭表面的吸附能力，使废气与大表面的活性炭相接触，废气中的污染物被吸附在活性炭表面上，使其与气体混合物分离，达到净化目的。目前活性炭吸附装置在市场上应用较为成熟，二级活性炭纤维吸附效率可达90%。</w:t>
            </w:r>
          </w:p>
          <w:p>
            <w:pPr>
              <w:pStyle w:val="15"/>
              <w:spacing w:line="360" w:lineRule="auto"/>
              <w:ind w:firstLine="480" w:firstLineChars="200"/>
              <w:rPr>
                <w:rFonts w:ascii="Times New Roman" w:hAnsi="Times New Roman" w:cs="Times New Roman"/>
              </w:rPr>
            </w:pPr>
            <w:r>
              <w:rPr>
                <w:rFonts w:ascii="Times New Roman" w:hAnsi="Times New Roman" w:cs="Times New Roman"/>
              </w:rPr>
              <w:t>项目喷保护液工序产生的非甲烷总烃经配套二级活性炭吸附装置处理，排气筒出口非甲烷总烃可满足《大气污染物综合排放标准》（GB16297-1996）表2二级标准限值，经30m高排气筒DA001达标排放。丝印、喷AF膜及烘干工序产生的非甲烷总烃经</w:t>
            </w:r>
            <w:r>
              <w:rPr>
                <w:rFonts w:hint="eastAsia" w:ascii="Times New Roman" w:hAnsi="Times New Roman" w:cs="Times New Roman"/>
              </w:rPr>
              <w:t>密闭收集</w:t>
            </w:r>
            <w:r>
              <w:rPr>
                <w:rFonts w:ascii="Times New Roman" w:hAnsi="Times New Roman" w:cs="Times New Roman"/>
              </w:rPr>
              <w:t>+二级活性炭纤维吸附装置处理，排气筒出口非甲烷总烃可满足《大气污染物综合排放标准》（GB16297-1996）表2二级标准限值，经30m 高排气筒DA002达标排放。</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（2）无组织废气治理措施</w:t>
            </w:r>
          </w:p>
          <w:p>
            <w:pPr>
              <w:adjustRightInd w:val="0"/>
              <w:snapToGrid w:val="0"/>
              <w:spacing w:line="360" w:lineRule="auto"/>
              <w:ind w:firstLine="480" w:firstLineChars="200"/>
              <w:jc w:val="both"/>
              <w:rPr>
                <w:rFonts w:ascii="Times New Roman" w:hAnsi="Times New Roman"/>
                <w:sz w:val="24"/>
                <w:szCs w:val="24"/>
              </w:rPr>
            </w:pPr>
            <w:r>
              <w:rPr>
                <w:rFonts w:ascii="Times New Roman" w:hAnsi="Times New Roman"/>
                <w:sz w:val="24"/>
                <w:szCs w:val="24"/>
              </w:rPr>
              <w:t>为减少无组织废气对周围大气环境的影响，企业应采取如下措施：</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①</w:t>
            </w:r>
            <w:r>
              <w:rPr>
                <w:rFonts w:ascii="Times New Roman" w:hAnsi="Times New Roman"/>
                <w:sz w:val="24"/>
                <w:szCs w:val="24"/>
              </w:rPr>
              <w:t>尽量保持生产车间和操作间（室）的密闭，合理设计送排风系统，提高废气捕集率，尽量将废气收集集中处理。</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②</w:t>
            </w:r>
            <w:r>
              <w:rPr>
                <w:rFonts w:ascii="Times New Roman" w:hAnsi="Times New Roman"/>
                <w:sz w:val="24"/>
                <w:szCs w:val="24"/>
              </w:rPr>
              <w:t>加强生产管理，规范操作，使设备设施处于正常工作状态，减少生产、控制、输送等过程中的废气散发。</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③</w:t>
            </w:r>
            <w:r>
              <w:rPr>
                <w:rFonts w:ascii="Times New Roman" w:hAnsi="Times New Roman"/>
                <w:sz w:val="24"/>
                <w:szCs w:val="24"/>
              </w:rPr>
              <w:t>对于喷保护液工序废气散发面较大的工段，合理设计废气捕集系统，加大排风量和捕集面积，减少废气的无组织排放。</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④</w:t>
            </w:r>
            <w:r>
              <w:rPr>
                <w:rFonts w:ascii="Times New Roman" w:hAnsi="Times New Roman"/>
                <w:sz w:val="24"/>
                <w:szCs w:val="24"/>
              </w:rPr>
              <w:t>生产车间为超洁净室，全封闭式操作，易挥发有机废气分别抽取到各废气净化系统中进行处理，再通过排风扇排放。</w:t>
            </w:r>
          </w:p>
          <w:p>
            <w:pPr>
              <w:adjustRightInd w:val="0"/>
              <w:snapToGrid w:val="0"/>
              <w:spacing w:line="360" w:lineRule="auto"/>
              <w:ind w:firstLine="480" w:firstLineChars="200"/>
              <w:jc w:val="both"/>
              <w:rPr>
                <w:rFonts w:ascii="Times New Roman" w:hAnsi="Times New Roman"/>
                <w:sz w:val="24"/>
                <w:szCs w:val="24"/>
              </w:rPr>
            </w:pPr>
            <w:r>
              <w:rPr>
                <w:rFonts w:hint="eastAsia" w:cs="宋体"/>
                <w:sz w:val="24"/>
                <w:szCs w:val="24"/>
              </w:rPr>
              <w:t>⑤</w:t>
            </w:r>
            <w:r>
              <w:rPr>
                <w:rFonts w:ascii="Times New Roman" w:hAnsi="Times New Roman"/>
                <w:sz w:val="24"/>
                <w:szCs w:val="24"/>
              </w:rPr>
              <w:t>项目所用物料通过管道直接输送至生产工序，最大限度减少输送、转移物料过程中气体挥发。</w:t>
            </w:r>
          </w:p>
          <w:p>
            <w:pPr>
              <w:pStyle w:val="15"/>
              <w:spacing w:line="360" w:lineRule="auto"/>
              <w:ind w:firstLine="480" w:firstLineChars="200"/>
              <w:rPr>
                <w:rFonts w:ascii="Times New Roman" w:hAnsi="Times New Roman" w:cs="Times New Roman"/>
              </w:rPr>
            </w:pPr>
            <w:r>
              <w:rPr>
                <w:rFonts w:ascii="Times New Roman" w:hAnsi="Times New Roman" w:cs="Times New Roman"/>
              </w:rPr>
              <w:t>采取上述治理措施后，可确保厂区内、厂界外非甲烷总烃满足《大气污染物综合排放标准》（GB16297-1996）表2无组织排放限值标准，对环境影响较小。</w:t>
            </w:r>
          </w:p>
          <w:p>
            <w:pPr>
              <w:spacing w:line="440" w:lineRule="exact"/>
              <w:ind w:firstLine="482" w:firstLineChars="200"/>
              <w:rPr>
                <w:rFonts w:ascii="Times New Roman" w:hAnsi="Times New Roman"/>
                <w:b/>
                <w:bCs/>
                <w:sz w:val="24"/>
                <w:szCs w:val="24"/>
              </w:rPr>
            </w:pPr>
            <w:r>
              <w:rPr>
                <w:rFonts w:ascii="Times New Roman" w:hAnsi="Times New Roman"/>
                <w:b/>
                <w:bCs/>
                <w:sz w:val="24"/>
                <w:szCs w:val="24"/>
              </w:rPr>
              <w:t>6、废气环境影响分析</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项目建成后落实各产污环节污染防治措施后，废气经治理设施处理后，均满足《大气污染物综合排放标准》（GB16297-1996）表2二级标准限值及无组织排放浓度限值，厂区内无组织NMHC排放满足《挥发性有机物无组织排放控制标准》（GB37822-2019）中特别排放限值要求。</w:t>
            </w:r>
          </w:p>
          <w:p>
            <w:pPr>
              <w:widowControl/>
              <w:spacing w:line="360" w:lineRule="auto"/>
              <w:ind w:firstLine="482" w:firstLineChars="200"/>
              <w:jc w:val="both"/>
              <w:rPr>
                <w:rFonts w:ascii="Times New Roman" w:hAnsi="Times New Roman"/>
              </w:rPr>
            </w:pPr>
            <w:r>
              <w:rPr>
                <w:rFonts w:ascii="Times New Roman" w:hAnsi="Times New Roman"/>
                <w:b/>
                <w:bCs/>
                <w:sz w:val="24"/>
                <w:lang w:val="en-US"/>
              </w:rPr>
              <w:t>二、</w:t>
            </w:r>
            <w:r>
              <w:rPr>
                <w:rFonts w:ascii="Times New Roman" w:hAnsi="Times New Roman"/>
                <w:b/>
                <w:sz w:val="24"/>
                <w:szCs w:val="24"/>
                <w:lang w:val="en-US"/>
              </w:rPr>
              <w:t>水环境影响和保护措施</w:t>
            </w:r>
          </w:p>
          <w:p>
            <w:pPr>
              <w:autoSpaceDE/>
              <w:autoSpaceDN/>
              <w:spacing w:line="360" w:lineRule="auto"/>
              <w:ind w:firstLine="482" w:firstLineChars="200"/>
              <w:jc w:val="both"/>
              <w:rPr>
                <w:rFonts w:ascii="Times New Roman" w:hAnsi="Times New Roman"/>
                <w:b/>
                <w:bCs/>
                <w:sz w:val="24"/>
                <w:lang w:val="en-US"/>
              </w:rPr>
            </w:pPr>
            <w:r>
              <w:rPr>
                <w:rFonts w:ascii="Times New Roman" w:hAnsi="Times New Roman"/>
                <w:b/>
                <w:bCs/>
                <w:sz w:val="24"/>
                <w:lang w:val="en-US"/>
              </w:rPr>
              <w:t>1、废水污染源</w:t>
            </w:r>
          </w:p>
          <w:p>
            <w:pPr>
              <w:spacing w:line="360" w:lineRule="auto"/>
              <w:ind w:firstLine="480" w:firstLineChars="200"/>
              <w:jc w:val="both"/>
              <w:rPr>
                <w:rFonts w:ascii="Times New Roman" w:hAnsi="Times New Roman"/>
                <w:sz w:val="24"/>
              </w:rPr>
            </w:pPr>
            <w:r>
              <w:rPr>
                <w:rFonts w:ascii="Times New Roman" w:hAnsi="Times New Roman"/>
                <w:sz w:val="24"/>
              </w:rPr>
              <w:t>项目废水主要是员工生活污水、纯水制备系统排水、玻璃浸泡废水</w:t>
            </w:r>
            <w:r>
              <w:rPr>
                <w:rFonts w:hint="eastAsia" w:ascii="Times New Roman" w:hAnsi="Times New Roman"/>
                <w:sz w:val="24"/>
              </w:rPr>
              <w:t>、</w:t>
            </w:r>
            <w:r>
              <w:rPr>
                <w:rFonts w:ascii="Times New Roman" w:hAnsi="Times New Roman"/>
                <w:sz w:val="24"/>
              </w:rPr>
              <w:t>清洗废水</w:t>
            </w:r>
            <w:r>
              <w:rPr>
                <w:rFonts w:hint="eastAsia" w:ascii="Times New Roman" w:hAnsi="Times New Roman"/>
                <w:sz w:val="24"/>
              </w:rPr>
              <w:t>和车间保洁用水</w:t>
            </w:r>
            <w:r>
              <w:rPr>
                <w:rFonts w:ascii="Times New Roman" w:hAnsi="Times New Roman"/>
                <w:sz w:val="24"/>
              </w:rPr>
              <w:t>。</w:t>
            </w:r>
          </w:p>
          <w:p>
            <w:pPr>
              <w:spacing w:line="360" w:lineRule="auto"/>
              <w:ind w:firstLine="480" w:firstLineChars="200"/>
              <w:jc w:val="both"/>
              <w:rPr>
                <w:rFonts w:ascii="Times New Roman" w:hAnsi="Times New Roman"/>
                <w:sz w:val="24"/>
              </w:rPr>
            </w:pPr>
            <w:r>
              <w:rPr>
                <w:rFonts w:ascii="Times New Roman" w:hAnsi="Times New Roman"/>
                <w:sz w:val="24"/>
              </w:rPr>
              <w:t>员工生活污水依托厂区新建化粪池预处理，满足项目废水执行《污水综合排放标准》（GB8978-1996）中三级排放标准及桂集镇污水处理厂接管标准中较严标准，产生量5280t/a，经污水管网排入桂集镇污水处理厂处理。</w:t>
            </w:r>
          </w:p>
          <w:p>
            <w:pPr>
              <w:spacing w:line="360" w:lineRule="auto"/>
              <w:ind w:firstLine="480" w:firstLineChars="200"/>
              <w:jc w:val="both"/>
              <w:rPr>
                <w:rFonts w:ascii="Times New Roman" w:hAnsi="Times New Roman"/>
                <w:sz w:val="24"/>
              </w:rPr>
            </w:pPr>
            <w:r>
              <w:rPr>
                <w:rFonts w:ascii="Times New Roman" w:hAnsi="Times New Roman"/>
                <w:sz w:val="24"/>
              </w:rPr>
              <w:t>项目切削液混合液和扫光混合液循环使用，不外排，只需定期补充新鲜水，切削液混合液每季度更换一次，产生量为8t/a，经收集后暂存于危废暂存间内，定期交由有资质的单位处理，抛光粉混合液每年处理一次，产生量为11.88t/a，经收集沉淀后循环利用。对周边环境影响较小。</w:t>
            </w:r>
          </w:p>
          <w:p>
            <w:pPr>
              <w:spacing w:line="360" w:lineRule="auto"/>
              <w:ind w:firstLine="480" w:firstLineChars="200"/>
              <w:jc w:val="both"/>
              <w:rPr>
                <w:rFonts w:ascii="Times New Roman" w:hAnsi="Times New Roman"/>
                <w:sz w:val="24"/>
              </w:rPr>
            </w:pPr>
            <w:r>
              <w:rPr>
                <w:rFonts w:ascii="Times New Roman" w:hAnsi="Times New Roman"/>
                <w:sz w:val="24"/>
              </w:rPr>
              <w:t>项目清洗过程中产生的清洗废水量为3830.4t/a，经过“调节池+混凝池+沉淀池”处理后满足执行《污水综合排放标准》（GB8978-1996）中三级排放标准及桂集镇污水处理厂接管标准中较严标准，经市政污水管网进入桂集镇污水处理厂处理。</w:t>
            </w:r>
          </w:p>
          <w:p>
            <w:pPr>
              <w:spacing w:line="360" w:lineRule="auto"/>
              <w:ind w:firstLine="480" w:firstLineChars="200"/>
              <w:jc w:val="both"/>
              <w:rPr>
                <w:rFonts w:ascii="Times New Roman" w:hAnsi="Times New Roman"/>
                <w:sz w:val="24"/>
              </w:rPr>
            </w:pPr>
            <w:r>
              <w:rPr>
                <w:rFonts w:ascii="Times New Roman" w:hAnsi="Times New Roman"/>
                <w:sz w:val="24"/>
              </w:rPr>
              <w:t>纯水制备过程产生的浓水属于清下水，根据企业提供资料，则年产纯水制备浓水约为6633.82t/a（22.11t/d），主要污染因子为COD、SS，浓度分别为30mg/L、60mg/L，通过厂区新建化粪池预处理后进入市政污水管网。</w:t>
            </w:r>
          </w:p>
          <w:p>
            <w:pPr>
              <w:adjustRightInd w:val="0"/>
              <w:spacing w:line="360" w:lineRule="auto"/>
              <w:ind w:firstLine="480" w:firstLineChars="200"/>
              <w:jc w:val="both"/>
              <w:rPr>
                <w:rFonts w:ascii="Times New Roman" w:hAnsi="Times New Roman"/>
                <w:sz w:val="24"/>
                <w:szCs w:val="24"/>
              </w:rPr>
            </w:pPr>
            <w:r>
              <w:rPr>
                <w:rStyle w:val="112"/>
                <w:rFonts w:hint="eastAsia" w:ascii="Times New Roman" w:hAnsi="Times New Roman"/>
                <w:color w:val="auto"/>
                <w:sz w:val="24"/>
                <w:szCs w:val="24"/>
              </w:rPr>
              <w:t>项目</w:t>
            </w:r>
            <w:r>
              <w:rPr>
                <w:rFonts w:hint="eastAsia" w:ascii="Times New Roman" w:hAnsi="Times New Roman"/>
                <w:sz w:val="24"/>
                <w:szCs w:val="24"/>
              </w:rPr>
              <w:t>丝印和检验车间需定期进行清洗，则车间地面冲洗废水产生量为</w:t>
            </w:r>
            <w:r>
              <w:rPr>
                <w:rFonts w:ascii="Times New Roman" w:hAnsi="Times New Roman"/>
                <w:sz w:val="24"/>
                <w:szCs w:val="24"/>
              </w:rPr>
              <w:t>320t/a</w:t>
            </w:r>
            <w:r>
              <w:rPr>
                <w:rFonts w:hint="eastAsia" w:ascii="Times New Roman" w:hAnsi="Times New Roman"/>
                <w:sz w:val="24"/>
                <w:szCs w:val="24"/>
              </w:rPr>
              <w:t>（</w:t>
            </w:r>
            <w:r>
              <w:rPr>
                <w:rFonts w:ascii="Times New Roman" w:hAnsi="Times New Roman"/>
                <w:sz w:val="24"/>
                <w:szCs w:val="24"/>
              </w:rPr>
              <w:t>1.07t/d</w:t>
            </w:r>
            <w:r>
              <w:rPr>
                <w:rFonts w:hint="eastAsia" w:ascii="Times New Roman" w:hAnsi="Times New Roman"/>
                <w:sz w:val="24"/>
                <w:szCs w:val="24"/>
              </w:rPr>
              <w:t>），主要污染因子为</w:t>
            </w:r>
            <w:r>
              <w:rPr>
                <w:rFonts w:ascii="Times New Roman" w:hAnsi="Times New Roman"/>
                <w:sz w:val="24"/>
                <w:szCs w:val="24"/>
              </w:rPr>
              <w:t>COD</w:t>
            </w:r>
            <w:r>
              <w:rPr>
                <w:rFonts w:hint="eastAsia" w:ascii="Times New Roman" w:hAnsi="Times New Roman"/>
                <w:sz w:val="24"/>
                <w:szCs w:val="24"/>
              </w:rPr>
              <w:t>、</w:t>
            </w:r>
            <w:r>
              <w:rPr>
                <w:rFonts w:ascii="Times New Roman" w:hAnsi="Times New Roman"/>
                <w:sz w:val="24"/>
                <w:szCs w:val="24"/>
                <w:lang w:val="en-US"/>
              </w:rPr>
              <w:t>BOD</w:t>
            </w:r>
            <w:r>
              <w:rPr>
                <w:rFonts w:ascii="Times New Roman" w:hAnsi="Times New Roman"/>
                <w:sz w:val="24"/>
                <w:szCs w:val="24"/>
                <w:vertAlign w:val="subscript"/>
                <w:lang w:val="en-US"/>
              </w:rPr>
              <w:t>5</w:t>
            </w:r>
            <w:r>
              <w:rPr>
                <w:rFonts w:hint="eastAsia" w:ascii="Times New Roman" w:hAnsi="Times New Roman"/>
                <w:sz w:val="24"/>
                <w:szCs w:val="24"/>
                <w:lang w:val="en-US"/>
              </w:rPr>
              <w:t>、</w:t>
            </w:r>
            <w:r>
              <w:rPr>
                <w:rFonts w:ascii="Times New Roman" w:hAnsi="Times New Roman"/>
                <w:sz w:val="24"/>
                <w:szCs w:val="24"/>
                <w:lang w:val="en-US"/>
              </w:rPr>
              <w:t>SS</w:t>
            </w:r>
            <w:r>
              <w:rPr>
                <w:rFonts w:hint="eastAsia" w:ascii="Times New Roman" w:hAnsi="Times New Roman"/>
                <w:sz w:val="24"/>
                <w:szCs w:val="24"/>
                <w:lang w:val="en-US"/>
              </w:rPr>
              <w:t>、</w:t>
            </w:r>
            <w:r>
              <w:rPr>
                <w:rFonts w:ascii="Times New Roman" w:hAnsi="Times New Roman"/>
                <w:sz w:val="24"/>
                <w:szCs w:val="24"/>
                <w:lang w:val="en-US"/>
              </w:rPr>
              <w:t>NH</w:t>
            </w:r>
            <w:r>
              <w:rPr>
                <w:rFonts w:ascii="Times New Roman" w:hAnsi="Times New Roman"/>
                <w:sz w:val="24"/>
                <w:szCs w:val="24"/>
                <w:vertAlign w:val="subscript"/>
                <w:lang w:val="en-US"/>
              </w:rPr>
              <w:t>3</w:t>
            </w:r>
            <w:r>
              <w:rPr>
                <w:rFonts w:ascii="Times New Roman" w:hAnsi="Times New Roman"/>
                <w:sz w:val="24"/>
                <w:szCs w:val="24"/>
                <w:lang w:val="en-US"/>
              </w:rPr>
              <w:t>-N</w:t>
            </w:r>
            <w:r>
              <w:rPr>
                <w:rFonts w:hint="eastAsia" w:ascii="Times New Roman" w:hAnsi="Times New Roman"/>
                <w:sz w:val="24"/>
                <w:szCs w:val="24"/>
                <w:lang w:val="en-US"/>
              </w:rPr>
              <w:t>、</w:t>
            </w:r>
            <w:r>
              <w:rPr>
                <w:rFonts w:ascii="Times New Roman" w:hAnsi="Times New Roman"/>
                <w:sz w:val="24"/>
                <w:szCs w:val="24"/>
                <w:lang w:val="en-US"/>
              </w:rPr>
              <w:t>LAS</w:t>
            </w:r>
            <w:r>
              <w:rPr>
                <w:rFonts w:hint="eastAsia" w:ascii="Times New Roman" w:hAnsi="Times New Roman"/>
                <w:sz w:val="24"/>
                <w:szCs w:val="24"/>
                <w:lang w:val="en-US"/>
              </w:rPr>
              <w:t>，通过厂区三级沉淀池处理后</w:t>
            </w:r>
            <w:r>
              <w:rPr>
                <w:rFonts w:ascii="Times New Roman" w:hAnsi="Times New Roman"/>
                <w:sz w:val="24"/>
              </w:rPr>
              <w:t>进入市政污水管网</w:t>
            </w:r>
            <w:r>
              <w:rPr>
                <w:rFonts w:hint="eastAsia" w:ascii="Times New Roman" w:hAnsi="Times New Roman"/>
                <w:sz w:val="24"/>
                <w:szCs w:val="24"/>
              </w:rPr>
              <w:t>。。</w:t>
            </w:r>
          </w:p>
          <w:p>
            <w:pPr>
              <w:pStyle w:val="119"/>
              <w:spacing w:line="440" w:lineRule="exact"/>
              <w:rPr>
                <w:rFonts w:cs="Times New Roman"/>
              </w:rPr>
            </w:pPr>
            <w:r>
              <w:rPr>
                <w:rFonts w:cs="Times New Roman"/>
                <w:bCs/>
                <w:spacing w:val="4"/>
                <w:kern w:val="2"/>
                <w:lang w:val="zh-CN" w:bidi="zh-CN"/>
              </w:rPr>
              <w:t>表</w:t>
            </w:r>
            <w:r>
              <w:rPr>
                <w:rFonts w:cs="Times New Roman"/>
                <w:bCs/>
                <w:spacing w:val="4"/>
                <w:kern w:val="2"/>
                <w:lang w:bidi="zh-CN"/>
              </w:rPr>
              <w:t>4-4</w:t>
            </w:r>
            <w:r>
              <w:rPr>
                <w:rFonts w:cs="Times New Roman"/>
              </w:rPr>
              <w:t>本项目废水排放情况一览表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56"/>
              <w:gridCol w:w="710"/>
              <w:gridCol w:w="709"/>
              <w:gridCol w:w="850"/>
              <w:gridCol w:w="848"/>
              <w:gridCol w:w="709"/>
              <w:gridCol w:w="441"/>
              <w:gridCol w:w="831"/>
              <w:gridCol w:w="709"/>
              <w:gridCol w:w="428"/>
              <w:gridCol w:w="6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vAlign w:val="center"/>
                </w:tcPr>
                <w:p>
                  <w:pPr>
                    <w:adjustRightInd w:val="0"/>
                    <w:snapToGrid w:val="0"/>
                    <w:jc w:val="center"/>
                    <w:rPr>
                      <w:rFonts w:ascii="Times New Roman" w:hAnsi="Times New Roman"/>
                      <w:b/>
                      <w:bCs/>
                      <w:lang w:val="en-US"/>
                    </w:rPr>
                  </w:pPr>
                  <w:bookmarkStart w:id="56" w:name="_Hlk112829639"/>
                  <w:r>
                    <w:rPr>
                      <w:rFonts w:ascii="Times New Roman" w:hAnsi="Times New Roman"/>
                      <w:b/>
                      <w:bCs/>
                    </w:rPr>
                    <w:t>废水类别</w:t>
                  </w:r>
                </w:p>
              </w:tc>
              <w:tc>
                <w:tcPr>
                  <w:tcW w:w="498" w:type="pct"/>
                  <w:vMerge w:val="restart"/>
                  <w:vAlign w:val="center"/>
                </w:tcPr>
                <w:p>
                  <w:pPr>
                    <w:adjustRightInd w:val="0"/>
                    <w:snapToGrid w:val="0"/>
                    <w:jc w:val="center"/>
                    <w:rPr>
                      <w:rFonts w:ascii="Times New Roman" w:hAnsi="Times New Roman"/>
                      <w:b/>
                      <w:bCs/>
                      <w:lang w:val="en-US"/>
                    </w:rPr>
                  </w:pPr>
                  <w:r>
                    <w:rPr>
                      <w:rFonts w:ascii="Times New Roman" w:hAnsi="Times New Roman"/>
                      <w:b/>
                      <w:bCs/>
                    </w:rPr>
                    <w:t>污染物种类</w:t>
                  </w:r>
                </w:p>
              </w:tc>
              <w:tc>
                <w:tcPr>
                  <w:tcW w:w="826" w:type="pct"/>
                  <w:gridSpan w:val="2"/>
                  <w:vAlign w:val="center"/>
                </w:tcPr>
                <w:p>
                  <w:pPr>
                    <w:adjustRightInd w:val="0"/>
                    <w:snapToGrid w:val="0"/>
                    <w:jc w:val="center"/>
                    <w:rPr>
                      <w:rFonts w:ascii="Times New Roman" w:hAnsi="Times New Roman"/>
                      <w:b/>
                      <w:bCs/>
                      <w:lang w:val="en-US"/>
                    </w:rPr>
                  </w:pPr>
                  <w:r>
                    <w:rPr>
                      <w:rFonts w:ascii="Times New Roman" w:hAnsi="Times New Roman"/>
                      <w:b/>
                      <w:bCs/>
                    </w:rPr>
                    <w:t>污染物产生情况</w:t>
                  </w:r>
                </w:p>
              </w:tc>
              <w:tc>
                <w:tcPr>
                  <w:tcW w:w="1658" w:type="pct"/>
                  <w:gridSpan w:val="4"/>
                  <w:vAlign w:val="center"/>
                </w:tcPr>
                <w:p>
                  <w:pPr>
                    <w:adjustRightInd w:val="0"/>
                    <w:snapToGrid w:val="0"/>
                    <w:jc w:val="center"/>
                    <w:rPr>
                      <w:rFonts w:ascii="Times New Roman" w:hAnsi="Times New Roman"/>
                      <w:b/>
                      <w:bCs/>
                      <w:lang w:val="en-US"/>
                    </w:rPr>
                  </w:pPr>
                  <w:r>
                    <w:rPr>
                      <w:rFonts w:ascii="Times New Roman" w:hAnsi="Times New Roman"/>
                      <w:b/>
                      <w:bCs/>
                    </w:rPr>
                    <w:t>治理设施</w:t>
                  </w:r>
                </w:p>
              </w:tc>
              <w:tc>
                <w:tcPr>
                  <w:tcW w:w="897" w:type="pct"/>
                  <w:gridSpan w:val="2"/>
                  <w:vAlign w:val="center"/>
                </w:tcPr>
                <w:p>
                  <w:pPr>
                    <w:adjustRightInd w:val="0"/>
                    <w:snapToGrid w:val="0"/>
                    <w:jc w:val="center"/>
                    <w:rPr>
                      <w:rFonts w:ascii="Times New Roman" w:hAnsi="Times New Roman"/>
                      <w:b/>
                      <w:bCs/>
                      <w:lang w:val="en-US"/>
                    </w:rPr>
                  </w:pPr>
                  <w:r>
                    <w:rPr>
                      <w:rFonts w:ascii="Times New Roman" w:hAnsi="Times New Roman"/>
                      <w:b/>
                      <w:bCs/>
                    </w:rPr>
                    <w:t>污染物排放情况</w:t>
                  </w:r>
                </w:p>
              </w:tc>
              <w:tc>
                <w:tcPr>
                  <w:tcW w:w="249" w:type="pct"/>
                  <w:vMerge w:val="restart"/>
                  <w:vAlign w:val="center"/>
                </w:tcPr>
                <w:p>
                  <w:pPr>
                    <w:adjustRightInd w:val="0"/>
                    <w:snapToGrid w:val="0"/>
                    <w:jc w:val="center"/>
                    <w:rPr>
                      <w:rFonts w:ascii="Times New Roman" w:hAnsi="Times New Roman"/>
                      <w:b/>
                      <w:bCs/>
                      <w:lang w:val="en-US"/>
                    </w:rPr>
                  </w:pPr>
                  <w:r>
                    <w:rPr>
                      <w:rFonts w:ascii="Times New Roman" w:hAnsi="Times New Roman"/>
                      <w:b/>
                      <w:bCs/>
                    </w:rPr>
                    <w:t>排放去向</w:t>
                  </w:r>
                </w:p>
              </w:tc>
              <w:tc>
                <w:tcPr>
                  <w:tcW w:w="356" w:type="pct"/>
                  <w:vMerge w:val="restart"/>
                  <w:vAlign w:val="center"/>
                </w:tcPr>
                <w:p>
                  <w:pPr>
                    <w:adjustRightInd w:val="0"/>
                    <w:snapToGrid w:val="0"/>
                    <w:jc w:val="center"/>
                    <w:rPr>
                      <w:rFonts w:ascii="Times New Roman" w:hAnsi="Times New Roman"/>
                      <w:b/>
                      <w:bCs/>
                      <w:lang w:val="en-US"/>
                    </w:rPr>
                  </w:pPr>
                  <w:r>
                    <w:rPr>
                      <w:rFonts w:ascii="Times New Roman" w:hAnsi="Times New Roman"/>
                      <w:b/>
                      <w:bCs/>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b/>
                      <w:bCs/>
                      <w:lang w:val="en-US"/>
                    </w:rPr>
                  </w:pPr>
                  <w:r>
                    <w:rPr>
                      <w:rFonts w:ascii="Times New Roman" w:hAnsi="Times New Roman"/>
                      <w:b/>
                      <w:bCs/>
                    </w:rPr>
                    <w:t>产生量</w:t>
                  </w:r>
                  <w:r>
                    <w:rPr>
                      <w:rFonts w:ascii="Times New Roman" w:hAnsi="Times New Roman"/>
                      <w:b/>
                      <w:bCs/>
                      <w:lang w:val="en-US"/>
                    </w:rPr>
                    <w:t>t/a</w:t>
                  </w:r>
                </w:p>
              </w:tc>
              <w:tc>
                <w:tcPr>
                  <w:tcW w:w="413" w:type="pct"/>
                  <w:vAlign w:val="center"/>
                </w:tcPr>
                <w:p>
                  <w:pPr>
                    <w:adjustRightInd w:val="0"/>
                    <w:snapToGrid w:val="0"/>
                    <w:jc w:val="center"/>
                    <w:rPr>
                      <w:rFonts w:ascii="Times New Roman" w:hAnsi="Times New Roman"/>
                      <w:b/>
                      <w:bCs/>
                      <w:lang w:val="en-US"/>
                    </w:rPr>
                  </w:pPr>
                  <w:r>
                    <w:rPr>
                      <w:rFonts w:ascii="Times New Roman" w:hAnsi="Times New Roman"/>
                      <w:b/>
                      <w:bCs/>
                    </w:rPr>
                    <w:t>浓度</w:t>
                  </w:r>
                  <w:r>
                    <w:rPr>
                      <w:rFonts w:ascii="Times New Roman" w:hAnsi="Times New Roman"/>
                      <w:b/>
                      <w:bCs/>
                      <w:lang w:val="en-US"/>
                    </w:rPr>
                    <w:t>mg/L</w:t>
                  </w:r>
                </w:p>
              </w:tc>
              <w:tc>
                <w:tcPr>
                  <w:tcW w:w="495" w:type="pct"/>
                  <w:vAlign w:val="center"/>
                </w:tcPr>
                <w:p>
                  <w:pPr>
                    <w:adjustRightInd w:val="0"/>
                    <w:snapToGrid w:val="0"/>
                    <w:jc w:val="center"/>
                    <w:rPr>
                      <w:rFonts w:ascii="Times New Roman" w:hAnsi="Times New Roman"/>
                      <w:b/>
                      <w:bCs/>
                      <w:lang w:val="en-US"/>
                    </w:rPr>
                  </w:pPr>
                  <w:r>
                    <w:rPr>
                      <w:rFonts w:ascii="Times New Roman" w:hAnsi="Times New Roman"/>
                      <w:b/>
                      <w:bCs/>
                    </w:rPr>
                    <w:t>工艺</w:t>
                  </w:r>
                </w:p>
              </w:tc>
              <w:tc>
                <w:tcPr>
                  <w:tcW w:w="494" w:type="pct"/>
                  <w:vAlign w:val="center"/>
                </w:tcPr>
                <w:p>
                  <w:pPr>
                    <w:adjustRightInd w:val="0"/>
                    <w:snapToGrid w:val="0"/>
                    <w:jc w:val="center"/>
                    <w:rPr>
                      <w:rFonts w:ascii="Times New Roman" w:hAnsi="Times New Roman"/>
                      <w:b/>
                      <w:bCs/>
                      <w:lang w:val="en-US"/>
                    </w:rPr>
                  </w:pPr>
                  <w:r>
                    <w:rPr>
                      <w:rFonts w:ascii="Times New Roman" w:hAnsi="Times New Roman"/>
                      <w:b/>
                      <w:bCs/>
                    </w:rPr>
                    <w:t>处理能力</w:t>
                  </w:r>
                </w:p>
              </w:tc>
              <w:tc>
                <w:tcPr>
                  <w:tcW w:w="413" w:type="pct"/>
                  <w:vAlign w:val="center"/>
                </w:tcPr>
                <w:p>
                  <w:pPr>
                    <w:adjustRightInd w:val="0"/>
                    <w:snapToGrid w:val="0"/>
                    <w:jc w:val="center"/>
                    <w:rPr>
                      <w:rFonts w:ascii="Times New Roman" w:hAnsi="Times New Roman"/>
                      <w:b/>
                      <w:bCs/>
                      <w:lang w:val="en-US"/>
                    </w:rPr>
                  </w:pPr>
                  <w:r>
                    <w:rPr>
                      <w:rFonts w:ascii="Times New Roman" w:hAnsi="Times New Roman"/>
                      <w:b/>
                      <w:bCs/>
                    </w:rPr>
                    <w:t>治理效率</w:t>
                  </w:r>
                </w:p>
              </w:tc>
              <w:tc>
                <w:tcPr>
                  <w:tcW w:w="257" w:type="pct"/>
                  <w:vAlign w:val="center"/>
                </w:tcPr>
                <w:p>
                  <w:pPr>
                    <w:adjustRightInd w:val="0"/>
                    <w:snapToGrid w:val="0"/>
                    <w:jc w:val="center"/>
                    <w:rPr>
                      <w:rFonts w:ascii="Times New Roman" w:hAnsi="Times New Roman"/>
                      <w:b/>
                      <w:bCs/>
                      <w:lang w:val="en-US"/>
                    </w:rPr>
                  </w:pPr>
                  <w:r>
                    <w:rPr>
                      <w:rFonts w:ascii="Times New Roman" w:hAnsi="Times New Roman"/>
                      <w:b/>
                      <w:bCs/>
                    </w:rPr>
                    <w:t>是否为可行技术</w:t>
                  </w:r>
                </w:p>
              </w:tc>
              <w:tc>
                <w:tcPr>
                  <w:tcW w:w="484" w:type="pct"/>
                  <w:vAlign w:val="center"/>
                </w:tcPr>
                <w:p>
                  <w:pPr>
                    <w:adjustRightInd w:val="0"/>
                    <w:snapToGrid w:val="0"/>
                    <w:jc w:val="center"/>
                    <w:rPr>
                      <w:rFonts w:ascii="Times New Roman" w:hAnsi="Times New Roman"/>
                      <w:b/>
                      <w:bCs/>
                      <w:lang w:val="en-US"/>
                    </w:rPr>
                  </w:pPr>
                  <w:r>
                    <w:rPr>
                      <w:rFonts w:ascii="Times New Roman" w:hAnsi="Times New Roman"/>
                      <w:b/>
                      <w:bCs/>
                    </w:rPr>
                    <w:t>排放量</w:t>
                  </w:r>
                  <w:r>
                    <w:rPr>
                      <w:rFonts w:ascii="Times New Roman" w:hAnsi="Times New Roman"/>
                      <w:b/>
                      <w:bCs/>
                      <w:lang w:val="en-US"/>
                    </w:rPr>
                    <w:t>t/a</w:t>
                  </w:r>
                </w:p>
              </w:tc>
              <w:tc>
                <w:tcPr>
                  <w:tcW w:w="413" w:type="pct"/>
                  <w:vAlign w:val="center"/>
                </w:tcPr>
                <w:p>
                  <w:pPr>
                    <w:adjustRightInd w:val="0"/>
                    <w:snapToGrid w:val="0"/>
                    <w:jc w:val="center"/>
                    <w:rPr>
                      <w:rFonts w:ascii="Times New Roman" w:hAnsi="Times New Roman"/>
                      <w:b/>
                      <w:bCs/>
                      <w:lang w:val="en-US"/>
                    </w:rPr>
                  </w:pPr>
                  <w:r>
                    <w:rPr>
                      <w:rFonts w:ascii="Times New Roman" w:hAnsi="Times New Roman"/>
                      <w:b/>
                      <w:bCs/>
                    </w:rPr>
                    <w:t>排放浓度</w:t>
                  </w:r>
                  <w:r>
                    <w:rPr>
                      <w:rFonts w:ascii="Times New Roman" w:hAnsi="Times New Roman"/>
                      <w:b/>
                      <w:bCs/>
                      <w:lang w:val="en-US"/>
                    </w:rPr>
                    <w:t>mg/L</w:t>
                  </w:r>
                </w:p>
              </w:tc>
              <w:tc>
                <w:tcPr>
                  <w:tcW w:w="249" w:type="pct"/>
                  <w:vMerge w:val="continue"/>
                  <w:vAlign w:val="center"/>
                </w:tcPr>
                <w:p>
                  <w:pPr>
                    <w:adjustRightInd w:val="0"/>
                    <w:snapToGrid w:val="0"/>
                    <w:jc w:val="center"/>
                    <w:rPr>
                      <w:rFonts w:ascii="Times New Roman" w:hAnsi="Times New Roman"/>
                      <w:lang w:val="en-US"/>
                    </w:rPr>
                  </w:pPr>
                </w:p>
              </w:tc>
              <w:tc>
                <w:tcPr>
                  <w:tcW w:w="356" w:type="pct"/>
                  <w:vMerge w:val="continue"/>
                  <w:vAlign w:val="center"/>
                </w:tcPr>
                <w:p>
                  <w:pPr>
                    <w:adjustRightInd w:val="0"/>
                    <w:snapToGrid w:val="0"/>
                    <w:jc w:val="center"/>
                    <w:rPr>
                      <w:rFonts w:ascii="Times New Roman" w:hAnsi="Times New Roman"/>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vAlign w:val="center"/>
                </w:tcPr>
                <w:p>
                  <w:pPr>
                    <w:adjustRightInd w:val="0"/>
                    <w:snapToGrid w:val="0"/>
                    <w:jc w:val="center"/>
                    <w:rPr>
                      <w:rFonts w:ascii="Times New Roman" w:hAnsi="Times New Roman"/>
                      <w:lang w:val="en-US"/>
                    </w:rPr>
                  </w:pPr>
                  <w:r>
                    <w:rPr>
                      <w:rFonts w:ascii="Times New Roman" w:hAnsi="Times New Roman"/>
                    </w:rPr>
                    <w:t>员工生活污水</w:t>
                  </w:r>
                  <w:r>
                    <w:rPr>
                      <w:rFonts w:ascii="Times New Roman" w:hAnsi="Times New Roman"/>
                      <w:lang w:val="en-US"/>
                    </w:rPr>
                    <w:t>5280t/a</w:t>
                  </w: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PH</w:t>
                  </w:r>
                </w:p>
              </w:tc>
              <w:tc>
                <w:tcPr>
                  <w:tcW w:w="826" w:type="pct"/>
                  <w:gridSpan w:val="2"/>
                  <w:vAlign w:val="center"/>
                </w:tcPr>
                <w:p>
                  <w:pPr>
                    <w:adjustRightInd w:val="0"/>
                    <w:snapToGrid w:val="0"/>
                    <w:jc w:val="center"/>
                    <w:rPr>
                      <w:rFonts w:ascii="Times New Roman" w:hAnsi="Times New Roman"/>
                      <w:lang w:val="en-US"/>
                    </w:rPr>
                  </w:pPr>
                  <w:r>
                    <w:rPr>
                      <w:rFonts w:ascii="Times New Roman" w:hAnsi="Times New Roman"/>
                      <w:lang w:val="en-US"/>
                    </w:rPr>
                    <w:t>6-9</w:t>
                  </w:r>
                </w:p>
              </w:tc>
              <w:tc>
                <w:tcPr>
                  <w:tcW w:w="495" w:type="pct"/>
                  <w:vMerge w:val="restart"/>
                  <w:vAlign w:val="center"/>
                </w:tcPr>
                <w:p>
                  <w:pPr>
                    <w:adjustRightInd w:val="0"/>
                    <w:snapToGrid w:val="0"/>
                    <w:jc w:val="center"/>
                    <w:rPr>
                      <w:rFonts w:ascii="Times New Roman" w:hAnsi="Times New Roman"/>
                      <w:lang w:val="en-US"/>
                    </w:rPr>
                  </w:pPr>
                  <w:r>
                    <w:rPr>
                      <w:rFonts w:ascii="Times New Roman" w:hAnsi="Times New Roman"/>
                    </w:rPr>
                    <w:t>隔油池</w:t>
                  </w:r>
                  <w:r>
                    <w:rPr>
                      <w:rFonts w:ascii="Times New Roman" w:hAnsi="Times New Roman"/>
                      <w:lang w:val="en-US"/>
                    </w:rPr>
                    <w:t>+</w:t>
                  </w:r>
                  <w:r>
                    <w:rPr>
                      <w:rFonts w:ascii="Times New Roman" w:hAnsi="Times New Roman"/>
                    </w:rPr>
                    <w:t>化粪池</w:t>
                  </w:r>
                </w:p>
              </w:tc>
              <w:tc>
                <w:tcPr>
                  <w:tcW w:w="494"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30m</w:t>
                  </w:r>
                  <w:r>
                    <w:rPr>
                      <w:rFonts w:ascii="Times New Roman" w:hAnsi="Times New Roman"/>
                      <w:vertAlign w:val="superscript"/>
                      <w:lang w:val="en-US"/>
                    </w:rPr>
                    <w:t>3</w:t>
                  </w:r>
                  <w:r>
                    <w:rPr>
                      <w:rFonts w:ascii="Times New Roman" w:hAnsi="Times New Roman"/>
                      <w:lang w:val="en-US"/>
                    </w:rPr>
                    <w:t>/d</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257" w:type="pct"/>
                  <w:vMerge w:val="restart"/>
                  <w:vAlign w:val="center"/>
                </w:tcPr>
                <w:p>
                  <w:pPr>
                    <w:adjustRightInd w:val="0"/>
                    <w:snapToGrid w:val="0"/>
                    <w:jc w:val="center"/>
                    <w:rPr>
                      <w:rFonts w:ascii="Times New Roman" w:hAnsi="Times New Roman"/>
                      <w:lang w:val="en-US"/>
                    </w:rPr>
                  </w:pPr>
                  <w:r>
                    <w:rPr>
                      <w:rFonts w:ascii="Times New Roman" w:hAnsi="Times New Roman"/>
                    </w:rPr>
                    <w:t>是</w:t>
                  </w:r>
                </w:p>
              </w:tc>
              <w:tc>
                <w:tcPr>
                  <w:tcW w:w="897" w:type="pct"/>
                  <w:gridSpan w:val="2"/>
                  <w:vAlign w:val="center"/>
                </w:tcPr>
                <w:p>
                  <w:pPr>
                    <w:adjustRightInd w:val="0"/>
                    <w:snapToGrid w:val="0"/>
                    <w:jc w:val="center"/>
                    <w:rPr>
                      <w:rFonts w:ascii="Times New Roman" w:hAnsi="Times New Roman"/>
                      <w:lang w:val="en-US"/>
                    </w:rPr>
                  </w:pPr>
                  <w:r>
                    <w:rPr>
                      <w:rFonts w:ascii="Times New Roman" w:hAnsi="Times New Roman"/>
                      <w:lang w:val="en-US"/>
                    </w:rPr>
                    <w:t>6-9</w:t>
                  </w:r>
                </w:p>
              </w:tc>
              <w:tc>
                <w:tcPr>
                  <w:tcW w:w="249" w:type="pct"/>
                  <w:vMerge w:val="restart"/>
                  <w:vAlign w:val="center"/>
                </w:tcPr>
                <w:p>
                  <w:pPr>
                    <w:adjustRightInd w:val="0"/>
                    <w:snapToGrid w:val="0"/>
                    <w:jc w:val="center"/>
                    <w:rPr>
                      <w:rFonts w:ascii="Times New Roman" w:hAnsi="Times New Roman"/>
                      <w:lang w:val="en-US"/>
                    </w:rPr>
                  </w:pPr>
                  <w:r>
                    <w:rPr>
                      <w:rFonts w:ascii="Times New Roman" w:hAnsi="Times New Roman"/>
                    </w:rPr>
                    <w:t>桂集镇污水处理厂</w:t>
                  </w: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COD</w:t>
                  </w:r>
                </w:p>
              </w:tc>
              <w:tc>
                <w:tcPr>
                  <w:tcW w:w="413" w:type="pct"/>
                  <w:vAlign w:val="center"/>
                </w:tcPr>
                <w:p>
                  <w:pPr>
                    <w:jc w:val="center"/>
                    <w:rPr>
                      <w:rFonts w:ascii="Times New Roman" w:hAnsi="Times New Roman"/>
                      <w:lang w:val="en-US"/>
                    </w:rPr>
                  </w:pPr>
                  <w:r>
                    <w:rPr>
                      <w:rFonts w:ascii="Times New Roman" w:hAnsi="Times New Roman"/>
                      <w:lang w:val="en-US"/>
                    </w:rPr>
                    <w:t>1.848</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350</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15%</w:t>
                  </w: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lang w:val="en-US"/>
                    </w:rPr>
                    <w:t>1.571</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297</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413" w:type="pct"/>
                  <w:vAlign w:val="center"/>
                </w:tcPr>
                <w:p>
                  <w:pPr>
                    <w:jc w:val="center"/>
                    <w:rPr>
                      <w:rFonts w:ascii="Times New Roman" w:hAnsi="Times New Roman"/>
                      <w:lang w:val="en-US"/>
                    </w:rPr>
                  </w:pPr>
                  <w:r>
                    <w:rPr>
                      <w:rFonts w:ascii="Times New Roman" w:hAnsi="Times New Roman"/>
                      <w:lang w:val="en-US"/>
                    </w:rPr>
                    <w:t>1.056</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200</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9%</w:t>
                  </w: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lang w:val="en-US"/>
                    </w:rPr>
                    <w:t>0.855</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182</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NH</w:t>
                  </w:r>
                  <w:r>
                    <w:rPr>
                      <w:rFonts w:ascii="Times New Roman" w:hAnsi="Times New Roman"/>
                      <w:vertAlign w:val="subscript"/>
                      <w:lang w:val="en-US"/>
                    </w:rPr>
                    <w:t>3</w:t>
                  </w:r>
                  <w:r>
                    <w:rPr>
                      <w:rFonts w:ascii="Times New Roman" w:hAnsi="Times New Roman"/>
                      <w:lang w:val="en-US"/>
                    </w:rPr>
                    <w:t>-N</w:t>
                  </w:r>
                </w:p>
              </w:tc>
              <w:tc>
                <w:tcPr>
                  <w:tcW w:w="413" w:type="pct"/>
                  <w:vAlign w:val="center"/>
                </w:tcPr>
                <w:p>
                  <w:pPr>
                    <w:jc w:val="center"/>
                    <w:rPr>
                      <w:rFonts w:ascii="Times New Roman" w:hAnsi="Times New Roman"/>
                      <w:lang w:val="en-US"/>
                    </w:rPr>
                  </w:pPr>
                  <w:r>
                    <w:rPr>
                      <w:rFonts w:ascii="Times New Roman" w:hAnsi="Times New Roman"/>
                      <w:lang w:val="en-US"/>
                    </w:rPr>
                    <w:t>0.158</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30</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5%</w:t>
                  </w: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lang w:val="en-US"/>
                    </w:rPr>
                    <w:t>0.15</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28</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TP</w:t>
                  </w:r>
                </w:p>
              </w:tc>
              <w:tc>
                <w:tcPr>
                  <w:tcW w:w="413" w:type="pct"/>
                  <w:vAlign w:val="center"/>
                </w:tcPr>
                <w:p>
                  <w:pPr>
                    <w:jc w:val="center"/>
                    <w:rPr>
                      <w:rFonts w:ascii="Times New Roman" w:hAnsi="Times New Roman"/>
                      <w:lang w:val="en-US"/>
                    </w:rPr>
                  </w:pPr>
                  <w:r>
                    <w:rPr>
                      <w:rFonts w:ascii="Times New Roman" w:hAnsi="Times New Roman"/>
                      <w:lang w:val="en-US"/>
                    </w:rPr>
                    <w:t>0.026</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5</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3%</w:t>
                  </w: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lang w:val="en-US"/>
                    </w:rPr>
                    <w:t>0.025</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4.85</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动植物油</w:t>
                  </w:r>
                </w:p>
              </w:tc>
              <w:tc>
                <w:tcPr>
                  <w:tcW w:w="413" w:type="pct"/>
                  <w:vAlign w:val="center"/>
                </w:tcPr>
                <w:p>
                  <w:pPr>
                    <w:jc w:val="center"/>
                    <w:rPr>
                      <w:rFonts w:ascii="Times New Roman" w:hAnsi="Times New Roman"/>
                      <w:lang w:val="en-US"/>
                    </w:rPr>
                  </w:pPr>
                  <w:r>
                    <w:rPr>
                      <w:rFonts w:ascii="Times New Roman" w:hAnsi="Times New Roman"/>
                      <w:lang w:val="en-US"/>
                    </w:rPr>
                    <w:t>0.106</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20</w:t>
                  </w:r>
                </w:p>
              </w:tc>
              <w:tc>
                <w:tcPr>
                  <w:tcW w:w="495" w:type="pct"/>
                  <w:vMerge w:val="continue"/>
                  <w:vAlign w:val="center"/>
                </w:tcPr>
                <w:p>
                  <w:pPr>
                    <w:adjustRightInd w:val="0"/>
                    <w:snapToGrid w:val="0"/>
                    <w:jc w:val="center"/>
                    <w:rPr>
                      <w:rFonts w:ascii="Times New Roman" w:hAnsi="Times New Roman"/>
                      <w:lang w:val="en-US"/>
                    </w:rPr>
                  </w:pPr>
                </w:p>
              </w:tc>
              <w:tc>
                <w:tcPr>
                  <w:tcW w:w="494" w:type="pct"/>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50%</w:t>
                  </w:r>
                </w:p>
              </w:tc>
              <w:tc>
                <w:tcPr>
                  <w:tcW w:w="257" w:type="pct"/>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lang w:val="en-US"/>
                    </w:rPr>
                    <w:t>0.053</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10</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vAlign w:val="center"/>
                </w:tcPr>
                <w:p>
                  <w:pPr>
                    <w:adjustRightInd w:val="0"/>
                    <w:snapToGrid w:val="0"/>
                    <w:jc w:val="center"/>
                    <w:rPr>
                      <w:rFonts w:ascii="Times New Roman" w:hAnsi="Times New Roman"/>
                      <w:lang w:val="en-US"/>
                    </w:rPr>
                  </w:pPr>
                  <w:r>
                    <w:rPr>
                      <w:rFonts w:ascii="Times New Roman" w:hAnsi="Times New Roman"/>
                    </w:rPr>
                    <w:t>清洗废水</w:t>
                  </w:r>
                  <w:r>
                    <w:rPr>
                      <w:rFonts w:ascii="Times New Roman" w:hAnsi="Times New Roman"/>
                      <w:lang w:val="en-US"/>
                    </w:rPr>
                    <w:t>8058t/a</w:t>
                  </w: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PH</w:t>
                  </w:r>
                </w:p>
              </w:tc>
              <w:tc>
                <w:tcPr>
                  <w:tcW w:w="826" w:type="pct"/>
                  <w:gridSpan w:val="2"/>
                  <w:vAlign w:val="center"/>
                </w:tcPr>
                <w:p>
                  <w:pPr>
                    <w:adjustRightInd w:val="0"/>
                    <w:snapToGrid w:val="0"/>
                    <w:jc w:val="center"/>
                    <w:rPr>
                      <w:rFonts w:ascii="Times New Roman" w:hAnsi="Times New Roman"/>
                      <w:lang w:val="en-US"/>
                    </w:rPr>
                  </w:pPr>
                  <w:r>
                    <w:rPr>
                      <w:rFonts w:ascii="Times New Roman" w:hAnsi="Times New Roman"/>
                      <w:lang w:val="en-US"/>
                    </w:rPr>
                    <w:t>8-9</w:t>
                  </w:r>
                </w:p>
              </w:tc>
              <w:tc>
                <w:tcPr>
                  <w:tcW w:w="495" w:type="pct"/>
                  <w:vMerge w:val="restart"/>
                  <w:vAlign w:val="center"/>
                </w:tcPr>
                <w:p>
                  <w:pPr>
                    <w:adjustRightInd w:val="0"/>
                    <w:snapToGrid w:val="0"/>
                    <w:jc w:val="center"/>
                    <w:rPr>
                      <w:rFonts w:ascii="Times New Roman" w:hAnsi="Times New Roman"/>
                      <w:lang w:val="en-US"/>
                    </w:rPr>
                  </w:pPr>
                  <w:r>
                    <w:rPr>
                      <w:rFonts w:ascii="Times New Roman" w:hAnsi="Times New Roman"/>
                    </w:rPr>
                    <w:t>调节池</w:t>
                  </w:r>
                  <w:r>
                    <w:rPr>
                      <w:rFonts w:ascii="Times New Roman" w:hAnsi="Times New Roman"/>
                      <w:lang w:val="en-US"/>
                    </w:rPr>
                    <w:t>+</w:t>
                  </w:r>
                  <w:r>
                    <w:rPr>
                      <w:rFonts w:ascii="Times New Roman" w:hAnsi="Times New Roman"/>
                    </w:rPr>
                    <w:t>混凝池</w:t>
                  </w:r>
                  <w:r>
                    <w:rPr>
                      <w:rFonts w:ascii="Times New Roman" w:hAnsi="Times New Roman"/>
                      <w:lang w:val="en-US"/>
                    </w:rPr>
                    <w:t>+</w:t>
                  </w:r>
                  <w:r>
                    <w:rPr>
                      <w:rFonts w:ascii="Times New Roman" w:hAnsi="Times New Roman"/>
                    </w:rPr>
                    <w:t>沉淀池</w:t>
                  </w:r>
                </w:p>
              </w:tc>
              <w:tc>
                <w:tcPr>
                  <w:tcW w:w="494"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30m</w:t>
                  </w:r>
                  <w:r>
                    <w:rPr>
                      <w:rFonts w:ascii="Times New Roman" w:hAnsi="Times New Roman"/>
                      <w:vertAlign w:val="superscript"/>
                      <w:lang w:val="en-US"/>
                    </w:rPr>
                    <w:t>3</w:t>
                  </w:r>
                  <w:r>
                    <w:rPr>
                      <w:rFonts w:ascii="Times New Roman" w:hAnsi="Times New Roman"/>
                      <w:lang w:val="en-US"/>
                    </w:rPr>
                    <w:t>/d</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257" w:type="pct"/>
                  <w:vMerge w:val="restart"/>
                  <w:vAlign w:val="center"/>
                </w:tcPr>
                <w:p>
                  <w:pPr>
                    <w:adjustRightInd w:val="0"/>
                    <w:snapToGrid w:val="0"/>
                    <w:jc w:val="center"/>
                    <w:rPr>
                      <w:rFonts w:ascii="Times New Roman" w:hAnsi="Times New Roman"/>
                      <w:lang w:val="en-US"/>
                    </w:rPr>
                  </w:pPr>
                  <w:r>
                    <w:rPr>
                      <w:rFonts w:ascii="Times New Roman" w:hAnsi="Times New Roman"/>
                    </w:rPr>
                    <w:t>是</w:t>
                  </w:r>
                </w:p>
              </w:tc>
              <w:tc>
                <w:tcPr>
                  <w:tcW w:w="897" w:type="pct"/>
                  <w:gridSpan w:val="2"/>
                  <w:vAlign w:val="center"/>
                </w:tcPr>
                <w:p>
                  <w:pPr>
                    <w:adjustRightInd w:val="0"/>
                    <w:snapToGrid w:val="0"/>
                    <w:jc w:val="center"/>
                    <w:rPr>
                      <w:rFonts w:ascii="Times New Roman" w:hAnsi="Times New Roman"/>
                      <w:lang w:val="en-US"/>
                    </w:rPr>
                  </w:pPr>
                  <w:r>
                    <w:rPr>
                      <w:rFonts w:ascii="Times New Roman" w:hAnsi="Times New Roman"/>
                      <w:lang w:val="en-US"/>
                    </w:rPr>
                    <w:t>8-9</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COD</w:t>
                  </w:r>
                </w:p>
              </w:tc>
              <w:tc>
                <w:tcPr>
                  <w:tcW w:w="413" w:type="pct"/>
                  <w:vAlign w:val="center"/>
                </w:tcPr>
                <w:p>
                  <w:pPr>
                    <w:jc w:val="center"/>
                    <w:rPr>
                      <w:rFonts w:ascii="Times New Roman" w:hAnsi="Times New Roman"/>
                      <w:lang w:val="en-US"/>
                    </w:rPr>
                  </w:pPr>
                  <w:r>
                    <w:rPr>
                      <w:rFonts w:ascii="Times New Roman" w:hAnsi="Times New Roman"/>
                      <w:lang w:val="en-US"/>
                    </w:rPr>
                    <w:t>2.353</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292</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48%</w:t>
                  </w:r>
                </w:p>
              </w:tc>
              <w:tc>
                <w:tcPr>
                  <w:tcW w:w="257" w:type="pct"/>
                  <w:vMerge w:val="continue"/>
                  <w:vAlign w:val="center"/>
                </w:tcPr>
                <w:p>
                  <w:pPr>
                    <w:adjustRightInd w:val="0"/>
                    <w:snapToGrid w:val="0"/>
                    <w:jc w:val="center"/>
                    <w:rPr>
                      <w:rFonts w:ascii="Times New Roman" w:hAnsi="Times New Roman"/>
                      <w:lang w:val="en-US"/>
                    </w:rPr>
                  </w:pPr>
                </w:p>
              </w:tc>
              <w:tc>
                <w:tcPr>
                  <w:tcW w:w="484" w:type="pct"/>
                  <w:vAlign w:val="bottom"/>
                </w:tcPr>
                <w:p>
                  <w:pPr>
                    <w:adjustRightInd w:val="0"/>
                    <w:snapToGrid w:val="0"/>
                    <w:jc w:val="center"/>
                    <w:rPr>
                      <w:rFonts w:ascii="Times New Roman" w:hAnsi="Times New Roman"/>
                      <w:lang w:val="en-US"/>
                    </w:rPr>
                  </w:pPr>
                  <w:r>
                    <w:rPr>
                      <w:rFonts w:ascii="Times New Roman" w:hAnsi="Times New Roman" w:eastAsia="等线"/>
                      <w:lang w:val="en-US"/>
                    </w:rPr>
                    <w:t>1.217</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151</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BOD</w:t>
                  </w:r>
                  <w:r>
                    <w:rPr>
                      <w:rFonts w:ascii="Times New Roman" w:hAnsi="Times New Roman"/>
                      <w:vertAlign w:val="subscript"/>
                      <w:lang w:val="en-US"/>
                    </w:rPr>
                    <w:t>5</w:t>
                  </w:r>
                </w:p>
              </w:tc>
              <w:tc>
                <w:tcPr>
                  <w:tcW w:w="413" w:type="pct"/>
                  <w:vAlign w:val="center"/>
                </w:tcPr>
                <w:p>
                  <w:pPr>
                    <w:jc w:val="center"/>
                    <w:rPr>
                      <w:rFonts w:ascii="Times New Roman" w:hAnsi="Times New Roman"/>
                      <w:lang w:val="en-US"/>
                    </w:rPr>
                  </w:pPr>
                  <w:r>
                    <w:rPr>
                      <w:rFonts w:ascii="Times New Roman" w:hAnsi="Times New Roman"/>
                      <w:lang w:val="en-US"/>
                    </w:rPr>
                    <w:t>0.446</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55.3</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8.9%</w:t>
                  </w:r>
                </w:p>
              </w:tc>
              <w:tc>
                <w:tcPr>
                  <w:tcW w:w="257" w:type="pct"/>
                  <w:vMerge w:val="continue"/>
                  <w:vAlign w:val="center"/>
                </w:tcPr>
                <w:p>
                  <w:pPr>
                    <w:adjustRightInd w:val="0"/>
                    <w:snapToGrid w:val="0"/>
                    <w:jc w:val="center"/>
                    <w:rPr>
                      <w:rFonts w:ascii="Times New Roman" w:hAnsi="Times New Roman"/>
                      <w:lang w:val="en-US"/>
                    </w:rPr>
                  </w:pPr>
                </w:p>
              </w:tc>
              <w:tc>
                <w:tcPr>
                  <w:tcW w:w="484" w:type="pct"/>
                  <w:vAlign w:val="bottom"/>
                </w:tcPr>
                <w:p>
                  <w:pPr>
                    <w:adjustRightInd w:val="0"/>
                    <w:snapToGrid w:val="0"/>
                    <w:jc w:val="center"/>
                    <w:rPr>
                      <w:rFonts w:ascii="Times New Roman" w:hAnsi="Times New Roman"/>
                      <w:lang w:val="en-US"/>
                    </w:rPr>
                  </w:pPr>
                  <w:r>
                    <w:rPr>
                      <w:rFonts w:ascii="Times New Roman" w:hAnsi="Times New Roman" w:eastAsia="等线"/>
                      <w:lang w:val="en-US"/>
                    </w:rPr>
                    <w:t>0.403</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50</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413" w:type="pct"/>
                  <w:vAlign w:val="center"/>
                </w:tcPr>
                <w:p>
                  <w:pPr>
                    <w:jc w:val="center"/>
                    <w:rPr>
                      <w:rFonts w:ascii="Times New Roman" w:hAnsi="Times New Roman"/>
                      <w:lang w:val="en-US"/>
                    </w:rPr>
                  </w:pPr>
                  <w:r>
                    <w:rPr>
                      <w:rFonts w:ascii="Times New Roman" w:hAnsi="Times New Roman"/>
                      <w:lang w:val="en-US"/>
                    </w:rPr>
                    <w:t>1.708</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212</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29%</w:t>
                  </w:r>
                </w:p>
              </w:tc>
              <w:tc>
                <w:tcPr>
                  <w:tcW w:w="257" w:type="pct"/>
                  <w:vMerge w:val="continue"/>
                  <w:vAlign w:val="center"/>
                </w:tcPr>
                <w:p>
                  <w:pPr>
                    <w:adjustRightInd w:val="0"/>
                    <w:snapToGrid w:val="0"/>
                    <w:jc w:val="center"/>
                    <w:rPr>
                      <w:rFonts w:ascii="Times New Roman" w:hAnsi="Times New Roman"/>
                      <w:lang w:val="en-US"/>
                    </w:rPr>
                  </w:pPr>
                </w:p>
              </w:tc>
              <w:tc>
                <w:tcPr>
                  <w:tcW w:w="484" w:type="pct"/>
                  <w:vAlign w:val="bottom"/>
                </w:tcPr>
                <w:p>
                  <w:pPr>
                    <w:adjustRightInd w:val="0"/>
                    <w:snapToGrid w:val="0"/>
                    <w:jc w:val="center"/>
                    <w:rPr>
                      <w:rFonts w:ascii="Times New Roman" w:hAnsi="Times New Roman"/>
                      <w:lang w:val="en-US"/>
                    </w:rPr>
                  </w:pPr>
                  <w:r>
                    <w:rPr>
                      <w:rFonts w:ascii="Times New Roman" w:hAnsi="Times New Roman" w:eastAsia="等线"/>
                      <w:lang w:val="en-US"/>
                    </w:rPr>
                    <w:t>1.209</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150</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NH</w:t>
                  </w:r>
                  <w:r>
                    <w:rPr>
                      <w:rFonts w:ascii="Times New Roman" w:hAnsi="Times New Roman"/>
                      <w:vertAlign w:val="subscript"/>
                      <w:lang w:val="en-US"/>
                    </w:rPr>
                    <w:t>3</w:t>
                  </w:r>
                  <w:r>
                    <w:rPr>
                      <w:rFonts w:ascii="Times New Roman" w:hAnsi="Times New Roman"/>
                      <w:lang w:val="en-US"/>
                    </w:rPr>
                    <w:t>-N</w:t>
                  </w:r>
                </w:p>
              </w:tc>
              <w:tc>
                <w:tcPr>
                  <w:tcW w:w="413" w:type="pct"/>
                  <w:vAlign w:val="center"/>
                </w:tcPr>
                <w:p>
                  <w:pPr>
                    <w:jc w:val="center"/>
                    <w:rPr>
                      <w:rFonts w:ascii="Times New Roman" w:hAnsi="Times New Roman"/>
                      <w:lang w:val="en-US"/>
                    </w:rPr>
                  </w:pPr>
                  <w:r>
                    <w:rPr>
                      <w:rFonts w:ascii="Times New Roman" w:hAnsi="Times New Roman"/>
                      <w:lang w:val="en-US"/>
                    </w:rPr>
                    <w:t>0.14</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17.4</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13%</w:t>
                  </w:r>
                </w:p>
              </w:tc>
              <w:tc>
                <w:tcPr>
                  <w:tcW w:w="257" w:type="pct"/>
                  <w:vMerge w:val="continue"/>
                  <w:vAlign w:val="center"/>
                </w:tcPr>
                <w:p>
                  <w:pPr>
                    <w:adjustRightInd w:val="0"/>
                    <w:snapToGrid w:val="0"/>
                    <w:jc w:val="center"/>
                    <w:rPr>
                      <w:rFonts w:ascii="Times New Roman" w:hAnsi="Times New Roman"/>
                      <w:lang w:val="en-US"/>
                    </w:rPr>
                  </w:pPr>
                </w:p>
              </w:tc>
              <w:tc>
                <w:tcPr>
                  <w:tcW w:w="484" w:type="pct"/>
                  <w:vAlign w:val="bottom"/>
                </w:tcPr>
                <w:p>
                  <w:pPr>
                    <w:adjustRightInd w:val="0"/>
                    <w:snapToGrid w:val="0"/>
                    <w:jc w:val="center"/>
                    <w:rPr>
                      <w:rFonts w:ascii="Times New Roman" w:hAnsi="Times New Roman"/>
                      <w:lang w:val="en-US"/>
                    </w:rPr>
                  </w:pPr>
                  <w:r>
                    <w:rPr>
                      <w:rFonts w:ascii="Times New Roman" w:hAnsi="Times New Roman" w:eastAsia="等线"/>
                      <w:lang w:val="en-US"/>
                    </w:rPr>
                    <w:t>0.121</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15</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LAS</w:t>
                  </w:r>
                </w:p>
              </w:tc>
              <w:tc>
                <w:tcPr>
                  <w:tcW w:w="413" w:type="pct"/>
                  <w:vAlign w:val="center"/>
                </w:tcPr>
                <w:p>
                  <w:pPr>
                    <w:jc w:val="center"/>
                    <w:rPr>
                      <w:rFonts w:ascii="Times New Roman" w:hAnsi="Times New Roman"/>
                      <w:lang w:val="en-US"/>
                    </w:rPr>
                  </w:pPr>
                  <w:r>
                    <w:rPr>
                      <w:rFonts w:ascii="Times New Roman" w:hAnsi="Times New Roman"/>
                      <w:lang w:val="en-US"/>
                    </w:rPr>
                    <w:t>0.242</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30</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50%</w:t>
                  </w:r>
                </w:p>
              </w:tc>
              <w:tc>
                <w:tcPr>
                  <w:tcW w:w="257" w:type="pct"/>
                  <w:vMerge w:val="continue"/>
                  <w:vAlign w:val="center"/>
                </w:tcPr>
                <w:p>
                  <w:pPr>
                    <w:adjustRightInd w:val="0"/>
                    <w:snapToGrid w:val="0"/>
                    <w:jc w:val="center"/>
                    <w:rPr>
                      <w:rFonts w:ascii="Times New Roman" w:hAnsi="Times New Roman"/>
                      <w:lang w:val="en-US"/>
                    </w:rPr>
                  </w:pPr>
                </w:p>
              </w:tc>
              <w:tc>
                <w:tcPr>
                  <w:tcW w:w="484" w:type="pct"/>
                  <w:vAlign w:val="bottom"/>
                </w:tcPr>
                <w:p>
                  <w:pPr>
                    <w:adjustRightInd w:val="0"/>
                    <w:snapToGrid w:val="0"/>
                    <w:jc w:val="center"/>
                    <w:rPr>
                      <w:rFonts w:ascii="Times New Roman" w:hAnsi="Times New Roman"/>
                      <w:lang w:val="en-US"/>
                    </w:rPr>
                  </w:pPr>
                  <w:r>
                    <w:rPr>
                      <w:rFonts w:ascii="Times New Roman" w:hAnsi="Times New Roman" w:eastAsia="等线"/>
                      <w:lang w:val="en-US"/>
                    </w:rPr>
                    <w:t>0.121</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15</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15" w:type="pct"/>
                  <w:vAlign w:val="center"/>
                </w:tcPr>
                <w:p>
                  <w:pPr>
                    <w:adjustRightInd w:val="0"/>
                    <w:snapToGrid w:val="0"/>
                    <w:jc w:val="center"/>
                    <w:rPr>
                      <w:rFonts w:ascii="Times New Roman" w:hAnsi="Times New Roman"/>
                      <w:lang w:val="en-US"/>
                    </w:rPr>
                  </w:pPr>
                  <w:r>
                    <w:rPr>
                      <w:rFonts w:ascii="Times New Roman" w:hAnsi="Times New Roman"/>
                    </w:rPr>
                    <w:t>玻璃浸泡废水</w:t>
                  </w:r>
                  <w:r>
                    <w:rPr>
                      <w:rFonts w:ascii="Times New Roman" w:hAnsi="Times New Roman"/>
                      <w:lang w:val="en-US"/>
                    </w:rPr>
                    <w:t>340.2t/a</w:t>
                  </w: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413" w:type="pct"/>
                  <w:vAlign w:val="center"/>
                </w:tcPr>
                <w:p>
                  <w:pPr>
                    <w:jc w:val="center"/>
                    <w:rPr>
                      <w:rFonts w:ascii="Times New Roman" w:hAnsi="Times New Roman"/>
                      <w:lang w:val="en-US"/>
                    </w:rPr>
                  </w:pPr>
                  <w:r>
                    <w:rPr>
                      <w:rFonts w:ascii="Times New Roman" w:hAnsi="Times New Roman"/>
                      <w:lang w:val="en-US"/>
                    </w:rPr>
                    <w:t>0.068</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200</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29%</w:t>
                  </w:r>
                </w:p>
              </w:tc>
              <w:tc>
                <w:tcPr>
                  <w:tcW w:w="257" w:type="pct"/>
                  <w:vAlign w:val="center"/>
                </w:tcPr>
                <w:p>
                  <w:pPr>
                    <w:adjustRightInd w:val="0"/>
                    <w:snapToGrid w:val="0"/>
                    <w:jc w:val="center"/>
                    <w:rPr>
                      <w:rFonts w:ascii="Times New Roman" w:hAnsi="Times New Roman"/>
                      <w:lang w:val="en-US"/>
                    </w:rPr>
                  </w:pPr>
                  <w:r>
                    <w:rPr>
                      <w:rFonts w:ascii="Times New Roman" w:hAnsi="Times New Roman"/>
                    </w:rPr>
                    <w:t>是</w:t>
                  </w:r>
                </w:p>
              </w:tc>
              <w:tc>
                <w:tcPr>
                  <w:tcW w:w="484" w:type="pct"/>
                  <w:vAlign w:val="center"/>
                </w:tcPr>
                <w:p>
                  <w:pPr>
                    <w:adjustRightInd w:val="0"/>
                    <w:snapToGrid w:val="0"/>
                    <w:jc w:val="center"/>
                    <w:rPr>
                      <w:rFonts w:ascii="Times New Roman" w:hAnsi="Times New Roman"/>
                      <w:lang w:val="en-US"/>
                    </w:rPr>
                  </w:pPr>
                  <w:r>
                    <w:rPr>
                      <w:rFonts w:ascii="Times New Roman" w:hAnsi="Times New Roman"/>
                      <w:lang w:val="en-US"/>
                    </w:rPr>
                    <w:t>0.048</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142</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15" w:type="pct"/>
                  <w:vMerge w:val="restart"/>
                  <w:vAlign w:val="center"/>
                </w:tcPr>
                <w:p>
                  <w:pPr>
                    <w:adjustRightInd w:val="0"/>
                    <w:snapToGrid w:val="0"/>
                    <w:jc w:val="center"/>
                    <w:rPr>
                      <w:rFonts w:ascii="Times New Roman" w:hAnsi="Times New Roman"/>
                      <w:lang w:val="en-US"/>
                    </w:rPr>
                  </w:pPr>
                  <w:r>
                    <w:rPr>
                      <w:rFonts w:ascii="Times New Roman" w:hAnsi="Times New Roman"/>
                    </w:rPr>
                    <w:t>纯水制备浓水</w:t>
                  </w:r>
                  <w:r>
                    <w:rPr>
                      <w:rFonts w:ascii="Times New Roman" w:hAnsi="Times New Roman"/>
                      <w:lang w:val="en-US"/>
                    </w:rPr>
                    <w:t>6633.82t/a</w:t>
                  </w: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COD</w:t>
                  </w:r>
                </w:p>
              </w:tc>
              <w:tc>
                <w:tcPr>
                  <w:tcW w:w="413" w:type="pct"/>
                  <w:vAlign w:val="center"/>
                </w:tcPr>
                <w:p>
                  <w:pPr>
                    <w:jc w:val="center"/>
                    <w:rPr>
                      <w:rFonts w:ascii="Times New Roman" w:hAnsi="Times New Roman"/>
                      <w:lang w:val="en-US"/>
                    </w:rPr>
                  </w:pPr>
                  <w:r>
                    <w:rPr>
                      <w:rFonts w:ascii="Times New Roman" w:hAnsi="Times New Roman"/>
                      <w:lang w:val="en-US"/>
                    </w:rPr>
                    <w:t>0.199</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30</w:t>
                  </w:r>
                </w:p>
              </w:tc>
              <w:tc>
                <w:tcPr>
                  <w:tcW w:w="495"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494"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413"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257"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484" w:type="pct"/>
                  <w:vAlign w:val="center"/>
                </w:tcPr>
                <w:p>
                  <w:pPr>
                    <w:adjustRightInd w:val="0"/>
                    <w:snapToGrid w:val="0"/>
                    <w:jc w:val="center"/>
                    <w:rPr>
                      <w:rFonts w:ascii="Times New Roman" w:hAnsi="Times New Roman"/>
                      <w:lang w:val="en-US"/>
                    </w:rPr>
                  </w:pPr>
                  <w:r>
                    <w:rPr>
                      <w:rFonts w:ascii="Times New Roman" w:hAnsi="Times New Roman"/>
                      <w:lang w:val="en-US"/>
                    </w:rPr>
                    <w:t>0.199</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30</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413" w:type="pct"/>
                  <w:vAlign w:val="center"/>
                </w:tcPr>
                <w:p>
                  <w:pPr>
                    <w:jc w:val="center"/>
                    <w:rPr>
                      <w:rFonts w:ascii="Times New Roman" w:hAnsi="Times New Roman"/>
                      <w:lang w:val="en-US"/>
                    </w:rPr>
                  </w:pPr>
                  <w:r>
                    <w:rPr>
                      <w:rFonts w:ascii="Times New Roman" w:hAnsi="Times New Roman"/>
                      <w:lang w:val="en-US"/>
                    </w:rPr>
                    <w:t>0.398</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60</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Merge w:val="continue"/>
                  <w:vAlign w:val="center"/>
                </w:tcPr>
                <w:p>
                  <w:pPr>
                    <w:adjustRightInd w:val="0"/>
                    <w:snapToGrid w:val="0"/>
                    <w:jc w:val="center"/>
                    <w:rPr>
                      <w:rFonts w:ascii="Times New Roman" w:hAnsi="Times New Roman"/>
                      <w:lang w:val="en-US"/>
                    </w:rPr>
                  </w:pP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lang w:val="en-US"/>
                    </w:rPr>
                    <w:t>0.398</w:t>
                  </w:r>
                </w:p>
              </w:tc>
              <w:tc>
                <w:tcPr>
                  <w:tcW w:w="413" w:type="pct"/>
                  <w:vAlign w:val="center"/>
                </w:tcPr>
                <w:p>
                  <w:pPr>
                    <w:adjustRightInd w:val="0"/>
                    <w:snapToGrid w:val="0"/>
                    <w:jc w:val="center"/>
                    <w:rPr>
                      <w:rFonts w:ascii="Times New Roman" w:hAnsi="Times New Roman"/>
                      <w:lang w:val="en-US"/>
                    </w:rPr>
                  </w:pPr>
                  <w:r>
                    <w:rPr>
                      <w:rFonts w:ascii="Times New Roman" w:hAnsi="Times New Roman"/>
                      <w:lang w:val="en-US"/>
                    </w:rPr>
                    <w:t>60</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vAlign w:val="center"/>
                </w:tcPr>
                <w:p>
                  <w:pPr>
                    <w:adjustRightInd w:val="0"/>
                    <w:snapToGrid w:val="0"/>
                    <w:jc w:val="center"/>
                    <w:rPr>
                      <w:rFonts w:ascii="Times New Roman" w:hAnsi="Times New Roman"/>
                      <w:lang w:val="en-US"/>
                    </w:rPr>
                  </w:pPr>
                  <w:r>
                    <w:rPr>
                      <w:rFonts w:ascii="Times New Roman" w:hAnsi="Times New Roman"/>
                    </w:rPr>
                    <w:t>综合废水</w:t>
                  </w:r>
                  <w:r>
                    <w:rPr>
                      <w:rFonts w:ascii="Times New Roman" w:hAnsi="Times New Roman"/>
                      <w:lang w:val="en-US"/>
                    </w:rPr>
                    <w:t>20312.02t/a</w:t>
                  </w: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PH</w:t>
                  </w:r>
                </w:p>
              </w:tc>
              <w:tc>
                <w:tcPr>
                  <w:tcW w:w="826" w:type="pct"/>
                  <w:gridSpan w:val="2"/>
                  <w:vAlign w:val="center"/>
                </w:tcPr>
                <w:p>
                  <w:pPr>
                    <w:adjustRightInd w:val="0"/>
                    <w:snapToGrid w:val="0"/>
                    <w:jc w:val="center"/>
                    <w:rPr>
                      <w:rFonts w:ascii="Times New Roman" w:hAnsi="Times New Roman"/>
                      <w:lang w:val="en-US"/>
                    </w:rPr>
                  </w:pPr>
                  <w:r>
                    <w:rPr>
                      <w:rFonts w:ascii="Times New Roman" w:hAnsi="Times New Roman"/>
                      <w:lang w:val="en-US"/>
                    </w:rPr>
                    <w:t>6-9</w:t>
                  </w:r>
                </w:p>
              </w:tc>
              <w:tc>
                <w:tcPr>
                  <w:tcW w:w="495"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494"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413"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257" w:type="pct"/>
                  <w:vMerge w:val="restart"/>
                  <w:vAlign w:val="center"/>
                </w:tcPr>
                <w:p>
                  <w:pPr>
                    <w:adjustRightInd w:val="0"/>
                    <w:snapToGrid w:val="0"/>
                    <w:jc w:val="center"/>
                    <w:rPr>
                      <w:rFonts w:ascii="Times New Roman" w:hAnsi="Times New Roman"/>
                      <w:lang w:val="en-US"/>
                    </w:rPr>
                  </w:pPr>
                  <w:r>
                    <w:rPr>
                      <w:rFonts w:ascii="Times New Roman" w:hAnsi="Times New Roman"/>
                      <w:lang w:val="en-US"/>
                    </w:rPr>
                    <w:t>/</w:t>
                  </w:r>
                </w:p>
              </w:tc>
              <w:tc>
                <w:tcPr>
                  <w:tcW w:w="897" w:type="pct"/>
                  <w:gridSpan w:val="2"/>
                  <w:vAlign w:val="center"/>
                </w:tcPr>
                <w:p>
                  <w:pPr>
                    <w:adjustRightInd w:val="0"/>
                    <w:snapToGrid w:val="0"/>
                    <w:jc w:val="center"/>
                    <w:rPr>
                      <w:rFonts w:ascii="Times New Roman" w:hAnsi="Times New Roman"/>
                      <w:lang w:val="en-US"/>
                    </w:rPr>
                  </w:pPr>
                  <w:r>
                    <w:rPr>
                      <w:rFonts w:ascii="Times New Roman" w:hAnsi="Times New Roman"/>
                      <w:lang w:val="en-US"/>
                    </w:rPr>
                    <w:t>6-9</w:t>
                  </w:r>
                </w:p>
              </w:tc>
              <w:tc>
                <w:tcPr>
                  <w:tcW w:w="249" w:type="pct"/>
                  <w:vMerge w:val="restart"/>
                  <w:vAlign w:val="center"/>
                </w:tcPr>
                <w:p>
                  <w:pPr>
                    <w:adjustRightInd w:val="0"/>
                    <w:snapToGrid w:val="0"/>
                    <w:jc w:val="center"/>
                    <w:rPr>
                      <w:rFonts w:ascii="Times New Roman" w:hAnsi="Times New Roman"/>
                      <w:lang w:val="en-US"/>
                    </w:rPr>
                  </w:pPr>
                  <w:r>
                    <w:rPr>
                      <w:rFonts w:ascii="Times New Roman" w:hAnsi="Times New Roman"/>
                    </w:rPr>
                    <w:t>桂集镇污水处理厂</w:t>
                  </w: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COD</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4.4</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216.62</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Merge w:val="continue"/>
                  <w:vAlign w:val="center"/>
                </w:tcPr>
                <w:p>
                  <w:pPr>
                    <w:adjustRightInd w:val="0"/>
                    <w:snapToGrid w:val="0"/>
                    <w:jc w:val="center"/>
                    <w:rPr>
                      <w:rFonts w:ascii="Times New Roman" w:hAnsi="Times New Roman"/>
                      <w:lang w:val="en-US"/>
                    </w:rPr>
                  </w:pP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eastAsia="等线"/>
                      <w:lang w:val="en-US"/>
                    </w:rPr>
                    <w:t>2.987</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147.06</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BOD</w:t>
                  </w:r>
                  <w:r>
                    <w:rPr>
                      <w:rFonts w:ascii="Times New Roman" w:hAnsi="Times New Roman"/>
                      <w:vertAlign w:val="subscript"/>
                      <w:lang w:val="en-US"/>
                    </w:rPr>
                    <w:t>5</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0.446</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21.96</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Merge w:val="continue"/>
                  <w:vAlign w:val="center"/>
                </w:tcPr>
                <w:p>
                  <w:pPr>
                    <w:adjustRightInd w:val="0"/>
                    <w:snapToGrid w:val="0"/>
                    <w:jc w:val="center"/>
                    <w:rPr>
                      <w:rFonts w:ascii="Times New Roman" w:hAnsi="Times New Roman"/>
                      <w:lang w:val="en-US"/>
                    </w:rPr>
                  </w:pP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eastAsia="等线"/>
                      <w:lang w:val="en-US"/>
                    </w:rPr>
                    <w:t>0.403</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19.84</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SS</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3.23</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159.02</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Merge w:val="continue"/>
                  <w:vAlign w:val="center"/>
                </w:tcPr>
                <w:p>
                  <w:pPr>
                    <w:adjustRightInd w:val="0"/>
                    <w:snapToGrid w:val="0"/>
                    <w:jc w:val="center"/>
                    <w:rPr>
                      <w:rFonts w:ascii="Times New Roman" w:hAnsi="Times New Roman"/>
                      <w:lang w:val="en-US"/>
                    </w:rPr>
                  </w:pP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eastAsia="等线"/>
                      <w:lang w:val="en-US"/>
                    </w:rPr>
                    <w:t>2.51</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123.57</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NH</w:t>
                  </w:r>
                  <w:r>
                    <w:rPr>
                      <w:rFonts w:ascii="Times New Roman" w:hAnsi="Times New Roman"/>
                      <w:vertAlign w:val="subscript"/>
                      <w:lang w:val="en-US"/>
                    </w:rPr>
                    <w:t>3</w:t>
                  </w:r>
                  <w:r>
                    <w:rPr>
                      <w:rFonts w:ascii="Times New Roman" w:hAnsi="Times New Roman"/>
                      <w:lang w:val="en-US"/>
                    </w:rPr>
                    <w:t>-N</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0.298</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14.67</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Merge w:val="continue"/>
                  <w:vAlign w:val="center"/>
                </w:tcPr>
                <w:p>
                  <w:pPr>
                    <w:adjustRightInd w:val="0"/>
                    <w:snapToGrid w:val="0"/>
                    <w:jc w:val="center"/>
                    <w:rPr>
                      <w:rFonts w:ascii="Times New Roman" w:hAnsi="Times New Roman"/>
                      <w:lang w:val="en-US"/>
                    </w:rPr>
                  </w:pP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eastAsia="等线"/>
                      <w:lang w:val="en-US"/>
                    </w:rPr>
                    <w:t>0.271</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13.34</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LAS</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0.242</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11.91</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Merge w:val="continue"/>
                  <w:vAlign w:val="center"/>
                </w:tcPr>
                <w:p>
                  <w:pPr>
                    <w:adjustRightInd w:val="0"/>
                    <w:snapToGrid w:val="0"/>
                    <w:jc w:val="center"/>
                    <w:rPr>
                      <w:rFonts w:ascii="Times New Roman" w:hAnsi="Times New Roman"/>
                      <w:lang w:val="en-US"/>
                    </w:rPr>
                  </w:pP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eastAsia="等线"/>
                      <w:lang w:val="en-US"/>
                    </w:rPr>
                    <w:t>0.121</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5.96</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TP</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0.026</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1.28</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Merge w:val="continue"/>
                  <w:vAlign w:val="center"/>
                </w:tcPr>
                <w:p>
                  <w:pPr>
                    <w:adjustRightInd w:val="0"/>
                    <w:snapToGrid w:val="0"/>
                    <w:jc w:val="center"/>
                    <w:rPr>
                      <w:rFonts w:ascii="Times New Roman" w:hAnsi="Times New Roman"/>
                      <w:lang w:val="en-US"/>
                    </w:rPr>
                  </w:pP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eastAsia="等线"/>
                      <w:lang w:val="en-US"/>
                    </w:rPr>
                    <w:t>0.025</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1.23</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vAlign w:val="center"/>
                </w:tcPr>
                <w:p>
                  <w:pPr>
                    <w:adjustRightInd w:val="0"/>
                    <w:snapToGrid w:val="0"/>
                    <w:jc w:val="center"/>
                    <w:rPr>
                      <w:rFonts w:ascii="Times New Roman" w:hAnsi="Times New Roman"/>
                      <w:lang w:val="en-US"/>
                    </w:rPr>
                  </w:pPr>
                </w:p>
              </w:tc>
              <w:tc>
                <w:tcPr>
                  <w:tcW w:w="498" w:type="pct"/>
                  <w:vAlign w:val="center"/>
                </w:tcPr>
                <w:p>
                  <w:pPr>
                    <w:adjustRightInd w:val="0"/>
                    <w:snapToGrid w:val="0"/>
                    <w:jc w:val="center"/>
                    <w:rPr>
                      <w:rFonts w:ascii="Times New Roman" w:hAnsi="Times New Roman"/>
                      <w:lang w:val="en-US"/>
                    </w:rPr>
                  </w:pPr>
                  <w:r>
                    <w:rPr>
                      <w:rFonts w:ascii="Times New Roman" w:hAnsi="Times New Roman"/>
                      <w:lang w:val="en-US"/>
                    </w:rPr>
                    <w:t>动植物油</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0.106</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5.22</w:t>
                  </w:r>
                </w:p>
              </w:tc>
              <w:tc>
                <w:tcPr>
                  <w:tcW w:w="495" w:type="pct"/>
                  <w:vMerge w:val="continue"/>
                  <w:vAlign w:val="center"/>
                </w:tcPr>
                <w:p>
                  <w:pPr>
                    <w:adjustRightInd w:val="0"/>
                    <w:snapToGrid w:val="0"/>
                    <w:jc w:val="center"/>
                    <w:rPr>
                      <w:rFonts w:ascii="Times New Roman" w:hAnsi="Times New Roman"/>
                      <w:lang w:val="en-US"/>
                    </w:rPr>
                  </w:pPr>
                </w:p>
              </w:tc>
              <w:tc>
                <w:tcPr>
                  <w:tcW w:w="494" w:type="pct"/>
                  <w:vMerge w:val="continue"/>
                  <w:vAlign w:val="center"/>
                </w:tcPr>
                <w:p>
                  <w:pPr>
                    <w:adjustRightInd w:val="0"/>
                    <w:snapToGrid w:val="0"/>
                    <w:jc w:val="center"/>
                    <w:rPr>
                      <w:rFonts w:ascii="Times New Roman" w:hAnsi="Times New Roman"/>
                      <w:lang w:val="en-US"/>
                    </w:rPr>
                  </w:pPr>
                </w:p>
              </w:tc>
              <w:tc>
                <w:tcPr>
                  <w:tcW w:w="413" w:type="pct"/>
                  <w:vMerge w:val="continue"/>
                  <w:vAlign w:val="center"/>
                </w:tcPr>
                <w:p>
                  <w:pPr>
                    <w:adjustRightInd w:val="0"/>
                    <w:snapToGrid w:val="0"/>
                    <w:jc w:val="center"/>
                    <w:rPr>
                      <w:rFonts w:ascii="Times New Roman" w:hAnsi="Times New Roman"/>
                      <w:lang w:val="en-US"/>
                    </w:rPr>
                  </w:pPr>
                </w:p>
              </w:tc>
              <w:tc>
                <w:tcPr>
                  <w:tcW w:w="257" w:type="pct"/>
                  <w:vMerge w:val="continue"/>
                  <w:vAlign w:val="center"/>
                </w:tcPr>
                <w:p>
                  <w:pPr>
                    <w:adjustRightInd w:val="0"/>
                    <w:snapToGrid w:val="0"/>
                    <w:jc w:val="center"/>
                    <w:rPr>
                      <w:rFonts w:ascii="Times New Roman" w:hAnsi="Times New Roman"/>
                      <w:lang w:val="en-US"/>
                    </w:rPr>
                  </w:pPr>
                </w:p>
              </w:tc>
              <w:tc>
                <w:tcPr>
                  <w:tcW w:w="484" w:type="pct"/>
                  <w:vAlign w:val="center"/>
                </w:tcPr>
                <w:p>
                  <w:pPr>
                    <w:adjustRightInd w:val="0"/>
                    <w:snapToGrid w:val="0"/>
                    <w:jc w:val="center"/>
                    <w:rPr>
                      <w:rFonts w:ascii="Times New Roman" w:hAnsi="Times New Roman"/>
                      <w:lang w:val="en-US"/>
                    </w:rPr>
                  </w:pPr>
                  <w:r>
                    <w:rPr>
                      <w:rFonts w:ascii="Times New Roman" w:hAnsi="Times New Roman" w:eastAsia="等线"/>
                      <w:lang w:val="en-US"/>
                    </w:rPr>
                    <w:t>0.053</w:t>
                  </w:r>
                </w:p>
              </w:tc>
              <w:tc>
                <w:tcPr>
                  <w:tcW w:w="413" w:type="pct"/>
                  <w:vAlign w:val="center"/>
                </w:tcPr>
                <w:p>
                  <w:pPr>
                    <w:adjustRightInd w:val="0"/>
                    <w:snapToGrid w:val="0"/>
                    <w:jc w:val="center"/>
                    <w:rPr>
                      <w:rFonts w:ascii="Times New Roman" w:hAnsi="Times New Roman"/>
                      <w:lang w:val="en-US"/>
                    </w:rPr>
                  </w:pPr>
                  <w:r>
                    <w:rPr>
                      <w:rFonts w:ascii="Times New Roman" w:hAnsi="Times New Roman" w:eastAsia="等线"/>
                      <w:lang w:val="en-US"/>
                    </w:rPr>
                    <w:t>2.61</w:t>
                  </w:r>
                </w:p>
              </w:tc>
              <w:tc>
                <w:tcPr>
                  <w:tcW w:w="249" w:type="pct"/>
                  <w:vMerge w:val="continue"/>
                  <w:vAlign w:val="center"/>
                </w:tcPr>
                <w:p>
                  <w:pPr>
                    <w:adjustRightInd w:val="0"/>
                    <w:snapToGrid w:val="0"/>
                    <w:jc w:val="center"/>
                    <w:rPr>
                      <w:rFonts w:ascii="Times New Roman" w:hAnsi="Times New Roman"/>
                      <w:lang w:val="en-US"/>
                    </w:rPr>
                  </w:pPr>
                </w:p>
              </w:tc>
              <w:tc>
                <w:tcPr>
                  <w:tcW w:w="356" w:type="pct"/>
                  <w:vAlign w:val="center"/>
                </w:tcPr>
                <w:p>
                  <w:pPr>
                    <w:adjustRightInd w:val="0"/>
                    <w:snapToGrid w:val="0"/>
                    <w:jc w:val="center"/>
                    <w:rPr>
                      <w:rFonts w:ascii="Times New Roman" w:hAnsi="Times New Roman"/>
                      <w:lang w:val="en-US"/>
                    </w:rPr>
                  </w:pPr>
                  <w:r>
                    <w:rPr>
                      <w:rFonts w:ascii="Times New Roman" w:hAnsi="Times New Roman"/>
                      <w:lang w:val="en-US"/>
                    </w:rPr>
                    <w:t>100</w:t>
                  </w:r>
                </w:p>
              </w:tc>
            </w:tr>
            <w:bookmarkEnd w:id="56"/>
          </w:tbl>
          <w:p>
            <w:pPr>
              <w:pStyle w:val="54"/>
              <w:spacing w:line="360" w:lineRule="auto"/>
              <w:ind w:left="420" w:leftChars="200" w:firstLine="0" w:firstLineChars="0"/>
              <w:rPr>
                <w:rFonts w:ascii="Times New Roman" w:hAnsi="Times New Roman"/>
                <w:b/>
                <w:bCs/>
                <w:lang w:val="en-US"/>
              </w:rPr>
            </w:pPr>
            <w:r>
              <w:rPr>
                <w:rFonts w:ascii="Times New Roman" w:hAnsi="Times New Roman"/>
                <w:b/>
                <w:bCs/>
                <w:lang w:val="en-US"/>
              </w:rPr>
              <w:t>2</w:t>
            </w:r>
            <w:r>
              <w:rPr>
                <w:rFonts w:ascii="Times New Roman" w:hAnsi="Times New Roman"/>
                <w:b/>
                <w:bCs/>
              </w:rPr>
              <w:t>、水污染防治措施可行性分析</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根据源强分析，项目废水主要为玻璃浸泡废水、清洗废水、纯水机制备产生浓水和生活污水，其中玻璃浸泡废水、清洗废水、经“调节池+混凝池+沉淀池”处理，生活污水经“隔油池+化粪池”处理后合并，与纯水机制备产生浓水一并经厂区废水排放口排入桂集镇污水处理厂进一步处理。厂区各废水处理系统示意图见图4-3。</w:t>
            </w:r>
          </w:p>
          <w:p>
            <w:pPr>
              <w:pStyle w:val="2"/>
              <w:spacing w:after="0" w:line="360" w:lineRule="auto"/>
              <w:ind w:left="0" w:leftChars="0" w:firstLine="0" w:firstLineChars="0"/>
              <w:jc w:val="center"/>
              <w:rPr>
                <w:rFonts w:ascii="Times New Roman" w:hAnsi="Times New Roman"/>
              </w:rPr>
            </w:pPr>
            <w:r>
              <w:rPr>
                <w:rFonts w:ascii="Times New Roman" w:hAnsi="Times New Roman"/>
                <w:lang w:val="en-US" w:bidi="ar-SA"/>
              </w:rPr>
              <w:drawing>
                <wp:inline distT="0" distB="0" distL="0" distR="0">
                  <wp:extent cx="5174615" cy="2755265"/>
                  <wp:effectExtent l="0" t="0" r="6985"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5256723" cy="2799035"/>
                          </a:xfrm>
                          <a:prstGeom prst="rect">
                            <a:avLst/>
                          </a:prstGeom>
                        </pic:spPr>
                      </pic:pic>
                    </a:graphicData>
                  </a:graphic>
                </wp:inline>
              </w:drawing>
            </w:r>
          </w:p>
          <w:p>
            <w:pPr>
              <w:pStyle w:val="2"/>
              <w:snapToGrid w:val="0"/>
              <w:spacing w:after="0" w:line="440" w:lineRule="exact"/>
              <w:ind w:left="0" w:leftChars="0" w:firstLine="0" w:firstLineChars="0"/>
              <w:jc w:val="center"/>
              <w:rPr>
                <w:rFonts w:ascii="Times New Roman" w:hAnsi="Times New Roman"/>
                <w:b/>
                <w:bCs/>
                <w:szCs w:val="21"/>
              </w:rPr>
            </w:pPr>
            <w:r>
              <w:rPr>
                <w:rFonts w:ascii="Times New Roman" w:hAnsi="Times New Roman"/>
                <w:b/>
                <w:bCs/>
                <w:szCs w:val="21"/>
              </w:rPr>
              <w:t>图4-3  厂区各废水处理系统示意图</w:t>
            </w:r>
          </w:p>
          <w:p>
            <w:pPr>
              <w:pStyle w:val="2"/>
              <w:snapToGrid w:val="0"/>
              <w:spacing w:after="0" w:line="360" w:lineRule="auto"/>
              <w:ind w:left="0" w:leftChars="0" w:firstLine="480"/>
              <w:jc w:val="both"/>
              <w:rPr>
                <w:rFonts w:ascii="Times New Roman" w:hAnsi="Times New Roman"/>
                <w:sz w:val="24"/>
              </w:rPr>
            </w:pPr>
            <w:r>
              <w:rPr>
                <w:rFonts w:hint="eastAsia" w:cs="宋体"/>
                <w:sz w:val="24"/>
              </w:rPr>
              <w:t>①</w:t>
            </w:r>
            <w:r>
              <w:rPr>
                <w:rFonts w:ascii="Times New Roman" w:hAnsi="Times New Roman"/>
                <w:sz w:val="24"/>
              </w:rPr>
              <w:t>生产废水处理工艺可行性分析</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项目生产废水主要为清洗废水和玻璃浸泡废水，主要污染物成分为pH、COD、BOD</w:t>
            </w:r>
            <w:r>
              <w:rPr>
                <w:rFonts w:ascii="Times New Roman" w:hAnsi="Times New Roman"/>
                <w:sz w:val="24"/>
                <w:vertAlign w:val="subscript"/>
              </w:rPr>
              <w:t>5</w:t>
            </w:r>
            <w:r>
              <w:rPr>
                <w:rFonts w:ascii="Times New Roman" w:hAnsi="Times New Roman"/>
                <w:sz w:val="24"/>
              </w:rPr>
              <w:t>、SS、NH</w:t>
            </w:r>
            <w:r>
              <w:rPr>
                <w:rFonts w:ascii="Times New Roman" w:hAnsi="Times New Roman"/>
                <w:sz w:val="24"/>
                <w:vertAlign w:val="subscript"/>
              </w:rPr>
              <w:t>3</w:t>
            </w:r>
            <w:r>
              <w:rPr>
                <w:rFonts w:ascii="Times New Roman" w:hAnsi="Times New Roman"/>
                <w:sz w:val="24"/>
              </w:rPr>
              <w:t>-N、LAS等，具有污染物排放浓度低、污染物种类少的特点。目前，该行业暂无对应的排污许可证申请与核发技术规范。</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根据企业提供的废水设计方案，设计采用“调节池+混凝池+沉淀池”三级絮凝沉淀处理工艺。混凝沉淀法是在废水中投加混凝剂或絮凝剂，使水体中的微小颗粒和溶解于水体中的污染物产生聚合反应，形成较大的团粒絮状物（俗称“矾花”），由于“矾花”的比重大于1，因此，在自身重力的作用下沉淀于水体底部，使污染物与水体分离。</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项目生产废水泵送入调节池后，调整pH为弱碱性，再自流入混凝池+沉淀池，混凝池+沉淀池对COD、SS的去除率分别为48%、29%，进入沉淀池沉淀后的出水泵送入清水箱，与处理后的生活污水一并外排污水处理厂进一步处理。</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本项目废水水质与类比项目水质相似，处理工艺基本相同，因此，在处理水质方面，项目废水采用“调节池+混凝池+沉淀池”三级絮凝沉淀处理工艺可行。根据设计方案，项目生产废水处理系统设计处理规模为30m</w:t>
            </w:r>
            <w:r>
              <w:rPr>
                <w:rFonts w:ascii="Times New Roman" w:hAnsi="Times New Roman"/>
                <w:sz w:val="24"/>
                <w:vertAlign w:val="superscript"/>
              </w:rPr>
              <w:t>3</w:t>
            </w:r>
            <w:r>
              <w:rPr>
                <w:rFonts w:ascii="Times New Roman" w:hAnsi="Times New Roman"/>
                <w:sz w:val="24"/>
              </w:rPr>
              <w:t>/d，本项目建成后生产废水产生量约28m</w:t>
            </w:r>
            <w:r>
              <w:rPr>
                <w:rFonts w:ascii="Times New Roman" w:hAnsi="Times New Roman"/>
                <w:sz w:val="24"/>
                <w:vertAlign w:val="superscript"/>
              </w:rPr>
              <w:t>3</w:t>
            </w:r>
            <w:r>
              <w:rPr>
                <w:rFonts w:ascii="Times New Roman" w:hAnsi="Times New Roman"/>
                <w:sz w:val="24"/>
              </w:rPr>
              <w:t>/d（8398.2m</w:t>
            </w:r>
            <w:r>
              <w:rPr>
                <w:rFonts w:ascii="Times New Roman" w:hAnsi="Times New Roman"/>
                <w:sz w:val="24"/>
                <w:vertAlign w:val="superscript"/>
              </w:rPr>
              <w:t>3</w:t>
            </w:r>
            <w:r>
              <w:rPr>
                <w:rFonts w:ascii="Times New Roman" w:hAnsi="Times New Roman"/>
                <w:sz w:val="24"/>
              </w:rPr>
              <w:t>/a），因此，在处理规模上，项目生产废水采用上述处理工艺处理也是可行的。</w:t>
            </w:r>
          </w:p>
          <w:p>
            <w:pPr>
              <w:pStyle w:val="2"/>
              <w:snapToGrid w:val="0"/>
              <w:spacing w:after="0" w:line="360" w:lineRule="auto"/>
              <w:ind w:left="0" w:leftChars="0" w:firstLine="480"/>
              <w:jc w:val="both"/>
              <w:rPr>
                <w:rFonts w:ascii="Times New Roman" w:hAnsi="Times New Roman"/>
                <w:sz w:val="24"/>
              </w:rPr>
            </w:pPr>
            <w:r>
              <w:rPr>
                <w:rFonts w:hint="eastAsia" w:cs="宋体"/>
                <w:sz w:val="24"/>
              </w:rPr>
              <w:t>②</w:t>
            </w:r>
            <w:r>
              <w:rPr>
                <w:rFonts w:ascii="Times New Roman" w:hAnsi="Times New Roman"/>
                <w:sz w:val="24"/>
              </w:rPr>
              <w:t>生活污水处理可行性分析</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项目生活污水采用“隔油池+化粪池”处理，隔油池、化粪池属于成熟的生活污水处理工艺，因此，在处理水质上，项目生活污水采用该工艺处理可行。项目生活污水处理工艺设计处理规模为30m</w:t>
            </w:r>
            <w:r>
              <w:rPr>
                <w:rFonts w:ascii="Times New Roman" w:hAnsi="Times New Roman"/>
                <w:sz w:val="24"/>
                <w:vertAlign w:val="superscript"/>
              </w:rPr>
              <w:t>3</w:t>
            </w:r>
            <w:r>
              <w:rPr>
                <w:rFonts w:ascii="Times New Roman" w:hAnsi="Times New Roman"/>
                <w:sz w:val="24"/>
              </w:rPr>
              <w:t>/d，项目生活污水产生量约17.6m</w:t>
            </w:r>
            <w:r>
              <w:rPr>
                <w:rFonts w:ascii="Times New Roman" w:hAnsi="Times New Roman"/>
                <w:sz w:val="24"/>
                <w:vertAlign w:val="superscript"/>
              </w:rPr>
              <w:t>3</w:t>
            </w:r>
            <w:r>
              <w:rPr>
                <w:rFonts w:ascii="Times New Roman" w:hAnsi="Times New Roman"/>
                <w:sz w:val="24"/>
              </w:rPr>
              <w:t>/d（5280m</w:t>
            </w:r>
            <w:r>
              <w:rPr>
                <w:rFonts w:ascii="Times New Roman" w:hAnsi="Times New Roman"/>
                <w:sz w:val="24"/>
                <w:vertAlign w:val="superscript"/>
              </w:rPr>
              <w:t>3</w:t>
            </w:r>
            <w:r>
              <w:rPr>
                <w:rFonts w:ascii="Times New Roman" w:hAnsi="Times New Roman"/>
                <w:sz w:val="24"/>
              </w:rPr>
              <w:t>/a），因此，在处理规模上，项目生活污水处理工艺可行。</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根据源强分析，并类比同类型项目，本项目废水处理工艺处理效率见</w:t>
            </w:r>
            <w:r>
              <w:rPr>
                <w:rFonts w:hint="eastAsia" w:ascii="Times New Roman" w:hAnsi="Times New Roman"/>
                <w:sz w:val="24"/>
              </w:rPr>
              <w:t>下表。</w:t>
            </w:r>
          </w:p>
          <w:p>
            <w:pPr>
              <w:pStyle w:val="2"/>
              <w:snapToGrid w:val="0"/>
              <w:spacing w:after="0" w:line="440" w:lineRule="exact"/>
              <w:ind w:left="0" w:leftChars="0" w:firstLine="0" w:firstLineChars="0"/>
              <w:jc w:val="center"/>
              <w:rPr>
                <w:rFonts w:ascii="Times New Roman" w:hAnsi="Times New Roman"/>
                <w:b/>
                <w:bCs/>
                <w:szCs w:val="21"/>
              </w:rPr>
            </w:pPr>
            <w:r>
              <w:rPr>
                <w:rFonts w:ascii="Times New Roman" w:hAnsi="Times New Roman"/>
                <w:b/>
                <w:bCs/>
                <w:szCs w:val="21"/>
              </w:rPr>
              <w:t>表4-5项目废水处理效果一览表（pH 无量纲）</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951"/>
              <w:gridCol w:w="427"/>
              <w:gridCol w:w="1186"/>
              <w:gridCol w:w="593"/>
              <w:gridCol w:w="890"/>
              <w:gridCol w:w="741"/>
              <w:gridCol w:w="890"/>
              <w:gridCol w:w="742"/>
              <w:gridCol w:w="9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026" w:type="dxa"/>
                  <w:gridSpan w:val="2"/>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来水</w:t>
                  </w:r>
                </w:p>
              </w:tc>
              <w:tc>
                <w:tcPr>
                  <w:tcW w:w="408"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处理工段</w:t>
                  </w:r>
                </w:p>
              </w:tc>
              <w:tc>
                <w:tcPr>
                  <w:tcW w:w="1134"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内容</w:t>
                  </w:r>
                </w:p>
              </w:tc>
              <w:tc>
                <w:tcPr>
                  <w:tcW w:w="5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pH</w:t>
                  </w:r>
                </w:p>
              </w:tc>
              <w:tc>
                <w:tcPr>
                  <w:tcW w:w="851"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COD</w:t>
                  </w:r>
                </w:p>
              </w:tc>
              <w:tc>
                <w:tcPr>
                  <w:tcW w:w="708"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BOD</w:t>
                  </w:r>
                  <w:r>
                    <w:rPr>
                      <w:rFonts w:ascii="Times New Roman" w:hAnsi="Times New Roman"/>
                      <w:b/>
                      <w:bCs/>
                      <w:vertAlign w:val="subscript"/>
                      <w:lang w:val="en-US" w:bidi="ar-SA"/>
                    </w:rPr>
                    <w:t>5</w:t>
                  </w:r>
                </w:p>
              </w:tc>
              <w:tc>
                <w:tcPr>
                  <w:tcW w:w="851"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SS</w:t>
                  </w:r>
                </w:p>
              </w:tc>
              <w:tc>
                <w:tcPr>
                  <w:tcW w:w="709"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NH</w:t>
                  </w:r>
                  <w:r>
                    <w:rPr>
                      <w:rFonts w:ascii="Times New Roman" w:hAnsi="Times New Roman"/>
                      <w:b/>
                      <w:bCs/>
                      <w:vertAlign w:val="subscript"/>
                      <w:lang w:val="en-US" w:bidi="ar-SA"/>
                    </w:rPr>
                    <w:t>3</w:t>
                  </w:r>
                  <w:r>
                    <w:rPr>
                      <w:rFonts w:ascii="Times New Roman" w:hAnsi="Times New Roman"/>
                      <w:b/>
                      <w:bCs/>
                      <w:lang w:val="en-US" w:bidi="ar-SA"/>
                    </w:rPr>
                    <w:t>-N</w:t>
                  </w:r>
                </w:p>
              </w:tc>
              <w:tc>
                <w:tcPr>
                  <w:tcW w:w="955"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LAS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7"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废水来源</w:t>
                  </w:r>
                </w:p>
              </w:tc>
              <w:tc>
                <w:tcPr>
                  <w:tcW w:w="909" w:type="dxa"/>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水量（m</w:t>
                  </w:r>
                  <w:r>
                    <w:rPr>
                      <w:rFonts w:ascii="Times New Roman" w:hAnsi="Times New Roman"/>
                      <w:b/>
                      <w:bCs/>
                      <w:vertAlign w:val="superscript"/>
                      <w:lang w:val="en-US" w:bidi="ar-SA"/>
                    </w:rPr>
                    <w:t>3</w:t>
                  </w:r>
                  <w:r>
                    <w:rPr>
                      <w:rFonts w:ascii="Times New Roman" w:hAnsi="Times New Roman"/>
                      <w:b/>
                      <w:bCs/>
                      <w:lang w:val="en-US" w:bidi="ar-SA"/>
                    </w:rPr>
                    <w:t>/a）</w:t>
                  </w:r>
                </w:p>
              </w:tc>
              <w:tc>
                <w:tcPr>
                  <w:tcW w:w="408" w:type="dxa"/>
                  <w:vMerge w:val="continue"/>
                  <w:vAlign w:val="center"/>
                </w:tcPr>
                <w:p>
                  <w:pPr>
                    <w:widowControl/>
                    <w:autoSpaceDE/>
                    <w:autoSpaceDN/>
                    <w:jc w:val="center"/>
                    <w:rPr>
                      <w:rFonts w:ascii="Times New Roman" w:hAnsi="Times New Roman"/>
                      <w:lang w:val="en-US" w:bidi="ar-SA"/>
                    </w:rPr>
                  </w:pPr>
                </w:p>
              </w:tc>
              <w:tc>
                <w:tcPr>
                  <w:tcW w:w="1134" w:type="dxa"/>
                  <w:vMerge w:val="continue"/>
                  <w:vAlign w:val="center"/>
                </w:tcPr>
                <w:p>
                  <w:pPr>
                    <w:widowControl/>
                    <w:autoSpaceDE/>
                    <w:autoSpaceDN/>
                    <w:jc w:val="center"/>
                    <w:rPr>
                      <w:rFonts w:ascii="Times New Roman" w:hAnsi="Times New Roman"/>
                      <w:lang w:val="en-US" w:bidi="ar-SA"/>
                    </w:rPr>
                  </w:pPr>
                </w:p>
              </w:tc>
              <w:tc>
                <w:tcPr>
                  <w:tcW w:w="567" w:type="dxa"/>
                  <w:vMerge w:val="continue"/>
                  <w:vAlign w:val="center"/>
                </w:tcPr>
                <w:p>
                  <w:pPr>
                    <w:widowControl/>
                    <w:autoSpaceDE/>
                    <w:autoSpaceDN/>
                    <w:jc w:val="center"/>
                    <w:rPr>
                      <w:rFonts w:ascii="Times New Roman" w:hAnsi="Times New Roman"/>
                      <w:lang w:val="en-US" w:bidi="ar-SA"/>
                    </w:rPr>
                  </w:pPr>
                </w:p>
              </w:tc>
              <w:tc>
                <w:tcPr>
                  <w:tcW w:w="851" w:type="dxa"/>
                  <w:vMerge w:val="continue"/>
                  <w:vAlign w:val="center"/>
                </w:tcPr>
                <w:p>
                  <w:pPr>
                    <w:widowControl/>
                    <w:autoSpaceDE/>
                    <w:autoSpaceDN/>
                    <w:jc w:val="center"/>
                    <w:rPr>
                      <w:rFonts w:ascii="Times New Roman" w:hAnsi="Times New Roman"/>
                      <w:lang w:val="en-US" w:bidi="ar-SA"/>
                    </w:rPr>
                  </w:pPr>
                </w:p>
              </w:tc>
              <w:tc>
                <w:tcPr>
                  <w:tcW w:w="708" w:type="dxa"/>
                  <w:vMerge w:val="continue"/>
                  <w:vAlign w:val="center"/>
                </w:tcPr>
                <w:p>
                  <w:pPr>
                    <w:widowControl/>
                    <w:autoSpaceDE/>
                    <w:autoSpaceDN/>
                    <w:jc w:val="center"/>
                    <w:rPr>
                      <w:rFonts w:ascii="Times New Roman" w:hAnsi="Times New Roman"/>
                      <w:lang w:val="en-US" w:bidi="ar-SA"/>
                    </w:rPr>
                  </w:pPr>
                </w:p>
              </w:tc>
              <w:tc>
                <w:tcPr>
                  <w:tcW w:w="851" w:type="dxa"/>
                  <w:vMerge w:val="continue"/>
                  <w:vAlign w:val="center"/>
                </w:tcPr>
                <w:p>
                  <w:pPr>
                    <w:widowControl/>
                    <w:autoSpaceDE/>
                    <w:autoSpaceDN/>
                    <w:jc w:val="center"/>
                    <w:rPr>
                      <w:rFonts w:ascii="Times New Roman" w:hAnsi="Times New Roman"/>
                      <w:lang w:val="en-US" w:bidi="ar-SA"/>
                    </w:rPr>
                  </w:pPr>
                </w:p>
              </w:tc>
              <w:tc>
                <w:tcPr>
                  <w:tcW w:w="709" w:type="dxa"/>
                  <w:vMerge w:val="continue"/>
                  <w:vAlign w:val="center"/>
                </w:tcPr>
                <w:p>
                  <w:pPr>
                    <w:widowControl/>
                    <w:autoSpaceDE/>
                    <w:autoSpaceDN/>
                    <w:jc w:val="center"/>
                    <w:rPr>
                      <w:rFonts w:ascii="Times New Roman" w:hAnsi="Times New Roman"/>
                      <w:lang w:val="en-US" w:bidi="ar-SA"/>
                    </w:rPr>
                  </w:pPr>
                </w:p>
              </w:tc>
              <w:tc>
                <w:tcPr>
                  <w:tcW w:w="955" w:type="dxa"/>
                  <w:vMerge w:val="continue"/>
                  <w:vAlign w:val="center"/>
                </w:tcPr>
                <w:p>
                  <w:pPr>
                    <w:widowControl/>
                    <w:autoSpaceDE/>
                    <w:autoSpaceDN/>
                    <w:jc w:val="center"/>
                    <w:rPr>
                      <w:rFonts w:ascii="Times New Roman" w:hAnsi="Times New Roman"/>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1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清洗废水</w:t>
                  </w:r>
                </w:p>
              </w:tc>
              <w:tc>
                <w:tcPr>
                  <w:tcW w:w="9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8058</w:t>
                  </w:r>
                </w:p>
              </w:tc>
              <w:tc>
                <w:tcPr>
                  <w:tcW w:w="408" w:type="dxa"/>
                  <w:vMerge w:val="restart"/>
                  <w:noWrap/>
                  <w:vAlign w:val="center"/>
                </w:tcPr>
                <w:p>
                  <w:pPr>
                    <w:jc w:val="center"/>
                    <w:rPr>
                      <w:rFonts w:ascii="Times New Roman" w:hAnsi="Times New Roman"/>
                      <w:lang w:val="en-US" w:bidi="ar-SA"/>
                    </w:rPr>
                  </w:pPr>
                  <w:r>
                    <w:rPr>
                      <w:rFonts w:ascii="Times New Roman" w:hAnsi="Times New Roman"/>
                      <w:lang w:val="en-US" w:bidi="ar-SA"/>
                    </w:rPr>
                    <w:t>调节池+混凝池+沉淀池</w:t>
                  </w: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进水（mg/L）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8-9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292</w:t>
                  </w:r>
                </w:p>
              </w:tc>
              <w:tc>
                <w:tcPr>
                  <w:tcW w:w="70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55.3</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212</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17.4</w:t>
                  </w:r>
                </w:p>
              </w:tc>
              <w:tc>
                <w:tcPr>
                  <w:tcW w:w="955"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11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玻璃浸泡废水</w:t>
                  </w:r>
                </w:p>
              </w:tc>
              <w:tc>
                <w:tcPr>
                  <w:tcW w:w="9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340.2</w:t>
                  </w:r>
                </w:p>
              </w:tc>
              <w:tc>
                <w:tcPr>
                  <w:tcW w:w="408" w:type="dxa"/>
                  <w:vMerge w:val="continue"/>
                  <w:noWrap/>
                  <w:vAlign w:val="center"/>
                </w:tcPr>
                <w:p>
                  <w:pPr>
                    <w:jc w:val="center"/>
                    <w:rPr>
                      <w:rFonts w:ascii="Times New Roman" w:hAnsi="Times New Roman"/>
                      <w:lang w:val="en-US" w:bidi="ar-SA"/>
                    </w:rPr>
                  </w:pP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进水（mg/L）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70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200</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955"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17"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生产废水</w:t>
                  </w:r>
                </w:p>
              </w:tc>
              <w:tc>
                <w:tcPr>
                  <w:tcW w:w="909"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8398.2</w:t>
                  </w:r>
                </w:p>
              </w:tc>
              <w:tc>
                <w:tcPr>
                  <w:tcW w:w="408" w:type="dxa"/>
                  <w:vMerge w:val="continue"/>
                  <w:noWrap/>
                  <w:vAlign w:val="center"/>
                </w:tcPr>
                <w:p>
                  <w:pPr>
                    <w:widowControl/>
                    <w:autoSpaceDE/>
                    <w:autoSpaceDN/>
                    <w:jc w:val="center"/>
                    <w:rPr>
                      <w:rFonts w:ascii="Times New Roman" w:hAnsi="Times New Roman"/>
                      <w:lang w:val="en-US" w:bidi="ar-SA"/>
                    </w:rPr>
                  </w:pP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进水（mg/L）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1"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2</w:t>
                  </w:r>
                  <w:r>
                    <w:rPr>
                      <w:rFonts w:ascii="Times New Roman" w:hAnsi="Times New Roman"/>
                      <w:lang w:val="en-US" w:bidi="ar-SA"/>
                    </w:rPr>
                    <w:t>41.92</w:t>
                  </w:r>
                </w:p>
              </w:tc>
              <w:tc>
                <w:tcPr>
                  <w:tcW w:w="708"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5</w:t>
                  </w:r>
                  <w:r>
                    <w:rPr>
                      <w:rFonts w:ascii="Times New Roman" w:hAnsi="Times New Roman"/>
                      <w:lang w:val="en-US" w:bidi="ar-SA"/>
                    </w:rPr>
                    <w:t>3.09</w:t>
                  </w:r>
                </w:p>
              </w:tc>
              <w:tc>
                <w:tcPr>
                  <w:tcW w:w="851"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2</w:t>
                  </w:r>
                  <w:r>
                    <w:rPr>
                      <w:rFonts w:ascii="Times New Roman" w:hAnsi="Times New Roman"/>
                      <w:lang w:val="en-US" w:bidi="ar-SA"/>
                    </w:rPr>
                    <w:t>08.52</w:t>
                  </w:r>
                </w:p>
              </w:tc>
              <w:tc>
                <w:tcPr>
                  <w:tcW w:w="709"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1</w:t>
                  </w:r>
                  <w:r>
                    <w:rPr>
                      <w:rFonts w:ascii="Times New Roman" w:hAnsi="Times New Roman"/>
                      <w:lang w:val="en-US" w:bidi="ar-SA"/>
                    </w:rPr>
                    <w:t>6.7</w:t>
                  </w:r>
                </w:p>
              </w:tc>
              <w:tc>
                <w:tcPr>
                  <w:tcW w:w="955"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2</w:t>
                  </w:r>
                  <w:r>
                    <w:rPr>
                      <w:rFonts w:ascii="Times New Roman" w:hAnsi="Times New Roman"/>
                      <w:lang w:val="en-US" w:bidi="ar-SA"/>
                    </w:rP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17" w:type="dxa"/>
                  <w:vMerge w:val="continue"/>
                  <w:vAlign w:val="center"/>
                </w:tcPr>
                <w:p>
                  <w:pPr>
                    <w:widowControl/>
                    <w:autoSpaceDE/>
                    <w:autoSpaceDN/>
                    <w:jc w:val="center"/>
                    <w:rPr>
                      <w:rFonts w:ascii="Times New Roman" w:hAnsi="Times New Roman"/>
                      <w:lang w:val="en-US" w:bidi="ar-SA"/>
                    </w:rPr>
                  </w:pPr>
                </w:p>
              </w:tc>
              <w:tc>
                <w:tcPr>
                  <w:tcW w:w="909" w:type="dxa"/>
                  <w:vMerge w:val="continue"/>
                  <w:vAlign w:val="center"/>
                </w:tcPr>
                <w:p>
                  <w:pPr>
                    <w:widowControl/>
                    <w:autoSpaceDE/>
                    <w:autoSpaceDN/>
                    <w:jc w:val="center"/>
                    <w:rPr>
                      <w:rFonts w:ascii="Times New Roman" w:hAnsi="Times New Roman"/>
                      <w:lang w:val="en-US" w:bidi="ar-SA"/>
                    </w:rPr>
                  </w:pPr>
                </w:p>
              </w:tc>
              <w:tc>
                <w:tcPr>
                  <w:tcW w:w="408" w:type="dxa"/>
                  <w:vMerge w:val="continue"/>
                  <w:vAlign w:val="center"/>
                </w:tcPr>
                <w:p>
                  <w:pPr>
                    <w:widowControl/>
                    <w:autoSpaceDE/>
                    <w:autoSpaceDN/>
                    <w:jc w:val="center"/>
                    <w:rPr>
                      <w:rFonts w:ascii="Times New Roman" w:hAnsi="Times New Roman"/>
                      <w:lang w:val="en-US" w:bidi="ar-SA"/>
                    </w:rPr>
                  </w:pP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出水（mg/L）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1"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1</w:t>
                  </w:r>
                  <w:r>
                    <w:rPr>
                      <w:rFonts w:ascii="Times New Roman" w:hAnsi="Times New Roman"/>
                      <w:lang w:val="en-US" w:bidi="ar-SA"/>
                    </w:rPr>
                    <w:t>25.8</w:t>
                  </w:r>
                </w:p>
              </w:tc>
              <w:tc>
                <w:tcPr>
                  <w:tcW w:w="708"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4</w:t>
                  </w:r>
                  <w:r>
                    <w:rPr>
                      <w:rFonts w:ascii="Times New Roman" w:hAnsi="Times New Roman"/>
                      <w:lang w:val="en-US" w:bidi="ar-SA"/>
                    </w:rPr>
                    <w:t>8.31</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148.05</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14.53</w:t>
                  </w:r>
                </w:p>
              </w:tc>
              <w:tc>
                <w:tcPr>
                  <w:tcW w:w="955"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1</w:t>
                  </w:r>
                  <w:r>
                    <w:rPr>
                      <w:rFonts w:ascii="Times New Roman" w:hAnsi="Times New Roman"/>
                      <w:lang w:val="en-US" w:bidi="ar-SA"/>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117" w:type="dxa"/>
                  <w:vMerge w:val="continue"/>
                  <w:vAlign w:val="center"/>
                </w:tcPr>
                <w:p>
                  <w:pPr>
                    <w:widowControl/>
                    <w:autoSpaceDE/>
                    <w:autoSpaceDN/>
                    <w:jc w:val="center"/>
                    <w:rPr>
                      <w:rFonts w:ascii="Times New Roman" w:hAnsi="Times New Roman"/>
                      <w:lang w:val="en-US" w:bidi="ar-SA"/>
                    </w:rPr>
                  </w:pPr>
                </w:p>
              </w:tc>
              <w:tc>
                <w:tcPr>
                  <w:tcW w:w="909" w:type="dxa"/>
                  <w:vMerge w:val="continue"/>
                  <w:vAlign w:val="center"/>
                </w:tcPr>
                <w:p>
                  <w:pPr>
                    <w:widowControl/>
                    <w:autoSpaceDE/>
                    <w:autoSpaceDN/>
                    <w:jc w:val="center"/>
                    <w:rPr>
                      <w:rFonts w:ascii="Times New Roman" w:hAnsi="Times New Roman"/>
                      <w:lang w:val="en-US" w:bidi="ar-SA"/>
                    </w:rPr>
                  </w:pPr>
                </w:p>
              </w:tc>
              <w:tc>
                <w:tcPr>
                  <w:tcW w:w="408" w:type="dxa"/>
                  <w:vMerge w:val="continue"/>
                  <w:vAlign w:val="center"/>
                </w:tcPr>
                <w:p>
                  <w:pPr>
                    <w:widowControl/>
                    <w:autoSpaceDE/>
                    <w:autoSpaceDN/>
                    <w:jc w:val="center"/>
                    <w:rPr>
                      <w:rFonts w:ascii="Times New Roman" w:hAnsi="Times New Roman"/>
                      <w:lang w:val="en-US" w:bidi="ar-SA"/>
                    </w:rPr>
                  </w:pPr>
                </w:p>
              </w:tc>
              <w:tc>
                <w:tcPr>
                  <w:tcW w:w="11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去除率（%）</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48</w:t>
                  </w:r>
                </w:p>
              </w:tc>
              <w:tc>
                <w:tcPr>
                  <w:tcW w:w="708"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8.9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29</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13</w:t>
                  </w:r>
                </w:p>
              </w:tc>
              <w:tc>
                <w:tcPr>
                  <w:tcW w:w="955" w:type="dxa"/>
                  <w:noWrap/>
                  <w:vAlign w:val="center"/>
                </w:tcPr>
                <w:p>
                  <w:pPr>
                    <w:widowControl/>
                    <w:autoSpaceDE/>
                    <w:autoSpaceDN/>
                    <w:jc w:val="center"/>
                    <w:rPr>
                      <w:rFonts w:ascii="Times New Roman" w:hAnsi="Times New Roman"/>
                      <w:lang w:val="en-US" w:bidi="ar-SA"/>
                    </w:rPr>
                  </w:pPr>
                  <w:r>
                    <w:rPr>
                      <w:rFonts w:ascii="Times New Roman" w:hAnsi="Times New Roman"/>
                      <w:lang w:val="en-US"/>
                    </w:rPr>
                    <w:t>50</w:t>
                  </w:r>
                </w:p>
              </w:tc>
            </w:tr>
          </w:tbl>
          <w:p>
            <w:pPr>
              <w:pStyle w:val="2"/>
              <w:snapToGrid w:val="0"/>
              <w:spacing w:after="0"/>
              <w:ind w:left="0" w:leftChars="0" w:firstLine="0" w:firstLineChars="0"/>
              <w:jc w:val="center"/>
              <w:rPr>
                <w:rFonts w:ascii="Times New Roman" w:hAnsi="Times New Roman"/>
                <w:b/>
                <w:bCs/>
                <w:szCs w:val="21"/>
              </w:rPr>
            </w:pPr>
            <w:r>
              <w:rPr>
                <w:rFonts w:ascii="Times New Roman" w:hAnsi="Times New Roman"/>
                <w:b/>
                <w:bCs/>
                <w:szCs w:val="21"/>
              </w:rPr>
              <w:t>表4-6厂区生活污水排放浓度一览表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082"/>
              <w:gridCol w:w="762"/>
              <w:gridCol w:w="1045"/>
              <w:gridCol w:w="598"/>
              <w:gridCol w:w="896"/>
              <w:gridCol w:w="598"/>
              <w:gridCol w:w="897"/>
              <w:gridCol w:w="598"/>
              <w:gridCol w:w="1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964" w:type="dxa"/>
                  <w:gridSpan w:val="2"/>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来水</w:t>
                  </w:r>
                </w:p>
              </w:tc>
              <w:tc>
                <w:tcPr>
                  <w:tcW w:w="723"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处理工段</w:t>
                  </w:r>
                </w:p>
              </w:tc>
              <w:tc>
                <w:tcPr>
                  <w:tcW w:w="992"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内容</w:t>
                  </w:r>
                </w:p>
              </w:tc>
              <w:tc>
                <w:tcPr>
                  <w:tcW w:w="5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PH</w:t>
                  </w:r>
                </w:p>
              </w:tc>
              <w:tc>
                <w:tcPr>
                  <w:tcW w:w="850"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COD</w:t>
                  </w:r>
                </w:p>
              </w:tc>
              <w:tc>
                <w:tcPr>
                  <w:tcW w:w="5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SS</w:t>
                  </w:r>
                </w:p>
              </w:tc>
              <w:tc>
                <w:tcPr>
                  <w:tcW w:w="851"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NH</w:t>
                  </w:r>
                  <w:r>
                    <w:rPr>
                      <w:rFonts w:ascii="Times New Roman" w:hAnsi="Times New Roman"/>
                      <w:b/>
                      <w:bCs/>
                      <w:vertAlign w:val="subscript"/>
                      <w:lang w:val="en-US" w:bidi="ar-SA"/>
                    </w:rPr>
                    <w:t>3</w:t>
                  </w:r>
                  <w:r>
                    <w:rPr>
                      <w:rFonts w:ascii="Times New Roman" w:hAnsi="Times New Roman"/>
                      <w:b/>
                      <w:bCs/>
                      <w:lang w:val="en-US" w:bidi="ar-SA"/>
                    </w:rPr>
                    <w:t>-N</w:t>
                  </w:r>
                </w:p>
              </w:tc>
              <w:tc>
                <w:tcPr>
                  <w:tcW w:w="5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TP</w:t>
                  </w:r>
                </w:p>
              </w:tc>
              <w:tc>
                <w:tcPr>
                  <w:tcW w:w="1067"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3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废水来源</w:t>
                  </w:r>
                </w:p>
              </w:tc>
              <w:tc>
                <w:tcPr>
                  <w:tcW w:w="102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水量（m</w:t>
                  </w:r>
                  <w:r>
                    <w:rPr>
                      <w:rFonts w:ascii="Times New Roman" w:hAnsi="Times New Roman"/>
                      <w:vertAlign w:val="superscript"/>
                      <w:lang w:val="en-US" w:bidi="ar-SA"/>
                    </w:rPr>
                    <w:t>3</w:t>
                  </w:r>
                  <w:r>
                    <w:rPr>
                      <w:rFonts w:ascii="Times New Roman" w:hAnsi="Times New Roman"/>
                      <w:lang w:val="en-US" w:bidi="ar-SA"/>
                    </w:rPr>
                    <w:t>/a）</w:t>
                  </w:r>
                </w:p>
              </w:tc>
              <w:tc>
                <w:tcPr>
                  <w:tcW w:w="723" w:type="dxa"/>
                  <w:vMerge w:val="continue"/>
                  <w:vAlign w:val="center"/>
                </w:tcPr>
                <w:p>
                  <w:pPr>
                    <w:widowControl/>
                    <w:autoSpaceDE/>
                    <w:autoSpaceDN/>
                    <w:jc w:val="center"/>
                    <w:rPr>
                      <w:rFonts w:ascii="Times New Roman" w:hAnsi="Times New Roman"/>
                      <w:lang w:val="en-US" w:bidi="ar-SA"/>
                    </w:rPr>
                  </w:pPr>
                </w:p>
              </w:tc>
              <w:tc>
                <w:tcPr>
                  <w:tcW w:w="992" w:type="dxa"/>
                  <w:vMerge w:val="continue"/>
                  <w:vAlign w:val="center"/>
                </w:tcPr>
                <w:p>
                  <w:pPr>
                    <w:widowControl/>
                    <w:autoSpaceDE/>
                    <w:autoSpaceDN/>
                    <w:jc w:val="center"/>
                    <w:rPr>
                      <w:rFonts w:ascii="Times New Roman" w:hAnsi="Times New Roman"/>
                      <w:lang w:val="en-US" w:bidi="ar-SA"/>
                    </w:rPr>
                  </w:pPr>
                </w:p>
              </w:tc>
              <w:tc>
                <w:tcPr>
                  <w:tcW w:w="567" w:type="dxa"/>
                  <w:vMerge w:val="continue"/>
                  <w:vAlign w:val="center"/>
                </w:tcPr>
                <w:p>
                  <w:pPr>
                    <w:widowControl/>
                    <w:autoSpaceDE/>
                    <w:autoSpaceDN/>
                    <w:jc w:val="center"/>
                    <w:rPr>
                      <w:rFonts w:ascii="Times New Roman" w:hAnsi="Times New Roman"/>
                      <w:lang w:val="en-US" w:bidi="ar-SA"/>
                    </w:rPr>
                  </w:pPr>
                </w:p>
              </w:tc>
              <w:tc>
                <w:tcPr>
                  <w:tcW w:w="850" w:type="dxa"/>
                  <w:vMerge w:val="continue"/>
                  <w:vAlign w:val="center"/>
                </w:tcPr>
                <w:p>
                  <w:pPr>
                    <w:widowControl/>
                    <w:autoSpaceDE/>
                    <w:autoSpaceDN/>
                    <w:jc w:val="center"/>
                    <w:rPr>
                      <w:rFonts w:ascii="Times New Roman" w:hAnsi="Times New Roman"/>
                      <w:lang w:val="en-US" w:bidi="ar-SA"/>
                    </w:rPr>
                  </w:pPr>
                </w:p>
              </w:tc>
              <w:tc>
                <w:tcPr>
                  <w:tcW w:w="567" w:type="dxa"/>
                  <w:vMerge w:val="continue"/>
                  <w:vAlign w:val="center"/>
                </w:tcPr>
                <w:p>
                  <w:pPr>
                    <w:widowControl/>
                    <w:autoSpaceDE/>
                    <w:autoSpaceDN/>
                    <w:jc w:val="center"/>
                    <w:rPr>
                      <w:rFonts w:ascii="Times New Roman" w:hAnsi="Times New Roman"/>
                      <w:lang w:val="en-US" w:bidi="ar-SA"/>
                    </w:rPr>
                  </w:pPr>
                </w:p>
              </w:tc>
              <w:tc>
                <w:tcPr>
                  <w:tcW w:w="851" w:type="dxa"/>
                  <w:vMerge w:val="continue"/>
                  <w:vAlign w:val="center"/>
                </w:tcPr>
                <w:p>
                  <w:pPr>
                    <w:widowControl/>
                    <w:autoSpaceDE/>
                    <w:autoSpaceDN/>
                    <w:jc w:val="center"/>
                    <w:rPr>
                      <w:rFonts w:ascii="Times New Roman" w:hAnsi="Times New Roman"/>
                      <w:lang w:val="en-US" w:bidi="ar-SA"/>
                    </w:rPr>
                  </w:pPr>
                </w:p>
              </w:tc>
              <w:tc>
                <w:tcPr>
                  <w:tcW w:w="567" w:type="dxa"/>
                  <w:vMerge w:val="continue"/>
                  <w:vAlign w:val="center"/>
                </w:tcPr>
                <w:p>
                  <w:pPr>
                    <w:widowControl/>
                    <w:autoSpaceDE/>
                    <w:autoSpaceDN/>
                    <w:jc w:val="center"/>
                    <w:rPr>
                      <w:rFonts w:ascii="Times New Roman" w:hAnsi="Times New Roman"/>
                      <w:lang w:val="en-US" w:bidi="ar-SA"/>
                    </w:rPr>
                  </w:pPr>
                </w:p>
              </w:tc>
              <w:tc>
                <w:tcPr>
                  <w:tcW w:w="1067" w:type="dxa"/>
                  <w:vMerge w:val="continue"/>
                  <w:vAlign w:val="center"/>
                </w:tcPr>
                <w:p>
                  <w:pPr>
                    <w:widowControl/>
                    <w:autoSpaceDE/>
                    <w:autoSpaceDN/>
                    <w:jc w:val="center"/>
                    <w:rPr>
                      <w:rFonts w:ascii="Times New Roman" w:hAnsi="Times New Roman"/>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37"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生活污水</w:t>
                  </w:r>
                </w:p>
              </w:tc>
              <w:tc>
                <w:tcPr>
                  <w:tcW w:w="1027"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5280</w:t>
                  </w:r>
                </w:p>
              </w:tc>
              <w:tc>
                <w:tcPr>
                  <w:tcW w:w="723"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隔油池+化粪池</w:t>
                  </w:r>
                </w:p>
              </w:tc>
              <w:tc>
                <w:tcPr>
                  <w:tcW w:w="9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进水（mg/L）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350</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200</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w:t>
                  </w:r>
                </w:p>
              </w:tc>
              <w:tc>
                <w:tcPr>
                  <w:tcW w:w="10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37" w:type="dxa"/>
                  <w:vMerge w:val="continue"/>
                  <w:vAlign w:val="center"/>
                </w:tcPr>
                <w:p>
                  <w:pPr>
                    <w:widowControl/>
                    <w:autoSpaceDE/>
                    <w:autoSpaceDN/>
                    <w:jc w:val="center"/>
                    <w:rPr>
                      <w:rFonts w:ascii="Times New Roman" w:hAnsi="Times New Roman"/>
                      <w:lang w:val="en-US" w:bidi="ar-SA"/>
                    </w:rPr>
                  </w:pPr>
                </w:p>
              </w:tc>
              <w:tc>
                <w:tcPr>
                  <w:tcW w:w="1027" w:type="dxa"/>
                  <w:vMerge w:val="continue"/>
                  <w:vAlign w:val="center"/>
                </w:tcPr>
                <w:p>
                  <w:pPr>
                    <w:widowControl/>
                    <w:autoSpaceDE/>
                    <w:autoSpaceDN/>
                    <w:jc w:val="center"/>
                    <w:rPr>
                      <w:rFonts w:ascii="Times New Roman" w:hAnsi="Times New Roman"/>
                      <w:lang w:val="en-US" w:bidi="ar-SA"/>
                    </w:rPr>
                  </w:pPr>
                </w:p>
              </w:tc>
              <w:tc>
                <w:tcPr>
                  <w:tcW w:w="723" w:type="dxa"/>
                  <w:vMerge w:val="continue"/>
                  <w:vAlign w:val="center"/>
                </w:tcPr>
                <w:p>
                  <w:pPr>
                    <w:widowControl/>
                    <w:autoSpaceDE/>
                    <w:autoSpaceDN/>
                    <w:jc w:val="center"/>
                    <w:rPr>
                      <w:rFonts w:ascii="Times New Roman" w:hAnsi="Times New Roman"/>
                      <w:lang w:val="en-US" w:bidi="ar-SA"/>
                    </w:rPr>
                  </w:pPr>
                </w:p>
              </w:tc>
              <w:tc>
                <w:tcPr>
                  <w:tcW w:w="9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出水（mg/L）</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297</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182</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28</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4.9</w:t>
                  </w:r>
                </w:p>
              </w:tc>
              <w:tc>
                <w:tcPr>
                  <w:tcW w:w="10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37" w:type="dxa"/>
                  <w:vMerge w:val="continue"/>
                  <w:vAlign w:val="center"/>
                </w:tcPr>
                <w:p>
                  <w:pPr>
                    <w:widowControl/>
                    <w:autoSpaceDE/>
                    <w:autoSpaceDN/>
                    <w:jc w:val="center"/>
                    <w:rPr>
                      <w:rFonts w:ascii="Times New Roman" w:hAnsi="Times New Roman"/>
                      <w:lang w:val="en-US" w:bidi="ar-SA"/>
                    </w:rPr>
                  </w:pPr>
                </w:p>
              </w:tc>
              <w:tc>
                <w:tcPr>
                  <w:tcW w:w="1027" w:type="dxa"/>
                  <w:vMerge w:val="continue"/>
                  <w:vAlign w:val="center"/>
                </w:tcPr>
                <w:p>
                  <w:pPr>
                    <w:widowControl/>
                    <w:autoSpaceDE/>
                    <w:autoSpaceDN/>
                    <w:jc w:val="center"/>
                    <w:rPr>
                      <w:rFonts w:ascii="Times New Roman" w:hAnsi="Times New Roman"/>
                      <w:lang w:val="en-US" w:bidi="ar-SA"/>
                    </w:rPr>
                  </w:pPr>
                </w:p>
              </w:tc>
              <w:tc>
                <w:tcPr>
                  <w:tcW w:w="723" w:type="dxa"/>
                  <w:vMerge w:val="continue"/>
                  <w:vAlign w:val="center"/>
                </w:tcPr>
                <w:p>
                  <w:pPr>
                    <w:widowControl/>
                    <w:autoSpaceDE/>
                    <w:autoSpaceDN/>
                    <w:jc w:val="center"/>
                    <w:rPr>
                      <w:rFonts w:ascii="Times New Roman" w:hAnsi="Times New Roman"/>
                      <w:lang w:val="en-US" w:bidi="ar-SA"/>
                    </w:rPr>
                  </w:pPr>
                </w:p>
              </w:tc>
              <w:tc>
                <w:tcPr>
                  <w:tcW w:w="9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去除率（%）</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15</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9</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w:t>
                  </w:r>
                </w:p>
              </w:tc>
              <w:tc>
                <w:tcPr>
                  <w:tcW w:w="5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w:t>
                  </w:r>
                </w:p>
              </w:tc>
              <w:tc>
                <w:tcPr>
                  <w:tcW w:w="1067"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50</w:t>
                  </w:r>
                </w:p>
              </w:tc>
            </w:tr>
          </w:tbl>
          <w:p>
            <w:pPr>
              <w:pStyle w:val="2"/>
              <w:snapToGrid w:val="0"/>
              <w:spacing w:after="0" w:line="440" w:lineRule="exact"/>
              <w:ind w:left="0" w:leftChars="0" w:firstLine="0" w:firstLineChars="0"/>
              <w:jc w:val="center"/>
              <w:rPr>
                <w:rFonts w:ascii="Times New Roman" w:hAnsi="Times New Roman"/>
                <w:b/>
                <w:bCs/>
                <w:szCs w:val="21"/>
              </w:rPr>
            </w:pPr>
            <w:r>
              <w:rPr>
                <w:rFonts w:ascii="Times New Roman" w:hAnsi="Times New Roman"/>
                <w:b/>
                <w:bCs/>
                <w:szCs w:val="21"/>
              </w:rPr>
              <w:t>表4-7厂区综合废水排放情况一览表（单位：</w:t>
            </w:r>
            <w:r>
              <w:rPr>
                <w:rFonts w:ascii="Times New Roman" w:hAnsi="Times New Roman"/>
                <w:lang w:val="en-US" w:bidi="ar-SA"/>
              </w:rPr>
              <w:t>mg/L</w:t>
            </w:r>
            <w:r>
              <w:rPr>
                <w:rFonts w:ascii="Times New Roman" w:hAnsi="Times New Roman"/>
                <w:b/>
                <w:bCs/>
                <w:szCs w:val="21"/>
              </w:rPr>
              <w:t>）</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4"/>
              <w:gridCol w:w="892"/>
              <w:gridCol w:w="758"/>
              <w:gridCol w:w="425"/>
              <w:gridCol w:w="709"/>
              <w:gridCol w:w="709"/>
              <w:gridCol w:w="850"/>
              <w:gridCol w:w="851"/>
              <w:gridCol w:w="709"/>
              <w:gridCol w:w="586"/>
              <w:gridCol w:w="582"/>
              <w:gridCol w:w="5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584" w:type="dxa"/>
                  <w:gridSpan w:val="3"/>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全厂综合废水</w:t>
                  </w:r>
                </w:p>
              </w:tc>
              <w:tc>
                <w:tcPr>
                  <w:tcW w:w="425"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项目</w:t>
                  </w:r>
                </w:p>
              </w:tc>
              <w:tc>
                <w:tcPr>
                  <w:tcW w:w="709"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pH</w:t>
                  </w:r>
                </w:p>
              </w:tc>
              <w:tc>
                <w:tcPr>
                  <w:tcW w:w="709"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COD</w:t>
                  </w:r>
                </w:p>
              </w:tc>
              <w:tc>
                <w:tcPr>
                  <w:tcW w:w="850"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BOD</w:t>
                  </w:r>
                  <w:r>
                    <w:rPr>
                      <w:rFonts w:ascii="Times New Roman" w:hAnsi="Times New Roman"/>
                      <w:b/>
                      <w:bCs/>
                      <w:vertAlign w:val="subscript"/>
                      <w:lang w:val="en-US" w:bidi="ar-SA"/>
                    </w:rPr>
                    <w:t>5</w:t>
                  </w:r>
                </w:p>
              </w:tc>
              <w:tc>
                <w:tcPr>
                  <w:tcW w:w="851"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SS</w:t>
                  </w:r>
                </w:p>
              </w:tc>
              <w:tc>
                <w:tcPr>
                  <w:tcW w:w="709"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NH</w:t>
                  </w:r>
                  <w:r>
                    <w:rPr>
                      <w:rFonts w:ascii="Times New Roman" w:hAnsi="Times New Roman"/>
                      <w:b/>
                      <w:bCs/>
                      <w:vertAlign w:val="subscript"/>
                      <w:lang w:val="en-US" w:bidi="ar-SA"/>
                    </w:rPr>
                    <w:t>3</w:t>
                  </w:r>
                  <w:r>
                    <w:rPr>
                      <w:rFonts w:ascii="Times New Roman" w:hAnsi="Times New Roman"/>
                      <w:b/>
                      <w:bCs/>
                      <w:lang w:val="en-US" w:bidi="ar-SA"/>
                    </w:rPr>
                    <w:t>-N</w:t>
                  </w:r>
                </w:p>
              </w:tc>
              <w:tc>
                <w:tcPr>
                  <w:tcW w:w="586"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TP</w:t>
                  </w:r>
                </w:p>
              </w:tc>
              <w:tc>
                <w:tcPr>
                  <w:tcW w:w="582"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动植物油</w:t>
                  </w:r>
                </w:p>
              </w:tc>
              <w:tc>
                <w:tcPr>
                  <w:tcW w:w="582" w:type="dxa"/>
                  <w:vMerge w:val="restart"/>
                  <w:noWrap/>
                  <w:vAlign w:val="center"/>
                </w:tcPr>
                <w:p>
                  <w:pPr>
                    <w:widowControl/>
                    <w:autoSpaceDE/>
                    <w:autoSpaceDN/>
                    <w:jc w:val="center"/>
                    <w:rPr>
                      <w:rFonts w:ascii="Times New Roman" w:hAnsi="Times New Roman"/>
                      <w:b/>
                      <w:bCs/>
                      <w:lang w:val="en-US" w:bidi="ar-SA"/>
                    </w:rPr>
                  </w:pPr>
                  <w:r>
                    <w:rPr>
                      <w:rFonts w:ascii="Times New Roman" w:hAnsi="Times New Roman"/>
                      <w:b/>
                      <w:bCs/>
                      <w:lang w:val="en-US" w:bidi="ar-SA"/>
                    </w:rPr>
                    <w:t>LAS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废水来源</w:t>
                  </w:r>
                </w:p>
              </w:tc>
              <w:tc>
                <w:tcPr>
                  <w:tcW w:w="8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水量（m</w:t>
                  </w:r>
                  <w:r>
                    <w:rPr>
                      <w:rFonts w:ascii="Times New Roman" w:hAnsi="Times New Roman"/>
                      <w:vertAlign w:val="superscript"/>
                      <w:lang w:val="en-US" w:bidi="ar-SA"/>
                    </w:rPr>
                    <w:t>3</w:t>
                  </w:r>
                  <w:r>
                    <w:rPr>
                      <w:rFonts w:ascii="Times New Roman" w:hAnsi="Times New Roman"/>
                      <w:lang w:val="en-US" w:bidi="ar-SA"/>
                    </w:rPr>
                    <w:t>/a）</w:t>
                  </w:r>
                </w:p>
              </w:tc>
              <w:tc>
                <w:tcPr>
                  <w:tcW w:w="758"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废水去向</w:t>
                  </w:r>
                </w:p>
              </w:tc>
              <w:tc>
                <w:tcPr>
                  <w:tcW w:w="425" w:type="dxa"/>
                  <w:vMerge w:val="continue"/>
                  <w:vAlign w:val="center"/>
                </w:tcPr>
                <w:p>
                  <w:pPr>
                    <w:widowControl/>
                    <w:autoSpaceDE/>
                    <w:autoSpaceDN/>
                    <w:jc w:val="center"/>
                    <w:rPr>
                      <w:rFonts w:ascii="Times New Roman" w:hAnsi="Times New Roman"/>
                      <w:lang w:val="en-US" w:bidi="ar-SA"/>
                    </w:rPr>
                  </w:pPr>
                </w:p>
              </w:tc>
              <w:tc>
                <w:tcPr>
                  <w:tcW w:w="709" w:type="dxa"/>
                  <w:vMerge w:val="continue"/>
                  <w:vAlign w:val="center"/>
                </w:tcPr>
                <w:p>
                  <w:pPr>
                    <w:widowControl/>
                    <w:autoSpaceDE/>
                    <w:autoSpaceDN/>
                    <w:jc w:val="center"/>
                    <w:rPr>
                      <w:rFonts w:ascii="Times New Roman" w:hAnsi="Times New Roman"/>
                      <w:lang w:val="en-US" w:bidi="ar-SA"/>
                    </w:rPr>
                  </w:pPr>
                </w:p>
              </w:tc>
              <w:tc>
                <w:tcPr>
                  <w:tcW w:w="709" w:type="dxa"/>
                  <w:vMerge w:val="continue"/>
                  <w:vAlign w:val="center"/>
                </w:tcPr>
                <w:p>
                  <w:pPr>
                    <w:widowControl/>
                    <w:autoSpaceDE/>
                    <w:autoSpaceDN/>
                    <w:jc w:val="center"/>
                    <w:rPr>
                      <w:rFonts w:ascii="Times New Roman" w:hAnsi="Times New Roman"/>
                      <w:lang w:val="en-US" w:bidi="ar-SA"/>
                    </w:rPr>
                  </w:pPr>
                </w:p>
              </w:tc>
              <w:tc>
                <w:tcPr>
                  <w:tcW w:w="850" w:type="dxa"/>
                  <w:vMerge w:val="continue"/>
                  <w:vAlign w:val="center"/>
                </w:tcPr>
                <w:p>
                  <w:pPr>
                    <w:widowControl/>
                    <w:autoSpaceDE/>
                    <w:autoSpaceDN/>
                    <w:jc w:val="center"/>
                    <w:rPr>
                      <w:rFonts w:ascii="Times New Roman" w:hAnsi="Times New Roman"/>
                      <w:lang w:val="en-US" w:bidi="ar-SA"/>
                    </w:rPr>
                  </w:pPr>
                </w:p>
              </w:tc>
              <w:tc>
                <w:tcPr>
                  <w:tcW w:w="851" w:type="dxa"/>
                  <w:vMerge w:val="continue"/>
                  <w:vAlign w:val="center"/>
                </w:tcPr>
                <w:p>
                  <w:pPr>
                    <w:widowControl/>
                    <w:autoSpaceDE/>
                    <w:autoSpaceDN/>
                    <w:jc w:val="center"/>
                    <w:rPr>
                      <w:rFonts w:ascii="Times New Roman" w:hAnsi="Times New Roman"/>
                      <w:lang w:val="en-US" w:bidi="ar-SA"/>
                    </w:rPr>
                  </w:pPr>
                </w:p>
              </w:tc>
              <w:tc>
                <w:tcPr>
                  <w:tcW w:w="709" w:type="dxa"/>
                  <w:vMerge w:val="continue"/>
                  <w:vAlign w:val="center"/>
                </w:tcPr>
                <w:p>
                  <w:pPr>
                    <w:widowControl/>
                    <w:autoSpaceDE/>
                    <w:autoSpaceDN/>
                    <w:jc w:val="center"/>
                    <w:rPr>
                      <w:rFonts w:ascii="Times New Roman" w:hAnsi="Times New Roman"/>
                      <w:lang w:val="en-US" w:bidi="ar-SA"/>
                    </w:rPr>
                  </w:pPr>
                </w:p>
              </w:tc>
              <w:tc>
                <w:tcPr>
                  <w:tcW w:w="586" w:type="dxa"/>
                  <w:vMerge w:val="continue"/>
                  <w:vAlign w:val="center"/>
                </w:tcPr>
                <w:p>
                  <w:pPr>
                    <w:widowControl/>
                    <w:autoSpaceDE/>
                    <w:autoSpaceDN/>
                    <w:jc w:val="center"/>
                    <w:rPr>
                      <w:rFonts w:ascii="Times New Roman" w:hAnsi="Times New Roman"/>
                      <w:lang w:val="en-US" w:bidi="ar-SA"/>
                    </w:rPr>
                  </w:pPr>
                </w:p>
              </w:tc>
              <w:tc>
                <w:tcPr>
                  <w:tcW w:w="582" w:type="dxa"/>
                  <w:vMerge w:val="continue"/>
                  <w:vAlign w:val="center"/>
                </w:tcPr>
                <w:p>
                  <w:pPr>
                    <w:widowControl/>
                    <w:autoSpaceDE/>
                    <w:autoSpaceDN/>
                    <w:jc w:val="center"/>
                    <w:rPr>
                      <w:rFonts w:ascii="Times New Roman" w:hAnsi="Times New Roman"/>
                      <w:lang w:val="en-US" w:bidi="ar-SA"/>
                    </w:rPr>
                  </w:pPr>
                </w:p>
              </w:tc>
              <w:tc>
                <w:tcPr>
                  <w:tcW w:w="582" w:type="dxa"/>
                  <w:vMerge w:val="continue"/>
                  <w:vAlign w:val="center"/>
                </w:tcPr>
                <w:p>
                  <w:pPr>
                    <w:widowControl/>
                    <w:autoSpaceDE/>
                    <w:autoSpaceDN/>
                    <w:jc w:val="center"/>
                    <w:rPr>
                      <w:rFonts w:ascii="Times New Roman" w:hAnsi="Times New Roman"/>
                      <w:lang w:val="en-US"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生产废水</w:t>
                  </w:r>
                </w:p>
              </w:tc>
              <w:tc>
                <w:tcPr>
                  <w:tcW w:w="8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8398.2</w:t>
                  </w:r>
                </w:p>
              </w:tc>
              <w:tc>
                <w:tcPr>
                  <w:tcW w:w="758"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桂集镇污水处理厂</w:t>
                  </w:r>
                </w:p>
              </w:tc>
              <w:tc>
                <w:tcPr>
                  <w:tcW w:w="425" w:type="dxa"/>
                  <w:vMerge w:val="restart"/>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浓度</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709"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1</w:t>
                  </w:r>
                  <w:r>
                    <w:rPr>
                      <w:rFonts w:ascii="Times New Roman" w:hAnsi="Times New Roman"/>
                      <w:lang w:val="en-US" w:bidi="ar-SA"/>
                    </w:rPr>
                    <w:t>25.8</w:t>
                  </w:r>
                </w:p>
              </w:tc>
              <w:tc>
                <w:tcPr>
                  <w:tcW w:w="850" w:type="dxa"/>
                  <w:noWrap/>
                  <w:vAlign w:val="center"/>
                </w:tcPr>
                <w:p>
                  <w:pPr>
                    <w:widowControl/>
                    <w:autoSpaceDE/>
                    <w:autoSpaceDN/>
                    <w:jc w:val="center"/>
                    <w:rPr>
                      <w:rFonts w:ascii="Times New Roman" w:hAnsi="Times New Roman"/>
                      <w:lang w:val="en-US" w:bidi="ar-SA"/>
                    </w:rPr>
                  </w:pPr>
                  <w:r>
                    <w:rPr>
                      <w:rFonts w:hint="eastAsia" w:ascii="Times New Roman" w:hAnsi="Times New Roman"/>
                      <w:lang w:val="en-US" w:bidi="ar-SA"/>
                    </w:rPr>
                    <w:t>4</w:t>
                  </w:r>
                  <w:r>
                    <w:rPr>
                      <w:rFonts w:ascii="Times New Roman" w:hAnsi="Times New Roman"/>
                      <w:lang w:val="en-US" w:bidi="ar-SA"/>
                    </w:rPr>
                    <w:t>8.31</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148.05</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14.53</w:t>
                  </w:r>
                </w:p>
              </w:tc>
              <w:tc>
                <w:tcPr>
                  <w:tcW w:w="58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生活污水</w:t>
                  </w:r>
                </w:p>
              </w:tc>
              <w:tc>
                <w:tcPr>
                  <w:tcW w:w="8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5280</w:t>
                  </w:r>
                </w:p>
              </w:tc>
              <w:tc>
                <w:tcPr>
                  <w:tcW w:w="758" w:type="dxa"/>
                  <w:vMerge w:val="continue"/>
                  <w:vAlign w:val="center"/>
                </w:tcPr>
                <w:p>
                  <w:pPr>
                    <w:widowControl/>
                    <w:autoSpaceDE/>
                    <w:autoSpaceDN/>
                    <w:jc w:val="center"/>
                    <w:rPr>
                      <w:rFonts w:ascii="Times New Roman" w:hAnsi="Times New Roman"/>
                      <w:lang w:val="en-US" w:bidi="ar-SA"/>
                    </w:rPr>
                  </w:pPr>
                </w:p>
              </w:tc>
              <w:tc>
                <w:tcPr>
                  <w:tcW w:w="425" w:type="dxa"/>
                  <w:vMerge w:val="continue"/>
                  <w:noWrap/>
                  <w:vAlign w:val="center"/>
                </w:tcPr>
                <w:p>
                  <w:pPr>
                    <w:widowControl/>
                    <w:autoSpaceDE/>
                    <w:autoSpaceDN/>
                    <w:jc w:val="center"/>
                    <w:rPr>
                      <w:rFonts w:ascii="Times New Roman" w:hAnsi="Times New Roman"/>
                      <w:lang w:val="en-US" w:bidi="ar-SA"/>
                    </w:rPr>
                  </w:pP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297</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182</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28</w:t>
                  </w:r>
                </w:p>
              </w:tc>
              <w:tc>
                <w:tcPr>
                  <w:tcW w:w="58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4.9</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10</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5" w:hRule="atLeast"/>
                <w:jc w:val="center"/>
              </w:trPr>
              <w:tc>
                <w:tcPr>
                  <w:tcW w:w="9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纯水制备浓水</w:t>
                  </w:r>
                </w:p>
              </w:tc>
              <w:tc>
                <w:tcPr>
                  <w:tcW w:w="8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6633.82</w:t>
                  </w:r>
                </w:p>
              </w:tc>
              <w:tc>
                <w:tcPr>
                  <w:tcW w:w="758" w:type="dxa"/>
                  <w:vMerge w:val="continue"/>
                  <w:vAlign w:val="center"/>
                </w:tcPr>
                <w:p>
                  <w:pPr>
                    <w:widowControl/>
                    <w:autoSpaceDE/>
                    <w:autoSpaceDN/>
                    <w:jc w:val="center"/>
                    <w:rPr>
                      <w:rFonts w:ascii="Times New Roman" w:hAnsi="Times New Roman"/>
                      <w:lang w:val="en-US" w:bidi="ar-SA"/>
                    </w:rPr>
                  </w:pPr>
                </w:p>
              </w:tc>
              <w:tc>
                <w:tcPr>
                  <w:tcW w:w="425" w:type="dxa"/>
                  <w:vMerge w:val="continue"/>
                  <w:noWrap/>
                  <w:vAlign w:val="center"/>
                </w:tcPr>
                <w:p>
                  <w:pPr>
                    <w:widowControl/>
                    <w:autoSpaceDE/>
                    <w:autoSpaceDN/>
                    <w:jc w:val="center"/>
                    <w:rPr>
                      <w:rFonts w:ascii="Times New Roman" w:hAnsi="Times New Roman"/>
                      <w:lang w:val="en-US" w:bidi="ar-SA"/>
                    </w:rPr>
                  </w:pP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60</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8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34"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汇总</w:t>
                  </w:r>
                </w:p>
              </w:tc>
              <w:tc>
                <w:tcPr>
                  <w:tcW w:w="89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20312.02</w:t>
                  </w:r>
                </w:p>
              </w:tc>
              <w:tc>
                <w:tcPr>
                  <w:tcW w:w="758" w:type="dxa"/>
                  <w:vMerge w:val="continue"/>
                  <w:vAlign w:val="center"/>
                </w:tcPr>
                <w:p>
                  <w:pPr>
                    <w:widowControl/>
                    <w:autoSpaceDE/>
                    <w:autoSpaceDN/>
                    <w:jc w:val="center"/>
                    <w:rPr>
                      <w:rFonts w:ascii="Times New Roman" w:hAnsi="Times New Roman"/>
                      <w:lang w:val="en-US" w:bidi="ar-SA"/>
                    </w:rPr>
                  </w:pPr>
                </w:p>
              </w:tc>
              <w:tc>
                <w:tcPr>
                  <w:tcW w:w="425" w:type="dxa"/>
                  <w:vMerge w:val="continue"/>
                  <w:noWrap/>
                  <w:vAlign w:val="center"/>
                </w:tcPr>
                <w:p>
                  <w:pPr>
                    <w:widowControl/>
                    <w:autoSpaceDE/>
                    <w:autoSpaceDN/>
                    <w:jc w:val="center"/>
                    <w:rPr>
                      <w:rFonts w:ascii="Times New Roman" w:hAnsi="Times New Roman"/>
                      <w:lang w:val="en-US" w:bidi="ar-SA"/>
                    </w:rPr>
                  </w:pP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147.06</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19.84</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123.57</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13.34</w:t>
                  </w:r>
                </w:p>
              </w:tc>
              <w:tc>
                <w:tcPr>
                  <w:tcW w:w="58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1.23</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2.61</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0" w:hRule="atLeast"/>
                <w:jc w:val="center"/>
              </w:trPr>
              <w:tc>
                <w:tcPr>
                  <w:tcW w:w="3009" w:type="dxa"/>
                  <w:gridSpan w:val="4"/>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本项目污水处理接管标准</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6-9</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500</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300</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400</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45</w:t>
                  </w:r>
                </w:p>
              </w:tc>
              <w:tc>
                <w:tcPr>
                  <w:tcW w:w="58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8</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100</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09" w:type="dxa"/>
                  <w:gridSpan w:val="4"/>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达标情况</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850"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851"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709"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586"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c>
                <w:tcPr>
                  <w:tcW w:w="582" w:type="dxa"/>
                  <w:noWrap/>
                  <w:vAlign w:val="center"/>
                </w:tcPr>
                <w:p>
                  <w:pPr>
                    <w:widowControl/>
                    <w:autoSpaceDE/>
                    <w:autoSpaceDN/>
                    <w:jc w:val="center"/>
                    <w:rPr>
                      <w:rFonts w:ascii="Times New Roman" w:hAnsi="Times New Roman"/>
                      <w:lang w:val="en-US" w:bidi="ar-SA"/>
                    </w:rPr>
                  </w:pPr>
                  <w:r>
                    <w:rPr>
                      <w:rFonts w:ascii="Times New Roman" w:hAnsi="Times New Roman"/>
                      <w:lang w:val="en-US" w:bidi="ar-SA"/>
                    </w:rPr>
                    <w:t>达标</w:t>
                  </w:r>
                </w:p>
              </w:tc>
            </w:tr>
          </w:tbl>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由上述各表可知，本项目生产废水和生活污水分质处理后各项指标均可以达到《污水综合排放标准》（GB8978-1996）中三级排放标准及桂集镇污水处理厂接管标准中较严标准，经市政污水管网进入桂集镇污水处理厂处理达标后排入永幸河。</w:t>
            </w:r>
          </w:p>
          <w:p>
            <w:pPr>
              <w:pStyle w:val="2"/>
              <w:snapToGrid w:val="0"/>
              <w:spacing w:after="0" w:line="360" w:lineRule="auto"/>
              <w:ind w:left="0" w:leftChars="0" w:firstLine="480"/>
              <w:jc w:val="both"/>
              <w:rPr>
                <w:rFonts w:ascii="Times New Roman" w:hAnsi="Times New Roman"/>
                <w:sz w:val="24"/>
              </w:rPr>
            </w:pPr>
            <w:r>
              <w:rPr>
                <w:rFonts w:ascii="Times New Roman" w:hAnsi="Times New Roman"/>
                <w:sz w:val="24"/>
              </w:rPr>
              <w:t>因此，本项目废水处理设施可行。</w:t>
            </w:r>
          </w:p>
          <w:p>
            <w:pPr>
              <w:pStyle w:val="54"/>
              <w:spacing w:line="440" w:lineRule="exact"/>
              <w:ind w:left="420" w:leftChars="200" w:firstLine="0" w:firstLineChars="0"/>
              <w:rPr>
                <w:rFonts w:ascii="Times New Roman" w:hAnsi="Times New Roman"/>
                <w:b/>
                <w:bCs/>
              </w:rPr>
            </w:pPr>
            <w:r>
              <w:rPr>
                <w:rFonts w:ascii="Times New Roman" w:hAnsi="Times New Roman"/>
                <w:b/>
                <w:bCs/>
              </w:rPr>
              <w:t>3、接管可行性分析</w:t>
            </w:r>
          </w:p>
          <w:p>
            <w:pPr>
              <w:spacing w:line="440" w:lineRule="exact"/>
              <w:ind w:right="109" w:firstLine="480" w:firstLineChars="200"/>
              <w:jc w:val="both"/>
              <w:rPr>
                <w:rFonts w:ascii="Times New Roman" w:hAnsi="Times New Roman"/>
                <w:sz w:val="24"/>
              </w:rPr>
            </w:pPr>
            <w:r>
              <w:rPr>
                <w:rFonts w:ascii="Times New Roman" w:hAnsi="Times New Roman"/>
                <w:sz w:val="24"/>
              </w:rPr>
              <w:t>本项目在桂集镇污水处理厂服务范围内，凤台县桂集镇污水处理厂处理达到《城镇污水处理厂污染物排放标准》（GB18918-2002）的表1一级A标准后排放到永幸河。</w:t>
            </w:r>
          </w:p>
          <w:p>
            <w:pPr>
              <w:spacing w:line="440" w:lineRule="exact"/>
              <w:ind w:firstLine="480" w:firstLineChars="200"/>
              <w:jc w:val="both"/>
              <w:rPr>
                <w:rFonts w:ascii="Times New Roman" w:hAnsi="Times New Roman"/>
                <w:sz w:val="24"/>
              </w:rPr>
            </w:pPr>
            <w:r>
              <w:rPr>
                <w:rFonts w:ascii="Times New Roman" w:hAnsi="Times New Roman"/>
                <w:sz w:val="24"/>
              </w:rPr>
              <w:t>桂集镇污水处理厂污水处理设计规模为1万m</w:t>
            </w:r>
            <w:r>
              <w:rPr>
                <w:rFonts w:ascii="Times New Roman" w:hAnsi="Times New Roman"/>
                <w:sz w:val="24"/>
                <w:vertAlign w:val="superscript"/>
              </w:rPr>
              <w:t>3</w:t>
            </w:r>
            <w:r>
              <w:rPr>
                <w:rFonts w:ascii="Times New Roman" w:hAnsi="Times New Roman"/>
                <w:sz w:val="24"/>
              </w:rPr>
              <w:t>/d，本项目的废水产生量为67.71t/d，占份额较小。因此，桂集镇污水处理厂有足够的余量来处理本项目产生的污水。</w:t>
            </w:r>
          </w:p>
          <w:p>
            <w:pPr>
              <w:spacing w:line="440" w:lineRule="exact"/>
              <w:ind w:firstLine="480" w:firstLineChars="200"/>
              <w:jc w:val="both"/>
              <w:rPr>
                <w:rFonts w:ascii="Times New Roman" w:hAnsi="Times New Roman"/>
                <w:sz w:val="24"/>
              </w:rPr>
            </w:pPr>
            <w:r>
              <w:rPr>
                <w:rFonts w:ascii="Times New Roman" w:hAnsi="Times New Roman"/>
                <w:sz w:val="24"/>
              </w:rPr>
              <w:t>综上所述，本项目废水排入桂集镇污水处理厂处理技术上是可行的，不会降低项目区现有水环境功能，对区域地表水环境不会造成明显影响。</w:t>
            </w:r>
          </w:p>
          <w:p>
            <w:pPr>
              <w:snapToGrid w:val="0"/>
              <w:spacing w:line="440" w:lineRule="exact"/>
              <w:ind w:firstLine="482" w:firstLineChars="200"/>
              <w:rPr>
                <w:rFonts w:ascii="Times New Roman" w:hAnsi="Times New Roman"/>
                <w:b/>
                <w:bCs/>
                <w:sz w:val="24"/>
              </w:rPr>
            </w:pPr>
            <w:r>
              <w:rPr>
                <w:rFonts w:ascii="Times New Roman" w:hAnsi="Times New Roman"/>
                <w:b/>
                <w:bCs/>
                <w:sz w:val="24"/>
              </w:rPr>
              <w:t>4、水污染物排放信息</w:t>
            </w:r>
          </w:p>
          <w:p>
            <w:pPr>
              <w:spacing w:line="440" w:lineRule="exact"/>
              <w:ind w:firstLine="480" w:firstLineChars="200"/>
              <w:rPr>
                <w:rFonts w:ascii="Times New Roman" w:hAnsi="Times New Roman"/>
                <w:sz w:val="24"/>
              </w:rPr>
            </w:pPr>
            <w:r>
              <w:rPr>
                <w:rFonts w:ascii="Times New Roman" w:hAnsi="Times New Roman"/>
                <w:sz w:val="24"/>
              </w:rPr>
              <w:t>（1）废水类别、污染物及污染治理设施信息见下表：</w:t>
            </w:r>
          </w:p>
          <w:p>
            <w:pPr>
              <w:pStyle w:val="83"/>
              <w:spacing w:line="440" w:lineRule="exact"/>
              <w:ind w:firstLine="0" w:firstLineChars="0"/>
              <w:jc w:val="center"/>
              <w:rPr>
                <w:rFonts w:ascii="Times New Roman" w:hAnsi="Times New Roman"/>
                <w:b/>
                <w:bCs/>
                <w:sz w:val="21"/>
                <w:szCs w:val="21"/>
              </w:rPr>
            </w:pPr>
            <w:r>
              <w:rPr>
                <w:rFonts w:ascii="Times New Roman" w:hAnsi="Times New Roman"/>
                <w:b/>
                <w:bCs/>
                <w:sz w:val="21"/>
                <w:szCs w:val="21"/>
              </w:rPr>
              <w:t>表4-8废水类别、污染物及污染治理设施信息表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
              <w:gridCol w:w="719"/>
              <w:gridCol w:w="817"/>
              <w:gridCol w:w="1226"/>
              <w:gridCol w:w="1013"/>
              <w:gridCol w:w="709"/>
              <w:gridCol w:w="559"/>
              <w:gridCol w:w="1003"/>
              <w:gridCol w:w="657"/>
              <w:gridCol w:w="549"/>
              <w:gridCol w:w="9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68" w:type="dxa"/>
                  <w:vMerge w:val="restart"/>
                  <w:vAlign w:val="center"/>
                </w:tcPr>
                <w:p>
                  <w:pPr>
                    <w:jc w:val="center"/>
                    <w:rPr>
                      <w:rFonts w:ascii="Times New Roman" w:hAnsi="Times New Roman"/>
                      <w:b/>
                    </w:rPr>
                  </w:pPr>
                  <w:r>
                    <w:rPr>
                      <w:rFonts w:ascii="Times New Roman" w:hAnsi="Times New Roman"/>
                      <w:b/>
                    </w:rPr>
                    <w:t>序号</w:t>
                  </w:r>
                </w:p>
              </w:tc>
              <w:tc>
                <w:tcPr>
                  <w:tcW w:w="719" w:type="dxa"/>
                  <w:vMerge w:val="restart"/>
                  <w:vAlign w:val="center"/>
                </w:tcPr>
                <w:p>
                  <w:pPr>
                    <w:jc w:val="center"/>
                    <w:rPr>
                      <w:rFonts w:ascii="Times New Roman" w:hAnsi="Times New Roman"/>
                      <w:b/>
                    </w:rPr>
                  </w:pPr>
                  <w:r>
                    <w:rPr>
                      <w:rFonts w:ascii="Times New Roman" w:hAnsi="Times New Roman"/>
                      <w:b/>
                    </w:rPr>
                    <w:t>废水类别</w:t>
                  </w:r>
                </w:p>
              </w:tc>
              <w:tc>
                <w:tcPr>
                  <w:tcW w:w="817" w:type="dxa"/>
                  <w:vMerge w:val="restart"/>
                  <w:vAlign w:val="center"/>
                </w:tcPr>
                <w:p>
                  <w:pPr>
                    <w:jc w:val="center"/>
                    <w:rPr>
                      <w:rFonts w:ascii="Times New Roman" w:hAnsi="Times New Roman"/>
                      <w:b/>
                    </w:rPr>
                  </w:pPr>
                  <w:r>
                    <w:rPr>
                      <w:rFonts w:ascii="Times New Roman" w:hAnsi="Times New Roman"/>
                      <w:b/>
                    </w:rPr>
                    <w:t>污染物种类</w:t>
                  </w:r>
                </w:p>
              </w:tc>
              <w:tc>
                <w:tcPr>
                  <w:tcW w:w="1226" w:type="dxa"/>
                  <w:vMerge w:val="restart"/>
                  <w:vAlign w:val="center"/>
                </w:tcPr>
                <w:p>
                  <w:pPr>
                    <w:jc w:val="center"/>
                    <w:rPr>
                      <w:rFonts w:ascii="Times New Roman" w:hAnsi="Times New Roman"/>
                      <w:b/>
                    </w:rPr>
                  </w:pPr>
                  <w:r>
                    <w:rPr>
                      <w:rFonts w:ascii="Times New Roman" w:hAnsi="Times New Roman"/>
                      <w:b/>
                    </w:rPr>
                    <w:t>排放去向</w:t>
                  </w:r>
                </w:p>
              </w:tc>
              <w:tc>
                <w:tcPr>
                  <w:tcW w:w="1013" w:type="dxa"/>
                  <w:vMerge w:val="restart"/>
                  <w:vAlign w:val="center"/>
                </w:tcPr>
                <w:p>
                  <w:pPr>
                    <w:jc w:val="center"/>
                    <w:rPr>
                      <w:rFonts w:ascii="Times New Roman" w:hAnsi="Times New Roman"/>
                      <w:b/>
                    </w:rPr>
                  </w:pPr>
                  <w:r>
                    <w:rPr>
                      <w:rFonts w:ascii="Times New Roman" w:hAnsi="Times New Roman"/>
                      <w:b/>
                    </w:rPr>
                    <w:t>排放规律</w:t>
                  </w:r>
                </w:p>
              </w:tc>
              <w:tc>
                <w:tcPr>
                  <w:tcW w:w="2271" w:type="dxa"/>
                  <w:gridSpan w:val="3"/>
                  <w:vAlign w:val="center"/>
                </w:tcPr>
                <w:p>
                  <w:pPr>
                    <w:jc w:val="center"/>
                    <w:rPr>
                      <w:rFonts w:ascii="Times New Roman" w:hAnsi="Times New Roman"/>
                      <w:b/>
                    </w:rPr>
                  </w:pPr>
                  <w:r>
                    <w:rPr>
                      <w:rFonts w:ascii="Times New Roman" w:hAnsi="Times New Roman"/>
                      <w:b/>
                    </w:rPr>
                    <w:t>污染治理措施</w:t>
                  </w:r>
                </w:p>
              </w:tc>
              <w:tc>
                <w:tcPr>
                  <w:tcW w:w="657" w:type="dxa"/>
                  <w:vMerge w:val="restart"/>
                  <w:vAlign w:val="center"/>
                </w:tcPr>
                <w:p>
                  <w:pPr>
                    <w:jc w:val="center"/>
                    <w:rPr>
                      <w:rFonts w:ascii="Times New Roman" w:hAnsi="Times New Roman"/>
                      <w:b/>
                    </w:rPr>
                  </w:pPr>
                  <w:r>
                    <w:rPr>
                      <w:rFonts w:ascii="Times New Roman" w:hAnsi="Times New Roman"/>
                      <w:b/>
                    </w:rPr>
                    <w:t>排放口编号</w:t>
                  </w:r>
                </w:p>
              </w:tc>
              <w:tc>
                <w:tcPr>
                  <w:tcW w:w="549" w:type="dxa"/>
                  <w:vMerge w:val="restart"/>
                  <w:vAlign w:val="center"/>
                </w:tcPr>
                <w:p>
                  <w:pPr>
                    <w:jc w:val="center"/>
                    <w:rPr>
                      <w:rFonts w:ascii="Times New Roman" w:hAnsi="Times New Roman"/>
                      <w:b/>
                    </w:rPr>
                  </w:pPr>
                  <w:r>
                    <w:rPr>
                      <w:rFonts w:ascii="Times New Roman" w:hAnsi="Times New Roman"/>
                      <w:b/>
                    </w:rPr>
                    <w:t>排放口设置是否符合要求</w:t>
                  </w:r>
                </w:p>
              </w:tc>
              <w:tc>
                <w:tcPr>
                  <w:tcW w:w="967" w:type="dxa"/>
                  <w:vMerge w:val="restart"/>
                  <w:vAlign w:val="center"/>
                </w:tcPr>
                <w:p>
                  <w:pPr>
                    <w:jc w:val="center"/>
                    <w:rPr>
                      <w:rFonts w:ascii="Times New Roman" w:hAnsi="Times New Roman"/>
                      <w:b/>
                    </w:rPr>
                  </w:pPr>
                  <w:r>
                    <w:rPr>
                      <w:rFonts w:ascii="Times New Roman" w:hAnsi="Times New Roman"/>
                      <w:b/>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68" w:type="dxa"/>
                  <w:vMerge w:val="continue"/>
                  <w:vAlign w:val="center"/>
                </w:tcPr>
                <w:p>
                  <w:pPr>
                    <w:jc w:val="center"/>
                    <w:rPr>
                      <w:rFonts w:ascii="Times New Roman" w:hAnsi="Times New Roman"/>
                      <w:b/>
                    </w:rPr>
                  </w:pPr>
                </w:p>
              </w:tc>
              <w:tc>
                <w:tcPr>
                  <w:tcW w:w="719" w:type="dxa"/>
                  <w:vMerge w:val="continue"/>
                  <w:vAlign w:val="center"/>
                </w:tcPr>
                <w:p>
                  <w:pPr>
                    <w:jc w:val="center"/>
                    <w:rPr>
                      <w:rFonts w:ascii="Times New Roman" w:hAnsi="Times New Roman"/>
                      <w:b/>
                    </w:rPr>
                  </w:pPr>
                </w:p>
              </w:tc>
              <w:tc>
                <w:tcPr>
                  <w:tcW w:w="817" w:type="dxa"/>
                  <w:vMerge w:val="continue"/>
                  <w:vAlign w:val="center"/>
                </w:tcPr>
                <w:p>
                  <w:pPr>
                    <w:jc w:val="center"/>
                    <w:rPr>
                      <w:rFonts w:ascii="Times New Roman" w:hAnsi="Times New Roman"/>
                      <w:b/>
                    </w:rPr>
                  </w:pPr>
                </w:p>
              </w:tc>
              <w:tc>
                <w:tcPr>
                  <w:tcW w:w="1226" w:type="dxa"/>
                  <w:vMerge w:val="continue"/>
                  <w:vAlign w:val="center"/>
                </w:tcPr>
                <w:p>
                  <w:pPr>
                    <w:jc w:val="center"/>
                    <w:rPr>
                      <w:rFonts w:ascii="Times New Roman" w:hAnsi="Times New Roman"/>
                      <w:b/>
                    </w:rPr>
                  </w:pPr>
                </w:p>
              </w:tc>
              <w:tc>
                <w:tcPr>
                  <w:tcW w:w="1013" w:type="dxa"/>
                  <w:vMerge w:val="continue"/>
                  <w:vAlign w:val="center"/>
                </w:tcPr>
                <w:p>
                  <w:pPr>
                    <w:jc w:val="center"/>
                    <w:rPr>
                      <w:rFonts w:ascii="Times New Roman" w:hAnsi="Times New Roman"/>
                      <w:b/>
                    </w:rPr>
                  </w:pPr>
                </w:p>
              </w:tc>
              <w:tc>
                <w:tcPr>
                  <w:tcW w:w="709" w:type="dxa"/>
                  <w:vAlign w:val="center"/>
                </w:tcPr>
                <w:p>
                  <w:pPr>
                    <w:jc w:val="center"/>
                    <w:rPr>
                      <w:rFonts w:ascii="Times New Roman" w:hAnsi="Times New Roman"/>
                      <w:b/>
                    </w:rPr>
                  </w:pPr>
                  <w:r>
                    <w:rPr>
                      <w:rFonts w:ascii="Times New Roman" w:hAnsi="Times New Roman"/>
                      <w:b/>
                    </w:rPr>
                    <w:t>污染治理措施编号</w:t>
                  </w:r>
                </w:p>
              </w:tc>
              <w:tc>
                <w:tcPr>
                  <w:tcW w:w="559" w:type="dxa"/>
                  <w:vAlign w:val="center"/>
                </w:tcPr>
                <w:p>
                  <w:pPr>
                    <w:jc w:val="center"/>
                    <w:rPr>
                      <w:rFonts w:ascii="Times New Roman" w:hAnsi="Times New Roman"/>
                      <w:b/>
                    </w:rPr>
                  </w:pPr>
                  <w:r>
                    <w:rPr>
                      <w:rFonts w:ascii="Times New Roman" w:hAnsi="Times New Roman"/>
                      <w:b/>
                    </w:rPr>
                    <w:t>污染治理措施名称</w:t>
                  </w:r>
                </w:p>
              </w:tc>
              <w:tc>
                <w:tcPr>
                  <w:tcW w:w="1003" w:type="dxa"/>
                  <w:vAlign w:val="center"/>
                </w:tcPr>
                <w:p>
                  <w:pPr>
                    <w:jc w:val="center"/>
                    <w:rPr>
                      <w:rFonts w:ascii="Times New Roman" w:hAnsi="Times New Roman"/>
                      <w:b/>
                    </w:rPr>
                  </w:pPr>
                  <w:r>
                    <w:rPr>
                      <w:rFonts w:ascii="Times New Roman" w:hAnsi="Times New Roman"/>
                      <w:b/>
                    </w:rPr>
                    <w:t>污染治理措施工艺</w:t>
                  </w:r>
                </w:p>
              </w:tc>
              <w:tc>
                <w:tcPr>
                  <w:tcW w:w="657" w:type="dxa"/>
                  <w:vMerge w:val="continue"/>
                  <w:vAlign w:val="center"/>
                </w:tcPr>
                <w:p>
                  <w:pPr>
                    <w:jc w:val="center"/>
                    <w:rPr>
                      <w:rFonts w:ascii="Times New Roman" w:hAnsi="Times New Roman"/>
                      <w:b/>
                    </w:rPr>
                  </w:pPr>
                </w:p>
              </w:tc>
              <w:tc>
                <w:tcPr>
                  <w:tcW w:w="549" w:type="dxa"/>
                  <w:vMerge w:val="continue"/>
                  <w:vAlign w:val="center"/>
                </w:tcPr>
                <w:p>
                  <w:pPr>
                    <w:jc w:val="center"/>
                    <w:rPr>
                      <w:rFonts w:ascii="Times New Roman" w:hAnsi="Times New Roman"/>
                      <w:b/>
                    </w:rPr>
                  </w:pPr>
                </w:p>
              </w:tc>
              <w:tc>
                <w:tcPr>
                  <w:tcW w:w="967" w:type="dxa"/>
                  <w:vMerge w:val="continue"/>
                  <w:vAlign w:val="center"/>
                </w:tcPr>
                <w:p>
                  <w:pPr>
                    <w:jc w:val="center"/>
                    <w:rPr>
                      <w:rFonts w:ascii="Times New Roman" w:hAnsi="Times New Roman"/>
                      <w:b/>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95" w:hRule="atLeast"/>
                <w:jc w:val="center"/>
              </w:trPr>
              <w:tc>
                <w:tcPr>
                  <w:tcW w:w="368" w:type="dxa"/>
                  <w:vAlign w:val="center"/>
                </w:tcPr>
                <w:p>
                  <w:pPr>
                    <w:jc w:val="center"/>
                    <w:rPr>
                      <w:rFonts w:ascii="Times New Roman" w:hAnsi="Times New Roman"/>
                    </w:rPr>
                  </w:pPr>
                  <w:r>
                    <w:rPr>
                      <w:rFonts w:ascii="Times New Roman" w:hAnsi="Times New Roman"/>
                    </w:rPr>
                    <w:t>1</w:t>
                  </w:r>
                </w:p>
              </w:tc>
              <w:tc>
                <w:tcPr>
                  <w:tcW w:w="719" w:type="dxa"/>
                  <w:vAlign w:val="center"/>
                </w:tcPr>
                <w:p>
                  <w:pPr>
                    <w:jc w:val="center"/>
                    <w:rPr>
                      <w:rFonts w:ascii="Times New Roman" w:hAnsi="Times New Roman"/>
                    </w:rPr>
                  </w:pPr>
                  <w:r>
                    <w:rPr>
                      <w:rFonts w:ascii="Times New Roman" w:hAnsi="Times New Roman"/>
                    </w:rPr>
                    <w:t>生活污水</w:t>
                  </w:r>
                </w:p>
              </w:tc>
              <w:tc>
                <w:tcPr>
                  <w:tcW w:w="817" w:type="dxa"/>
                  <w:vAlign w:val="center"/>
                </w:tcPr>
                <w:p>
                  <w:pPr>
                    <w:jc w:val="center"/>
                    <w:rPr>
                      <w:rFonts w:ascii="Times New Roman" w:hAnsi="Times New Roman"/>
                    </w:rPr>
                  </w:pPr>
                  <w:r>
                    <w:rPr>
                      <w:rFonts w:ascii="Times New Roman" w:hAnsi="Times New Roman"/>
                      <w:bCs/>
                    </w:rPr>
                    <w:t>COD、NH</w:t>
                  </w:r>
                  <w:r>
                    <w:rPr>
                      <w:rFonts w:ascii="Times New Roman" w:hAnsi="Times New Roman"/>
                      <w:bCs/>
                      <w:vertAlign w:val="subscript"/>
                    </w:rPr>
                    <w:t>3</w:t>
                  </w:r>
                  <w:r>
                    <w:rPr>
                      <w:rFonts w:ascii="Times New Roman" w:hAnsi="Times New Roman"/>
                      <w:bCs/>
                    </w:rPr>
                    <w:t>-N、SS、TP、动植物油等</w:t>
                  </w:r>
                </w:p>
              </w:tc>
              <w:tc>
                <w:tcPr>
                  <w:tcW w:w="1226" w:type="dxa"/>
                  <w:vAlign w:val="center"/>
                </w:tcPr>
                <w:p>
                  <w:pPr>
                    <w:jc w:val="center"/>
                    <w:rPr>
                      <w:rFonts w:ascii="Times New Roman" w:hAnsi="Times New Roman"/>
                    </w:rPr>
                  </w:pPr>
                  <w:r>
                    <w:rPr>
                      <w:rFonts w:ascii="Times New Roman" w:hAnsi="Times New Roman"/>
                    </w:rPr>
                    <w:t>经隔油池+化粪池处理后接管至</w:t>
                  </w:r>
                  <w:r>
                    <w:rPr>
                      <w:rFonts w:ascii="Times New Roman" w:hAnsi="Times New Roman"/>
                      <w:bCs/>
                    </w:rPr>
                    <w:t>桂集镇污水处理厂</w:t>
                  </w:r>
                  <w:r>
                    <w:rPr>
                      <w:rFonts w:ascii="Times New Roman" w:hAnsi="Times New Roman"/>
                    </w:rPr>
                    <w:t>处理</w:t>
                  </w:r>
                </w:p>
              </w:tc>
              <w:tc>
                <w:tcPr>
                  <w:tcW w:w="1013" w:type="dxa"/>
                  <w:vMerge w:val="restart"/>
                  <w:vAlign w:val="center"/>
                </w:tcPr>
                <w:p>
                  <w:pPr>
                    <w:jc w:val="center"/>
                    <w:rPr>
                      <w:rFonts w:ascii="Times New Roman" w:hAnsi="Times New Roman"/>
                    </w:rPr>
                  </w:pPr>
                  <w:r>
                    <w:rPr>
                      <w:rFonts w:ascii="Times New Roman" w:hAnsi="Times New Roman"/>
                    </w:rPr>
                    <w:t>间断排放，排放期间流量不稳定且无规律，但不属于冲击型排放</w:t>
                  </w:r>
                </w:p>
              </w:tc>
              <w:tc>
                <w:tcPr>
                  <w:tcW w:w="709" w:type="dxa"/>
                  <w:vAlign w:val="center"/>
                </w:tcPr>
                <w:p>
                  <w:pPr>
                    <w:jc w:val="center"/>
                    <w:rPr>
                      <w:rFonts w:ascii="Times New Roman" w:hAnsi="Times New Roman"/>
                    </w:rPr>
                  </w:pPr>
                  <w:r>
                    <w:rPr>
                      <w:rFonts w:ascii="Times New Roman" w:hAnsi="Times New Roman"/>
                    </w:rPr>
                    <w:t>TW001</w:t>
                  </w:r>
                </w:p>
              </w:tc>
              <w:tc>
                <w:tcPr>
                  <w:tcW w:w="559" w:type="dxa"/>
                  <w:vAlign w:val="center"/>
                </w:tcPr>
                <w:p>
                  <w:pPr>
                    <w:jc w:val="center"/>
                    <w:rPr>
                      <w:rFonts w:ascii="Times New Roman" w:hAnsi="Times New Roman"/>
                    </w:rPr>
                  </w:pPr>
                  <w:r>
                    <w:rPr>
                      <w:rFonts w:ascii="Times New Roman" w:hAnsi="Times New Roman"/>
                    </w:rPr>
                    <w:t>隔油池+化粪池</w:t>
                  </w:r>
                </w:p>
              </w:tc>
              <w:tc>
                <w:tcPr>
                  <w:tcW w:w="1003" w:type="dxa"/>
                  <w:vAlign w:val="center"/>
                </w:tcPr>
                <w:p>
                  <w:pPr>
                    <w:jc w:val="center"/>
                    <w:rPr>
                      <w:rFonts w:ascii="Times New Roman" w:hAnsi="Times New Roman"/>
                    </w:rPr>
                  </w:pPr>
                  <w:r>
                    <w:rPr>
                      <w:rFonts w:ascii="Times New Roman" w:hAnsi="Times New Roman"/>
                    </w:rPr>
                    <w:t>隔油池+化粪池</w:t>
                  </w:r>
                </w:p>
              </w:tc>
              <w:tc>
                <w:tcPr>
                  <w:tcW w:w="657" w:type="dxa"/>
                  <w:vMerge w:val="restart"/>
                  <w:vAlign w:val="center"/>
                </w:tcPr>
                <w:p>
                  <w:pPr>
                    <w:jc w:val="center"/>
                    <w:rPr>
                      <w:rFonts w:ascii="Times New Roman" w:hAnsi="Times New Roman"/>
                    </w:rPr>
                  </w:pPr>
                  <w:r>
                    <w:rPr>
                      <w:rFonts w:ascii="Times New Roman" w:hAnsi="Times New Roman"/>
                    </w:rPr>
                    <w:t>DW001</w:t>
                  </w:r>
                </w:p>
              </w:tc>
              <w:tc>
                <w:tcPr>
                  <w:tcW w:w="549" w:type="dxa"/>
                  <w:vMerge w:val="restart"/>
                  <w:vAlign w:val="center"/>
                </w:tcPr>
                <w:p>
                  <w:pPr>
                    <w:jc w:val="center"/>
                    <w:rPr>
                      <w:rFonts w:ascii="Times New Roman" w:hAnsi="Times New Roman"/>
                    </w:rPr>
                  </w:pPr>
                  <w:r>
                    <w:rPr>
                      <w:rFonts w:ascii="Times New Roman" w:hAnsi="Times New Roman"/>
                    </w:rPr>
                    <w:sym w:font="Wingdings" w:char="F0FE"/>
                  </w:r>
                  <w:r>
                    <w:rPr>
                      <w:rFonts w:ascii="Times New Roman" w:hAnsi="Times New Roman"/>
                    </w:rPr>
                    <w:t>是</w:t>
                  </w:r>
                </w:p>
                <w:p>
                  <w:pPr>
                    <w:jc w:val="center"/>
                    <w:rPr>
                      <w:rFonts w:ascii="Times New Roman" w:hAnsi="Times New Roman"/>
                    </w:rPr>
                  </w:pPr>
                  <w:r>
                    <w:rPr>
                      <w:rFonts w:ascii="Times New Roman" w:hAnsi="Times New Roman"/>
                    </w:rPr>
                    <w:t>□否</w:t>
                  </w:r>
                </w:p>
              </w:tc>
              <w:tc>
                <w:tcPr>
                  <w:tcW w:w="967" w:type="dxa"/>
                  <w:vMerge w:val="restart"/>
                  <w:vAlign w:val="center"/>
                </w:tcPr>
                <w:p>
                  <w:pPr>
                    <w:jc w:val="center"/>
                    <w:rPr>
                      <w:rFonts w:ascii="Times New Roman" w:hAnsi="Times New Roman"/>
                    </w:rPr>
                  </w:pPr>
                  <w:r>
                    <w:rPr>
                      <w:rFonts w:ascii="Times New Roman" w:hAnsi="Times New Roman"/>
                    </w:rPr>
                    <w:sym w:font="Wingdings" w:char="F0FE"/>
                  </w:r>
                  <w:r>
                    <w:rPr>
                      <w:rFonts w:ascii="Times New Roman" w:hAnsi="Times New Roman"/>
                    </w:rPr>
                    <w:t>企业总排</w:t>
                  </w:r>
                </w:p>
                <w:p>
                  <w:pPr>
                    <w:jc w:val="center"/>
                    <w:rPr>
                      <w:rFonts w:ascii="Times New Roman" w:hAnsi="Times New Roman"/>
                    </w:rPr>
                  </w:pPr>
                  <w:r>
                    <w:rPr>
                      <w:rFonts w:ascii="Times New Roman" w:hAnsi="Times New Roman"/>
                    </w:rPr>
                    <w:t>□雨水排放</w:t>
                  </w:r>
                </w:p>
                <w:p>
                  <w:pPr>
                    <w:jc w:val="center"/>
                    <w:rPr>
                      <w:rFonts w:ascii="Times New Roman" w:hAnsi="Times New Roman"/>
                    </w:rPr>
                  </w:pPr>
                  <w:r>
                    <w:rPr>
                      <w:rFonts w:ascii="Times New Roman" w:hAnsi="Times New Roman"/>
                    </w:rPr>
                    <w:t>□清净下水排放</w:t>
                  </w:r>
                </w:p>
                <w:p>
                  <w:pPr>
                    <w:jc w:val="center"/>
                    <w:rPr>
                      <w:rFonts w:ascii="Times New Roman" w:hAnsi="Times New Roman"/>
                    </w:rPr>
                  </w:pPr>
                  <w:r>
                    <w:rPr>
                      <w:rFonts w:ascii="Times New Roman" w:hAnsi="Times New Roman"/>
                    </w:rPr>
                    <w:t>□温排水排放</w:t>
                  </w:r>
                </w:p>
                <w:p>
                  <w:pPr>
                    <w:jc w:val="center"/>
                    <w:rPr>
                      <w:rFonts w:ascii="Times New Roman" w:hAnsi="Times New Roman"/>
                    </w:rPr>
                  </w:pPr>
                  <w:r>
                    <w:rPr>
                      <w:rFonts w:ascii="Times New Roman" w:hAnsi="Times New Roman"/>
                    </w:rPr>
                    <w:t>□车间或车间处理设施排放口排放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6" w:hRule="atLeast"/>
                <w:jc w:val="center"/>
              </w:trPr>
              <w:tc>
                <w:tcPr>
                  <w:tcW w:w="368" w:type="dxa"/>
                  <w:vAlign w:val="center"/>
                </w:tcPr>
                <w:p>
                  <w:pPr>
                    <w:jc w:val="center"/>
                    <w:rPr>
                      <w:rFonts w:ascii="Times New Roman" w:hAnsi="Times New Roman"/>
                    </w:rPr>
                  </w:pPr>
                  <w:r>
                    <w:rPr>
                      <w:rFonts w:ascii="Times New Roman" w:hAnsi="Times New Roman"/>
                    </w:rPr>
                    <w:t>2</w:t>
                  </w:r>
                </w:p>
              </w:tc>
              <w:tc>
                <w:tcPr>
                  <w:tcW w:w="719" w:type="dxa"/>
                  <w:vAlign w:val="center"/>
                </w:tcPr>
                <w:p>
                  <w:pPr>
                    <w:jc w:val="center"/>
                    <w:rPr>
                      <w:rFonts w:ascii="Times New Roman" w:hAnsi="Times New Roman"/>
                    </w:rPr>
                  </w:pPr>
                  <w:r>
                    <w:rPr>
                      <w:rFonts w:ascii="Times New Roman" w:hAnsi="Times New Roman"/>
                    </w:rPr>
                    <w:t>玻璃浸泡废水、清洗废水</w:t>
                  </w:r>
                </w:p>
              </w:tc>
              <w:tc>
                <w:tcPr>
                  <w:tcW w:w="817" w:type="dxa"/>
                  <w:vAlign w:val="center"/>
                </w:tcPr>
                <w:p>
                  <w:pPr>
                    <w:jc w:val="center"/>
                    <w:rPr>
                      <w:rFonts w:ascii="Times New Roman" w:hAnsi="Times New Roman"/>
                      <w:bCs/>
                    </w:rPr>
                  </w:pPr>
                  <w:r>
                    <w:rPr>
                      <w:rFonts w:ascii="Times New Roman" w:hAnsi="Times New Roman"/>
                      <w:bCs/>
                    </w:rPr>
                    <w:t>COD、</w:t>
                  </w:r>
                  <w:r>
                    <w:rPr>
                      <w:rFonts w:ascii="Times New Roman" w:hAnsi="Times New Roman"/>
                      <w:lang w:val="en-US"/>
                    </w:rPr>
                    <w:t>BOD</w:t>
                  </w:r>
                  <w:r>
                    <w:rPr>
                      <w:rFonts w:ascii="Times New Roman" w:hAnsi="Times New Roman"/>
                      <w:vertAlign w:val="subscript"/>
                      <w:lang w:val="en-US"/>
                    </w:rPr>
                    <w:t>5</w:t>
                  </w:r>
                  <w:r>
                    <w:rPr>
                      <w:rFonts w:ascii="Times New Roman" w:hAnsi="Times New Roman"/>
                      <w:lang w:val="en-US"/>
                    </w:rPr>
                    <w:t>、</w:t>
                  </w:r>
                  <w:r>
                    <w:rPr>
                      <w:rFonts w:ascii="Times New Roman" w:hAnsi="Times New Roman"/>
                      <w:bCs/>
                    </w:rPr>
                    <w:t>NH</w:t>
                  </w:r>
                  <w:r>
                    <w:rPr>
                      <w:rFonts w:ascii="Times New Roman" w:hAnsi="Times New Roman"/>
                      <w:bCs/>
                      <w:vertAlign w:val="subscript"/>
                    </w:rPr>
                    <w:t>3</w:t>
                  </w:r>
                  <w:r>
                    <w:rPr>
                      <w:rFonts w:ascii="Times New Roman" w:hAnsi="Times New Roman"/>
                      <w:bCs/>
                    </w:rPr>
                    <w:t>-N、SS、LAS等</w:t>
                  </w:r>
                </w:p>
              </w:tc>
              <w:tc>
                <w:tcPr>
                  <w:tcW w:w="1226" w:type="dxa"/>
                  <w:vAlign w:val="center"/>
                </w:tcPr>
                <w:p>
                  <w:pPr>
                    <w:jc w:val="center"/>
                    <w:rPr>
                      <w:rFonts w:ascii="Times New Roman" w:hAnsi="Times New Roman"/>
                    </w:rPr>
                  </w:pPr>
                  <w:r>
                    <w:rPr>
                      <w:rFonts w:ascii="Times New Roman" w:hAnsi="Times New Roman"/>
                    </w:rPr>
                    <w:t>经“三级絮凝沉淀池”预处理后接管至桂集镇污水处理厂处理</w:t>
                  </w:r>
                </w:p>
              </w:tc>
              <w:tc>
                <w:tcPr>
                  <w:tcW w:w="1013" w:type="dxa"/>
                  <w:vMerge w:val="continue"/>
                  <w:vAlign w:val="center"/>
                </w:tcPr>
                <w:p>
                  <w:pPr>
                    <w:jc w:val="center"/>
                    <w:rPr>
                      <w:rFonts w:ascii="Times New Roman" w:hAnsi="Times New Roman"/>
                    </w:rPr>
                  </w:pPr>
                </w:p>
              </w:tc>
              <w:tc>
                <w:tcPr>
                  <w:tcW w:w="709" w:type="dxa"/>
                  <w:vAlign w:val="center"/>
                </w:tcPr>
                <w:p>
                  <w:pPr>
                    <w:jc w:val="center"/>
                    <w:rPr>
                      <w:rFonts w:ascii="Times New Roman" w:hAnsi="Times New Roman"/>
                    </w:rPr>
                  </w:pPr>
                  <w:r>
                    <w:rPr>
                      <w:rFonts w:ascii="Times New Roman" w:hAnsi="Times New Roman"/>
                    </w:rPr>
                    <w:t>TW002</w:t>
                  </w:r>
                </w:p>
              </w:tc>
              <w:tc>
                <w:tcPr>
                  <w:tcW w:w="559" w:type="dxa"/>
                  <w:vAlign w:val="center"/>
                </w:tcPr>
                <w:p>
                  <w:pPr>
                    <w:jc w:val="center"/>
                    <w:rPr>
                      <w:rFonts w:ascii="Times New Roman" w:hAnsi="Times New Roman"/>
                    </w:rPr>
                  </w:pPr>
                  <w:r>
                    <w:rPr>
                      <w:rFonts w:ascii="Times New Roman" w:hAnsi="Times New Roman"/>
                    </w:rPr>
                    <w:t>三级絮凝沉淀池</w:t>
                  </w:r>
                </w:p>
              </w:tc>
              <w:tc>
                <w:tcPr>
                  <w:tcW w:w="1003" w:type="dxa"/>
                  <w:vAlign w:val="center"/>
                </w:tcPr>
                <w:p>
                  <w:pPr>
                    <w:jc w:val="center"/>
                    <w:rPr>
                      <w:rFonts w:ascii="Times New Roman" w:hAnsi="Times New Roman"/>
                    </w:rPr>
                  </w:pPr>
                  <w:r>
                    <w:rPr>
                      <w:rFonts w:ascii="Times New Roman" w:hAnsi="Times New Roman"/>
                      <w:szCs w:val="18"/>
                    </w:rPr>
                    <w:t>调节池+混凝池+沉淀池</w:t>
                  </w:r>
                </w:p>
              </w:tc>
              <w:tc>
                <w:tcPr>
                  <w:tcW w:w="657" w:type="dxa"/>
                  <w:vMerge w:val="continue"/>
                  <w:vAlign w:val="center"/>
                </w:tcPr>
                <w:p>
                  <w:pPr>
                    <w:jc w:val="center"/>
                    <w:rPr>
                      <w:rFonts w:ascii="Times New Roman" w:hAnsi="Times New Roman"/>
                    </w:rPr>
                  </w:pPr>
                </w:p>
              </w:tc>
              <w:tc>
                <w:tcPr>
                  <w:tcW w:w="549" w:type="dxa"/>
                  <w:vMerge w:val="continue"/>
                  <w:vAlign w:val="center"/>
                </w:tcPr>
                <w:p>
                  <w:pPr>
                    <w:jc w:val="center"/>
                    <w:rPr>
                      <w:rFonts w:ascii="Times New Roman" w:hAnsi="Times New Roman"/>
                    </w:rPr>
                  </w:pPr>
                </w:p>
              </w:tc>
              <w:tc>
                <w:tcPr>
                  <w:tcW w:w="967"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368" w:type="dxa"/>
                  <w:vAlign w:val="center"/>
                </w:tcPr>
                <w:p>
                  <w:pPr>
                    <w:jc w:val="center"/>
                    <w:rPr>
                      <w:rFonts w:ascii="Times New Roman" w:hAnsi="Times New Roman"/>
                    </w:rPr>
                  </w:pPr>
                  <w:r>
                    <w:rPr>
                      <w:rFonts w:ascii="Times New Roman" w:hAnsi="Times New Roman"/>
                    </w:rPr>
                    <w:t>3</w:t>
                  </w:r>
                </w:p>
              </w:tc>
              <w:tc>
                <w:tcPr>
                  <w:tcW w:w="719" w:type="dxa"/>
                  <w:vAlign w:val="center"/>
                </w:tcPr>
                <w:p>
                  <w:pPr>
                    <w:jc w:val="center"/>
                    <w:rPr>
                      <w:rFonts w:ascii="Times New Roman" w:hAnsi="Times New Roman"/>
                    </w:rPr>
                  </w:pPr>
                  <w:r>
                    <w:rPr>
                      <w:rFonts w:ascii="Times New Roman" w:hAnsi="Times New Roman"/>
                    </w:rPr>
                    <w:t>纯水制备机浓水</w:t>
                  </w:r>
                </w:p>
              </w:tc>
              <w:tc>
                <w:tcPr>
                  <w:tcW w:w="817" w:type="dxa"/>
                  <w:vAlign w:val="center"/>
                </w:tcPr>
                <w:p>
                  <w:pPr>
                    <w:jc w:val="center"/>
                    <w:rPr>
                      <w:rFonts w:ascii="Times New Roman" w:hAnsi="Times New Roman"/>
                      <w:bCs/>
                    </w:rPr>
                  </w:pPr>
                  <w:r>
                    <w:rPr>
                      <w:rFonts w:ascii="Times New Roman" w:hAnsi="Times New Roman"/>
                      <w:bCs/>
                    </w:rPr>
                    <w:t>SS</w:t>
                  </w:r>
                </w:p>
              </w:tc>
              <w:tc>
                <w:tcPr>
                  <w:tcW w:w="1226" w:type="dxa"/>
                  <w:vAlign w:val="center"/>
                </w:tcPr>
                <w:p>
                  <w:pPr>
                    <w:jc w:val="center"/>
                    <w:rPr>
                      <w:rFonts w:ascii="Times New Roman" w:hAnsi="Times New Roman"/>
                    </w:rPr>
                  </w:pPr>
                  <w:r>
                    <w:rPr>
                      <w:rFonts w:ascii="Times New Roman" w:hAnsi="Times New Roman"/>
                    </w:rPr>
                    <w:t>经污水管网接管至</w:t>
                  </w:r>
                  <w:r>
                    <w:rPr>
                      <w:rFonts w:ascii="Times New Roman" w:hAnsi="Times New Roman"/>
                      <w:bCs/>
                    </w:rPr>
                    <w:t>桂集镇污水处理厂</w:t>
                  </w:r>
                  <w:r>
                    <w:rPr>
                      <w:rFonts w:ascii="Times New Roman" w:hAnsi="Times New Roman"/>
                    </w:rPr>
                    <w:t>处理</w:t>
                  </w:r>
                </w:p>
              </w:tc>
              <w:tc>
                <w:tcPr>
                  <w:tcW w:w="1013" w:type="dxa"/>
                  <w:vMerge w:val="continue"/>
                  <w:vAlign w:val="center"/>
                </w:tcPr>
                <w:p>
                  <w:pPr>
                    <w:jc w:val="center"/>
                    <w:rPr>
                      <w:rFonts w:ascii="Times New Roman" w:hAnsi="Times New Roman"/>
                    </w:rPr>
                  </w:pPr>
                </w:p>
              </w:tc>
              <w:tc>
                <w:tcPr>
                  <w:tcW w:w="709" w:type="dxa"/>
                  <w:vAlign w:val="center"/>
                </w:tcPr>
                <w:p>
                  <w:pPr>
                    <w:jc w:val="center"/>
                    <w:rPr>
                      <w:rFonts w:ascii="Times New Roman" w:hAnsi="Times New Roman"/>
                    </w:rPr>
                  </w:pPr>
                  <w:r>
                    <w:rPr>
                      <w:rFonts w:ascii="Times New Roman" w:hAnsi="Times New Roman"/>
                    </w:rPr>
                    <w:t>/</w:t>
                  </w:r>
                </w:p>
              </w:tc>
              <w:tc>
                <w:tcPr>
                  <w:tcW w:w="559" w:type="dxa"/>
                  <w:vAlign w:val="center"/>
                </w:tcPr>
                <w:p>
                  <w:pPr>
                    <w:jc w:val="center"/>
                    <w:rPr>
                      <w:rFonts w:ascii="Times New Roman" w:hAnsi="Times New Roman"/>
                    </w:rPr>
                  </w:pPr>
                  <w:r>
                    <w:rPr>
                      <w:rFonts w:ascii="Times New Roman" w:hAnsi="Times New Roman"/>
                    </w:rPr>
                    <w:t>/</w:t>
                  </w:r>
                </w:p>
              </w:tc>
              <w:tc>
                <w:tcPr>
                  <w:tcW w:w="1003" w:type="dxa"/>
                  <w:vAlign w:val="center"/>
                </w:tcPr>
                <w:p>
                  <w:pPr>
                    <w:jc w:val="center"/>
                    <w:rPr>
                      <w:rFonts w:ascii="Times New Roman" w:hAnsi="Times New Roman"/>
                      <w:szCs w:val="18"/>
                    </w:rPr>
                  </w:pPr>
                  <w:r>
                    <w:rPr>
                      <w:rFonts w:ascii="Times New Roman" w:hAnsi="Times New Roman"/>
                      <w:szCs w:val="18"/>
                    </w:rPr>
                    <w:t>/</w:t>
                  </w:r>
                </w:p>
              </w:tc>
              <w:tc>
                <w:tcPr>
                  <w:tcW w:w="657" w:type="dxa"/>
                  <w:vMerge w:val="continue"/>
                  <w:vAlign w:val="center"/>
                </w:tcPr>
                <w:p>
                  <w:pPr>
                    <w:jc w:val="center"/>
                    <w:rPr>
                      <w:rFonts w:ascii="Times New Roman" w:hAnsi="Times New Roman"/>
                    </w:rPr>
                  </w:pPr>
                </w:p>
              </w:tc>
              <w:tc>
                <w:tcPr>
                  <w:tcW w:w="549" w:type="dxa"/>
                  <w:vMerge w:val="continue"/>
                  <w:vAlign w:val="center"/>
                </w:tcPr>
                <w:p>
                  <w:pPr>
                    <w:jc w:val="center"/>
                    <w:rPr>
                      <w:rFonts w:ascii="Times New Roman" w:hAnsi="Times New Roman"/>
                    </w:rPr>
                  </w:pPr>
                </w:p>
              </w:tc>
              <w:tc>
                <w:tcPr>
                  <w:tcW w:w="967" w:type="dxa"/>
                  <w:vMerge w:val="continue"/>
                  <w:vAlign w:val="center"/>
                </w:tcPr>
                <w:p>
                  <w:pPr>
                    <w:jc w:val="center"/>
                    <w:rPr>
                      <w:rFonts w:ascii="Times New Roman" w:hAnsi="Times New Roman"/>
                    </w:rPr>
                  </w:pPr>
                </w:p>
              </w:tc>
            </w:tr>
          </w:tbl>
          <w:p>
            <w:pPr>
              <w:spacing w:line="440" w:lineRule="exact"/>
              <w:ind w:firstLine="480" w:firstLineChars="200"/>
              <w:rPr>
                <w:rFonts w:ascii="Times New Roman" w:hAnsi="Times New Roman"/>
                <w:sz w:val="24"/>
              </w:rPr>
            </w:pPr>
            <w:r>
              <w:rPr>
                <w:rFonts w:ascii="Times New Roman" w:hAnsi="Times New Roman"/>
                <w:sz w:val="24"/>
              </w:rPr>
              <w:t>（2）废水间接排放口基本情况</w:t>
            </w:r>
          </w:p>
          <w:p>
            <w:pPr>
              <w:pStyle w:val="83"/>
              <w:spacing w:line="440" w:lineRule="exact"/>
              <w:ind w:firstLine="0" w:firstLineChars="0"/>
              <w:jc w:val="center"/>
              <w:rPr>
                <w:rFonts w:ascii="Times New Roman" w:hAnsi="Times New Roman"/>
                <w:b/>
                <w:bCs/>
                <w:sz w:val="21"/>
                <w:szCs w:val="21"/>
              </w:rPr>
            </w:pPr>
            <w:r>
              <w:rPr>
                <w:rFonts w:ascii="Times New Roman" w:hAnsi="Times New Roman"/>
                <w:b/>
                <w:bCs/>
                <w:sz w:val="21"/>
                <w:szCs w:val="21"/>
              </w:rPr>
              <w:t>表4-9废水间接排放口基本情况表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099"/>
              <w:gridCol w:w="728"/>
              <w:gridCol w:w="728"/>
              <w:gridCol w:w="1054"/>
              <w:gridCol w:w="728"/>
              <w:gridCol w:w="732"/>
              <w:gridCol w:w="728"/>
              <w:gridCol w:w="775"/>
              <w:gridCol w:w="14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vMerge w:val="restart"/>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序号</w:t>
                  </w:r>
                </w:p>
              </w:tc>
              <w:tc>
                <w:tcPr>
                  <w:tcW w:w="640" w:type="pct"/>
                  <w:vMerge w:val="restart"/>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排放口编号</w:t>
                  </w:r>
                </w:p>
              </w:tc>
              <w:tc>
                <w:tcPr>
                  <w:tcW w:w="848" w:type="pct"/>
                  <w:gridSpan w:val="2"/>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排放口地理坐标</w:t>
                  </w:r>
                </w:p>
              </w:tc>
              <w:tc>
                <w:tcPr>
                  <w:tcW w:w="614" w:type="pct"/>
                  <w:vMerge w:val="restart"/>
                  <w:vAlign w:val="center"/>
                </w:tcPr>
                <w:p>
                  <w:pPr>
                    <w:pStyle w:val="5"/>
                    <w:adjustRightInd w:val="0"/>
                    <w:snapToGrid w:val="0"/>
                    <w:spacing w:line="240" w:lineRule="auto"/>
                    <w:ind w:left="0"/>
                    <w:jc w:val="center"/>
                    <w:outlineLvl w:val="2"/>
                    <w:rPr>
                      <w:rFonts w:eastAsia="宋体"/>
                      <w:b/>
                      <w:sz w:val="21"/>
                      <w:szCs w:val="21"/>
                    </w:rPr>
                  </w:pPr>
                  <w:r>
                    <w:rPr>
                      <w:rFonts w:eastAsia="宋体"/>
                      <w:b/>
                      <w:sz w:val="21"/>
                      <w:szCs w:val="21"/>
                    </w:rPr>
                    <w:t>排放量</w:t>
                  </w:r>
                </w:p>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（t/d）</w:t>
                  </w:r>
                </w:p>
              </w:tc>
              <w:tc>
                <w:tcPr>
                  <w:tcW w:w="424" w:type="pct"/>
                  <w:vMerge w:val="restart"/>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排放去向</w:t>
                  </w:r>
                </w:p>
              </w:tc>
              <w:tc>
                <w:tcPr>
                  <w:tcW w:w="426" w:type="pct"/>
                  <w:vMerge w:val="restart"/>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排放规律</w:t>
                  </w:r>
                </w:p>
              </w:tc>
              <w:tc>
                <w:tcPr>
                  <w:tcW w:w="1710" w:type="pct"/>
                  <w:gridSpan w:val="3"/>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vMerge w:val="continue"/>
                  <w:vAlign w:val="center"/>
                </w:tcPr>
                <w:p>
                  <w:pPr>
                    <w:pStyle w:val="83"/>
                    <w:spacing w:line="240" w:lineRule="auto"/>
                    <w:ind w:firstLine="0" w:firstLineChars="0"/>
                    <w:jc w:val="center"/>
                    <w:rPr>
                      <w:rFonts w:ascii="Times New Roman" w:hAnsi="Times New Roman"/>
                      <w:b/>
                      <w:sz w:val="21"/>
                      <w:szCs w:val="21"/>
                    </w:rPr>
                  </w:pPr>
                </w:p>
              </w:tc>
              <w:tc>
                <w:tcPr>
                  <w:tcW w:w="640" w:type="pct"/>
                  <w:vMerge w:val="continue"/>
                  <w:vAlign w:val="center"/>
                </w:tcPr>
                <w:p>
                  <w:pPr>
                    <w:pStyle w:val="83"/>
                    <w:spacing w:line="240" w:lineRule="auto"/>
                    <w:ind w:firstLine="0" w:firstLineChars="0"/>
                    <w:jc w:val="center"/>
                    <w:rPr>
                      <w:rFonts w:ascii="Times New Roman" w:hAnsi="Times New Roman"/>
                      <w:b/>
                      <w:sz w:val="21"/>
                      <w:szCs w:val="21"/>
                    </w:rPr>
                  </w:pPr>
                </w:p>
              </w:tc>
              <w:tc>
                <w:tcPr>
                  <w:tcW w:w="424" w:type="pct"/>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经度</w:t>
                  </w:r>
                </w:p>
              </w:tc>
              <w:tc>
                <w:tcPr>
                  <w:tcW w:w="424" w:type="pct"/>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纬度</w:t>
                  </w:r>
                </w:p>
              </w:tc>
              <w:tc>
                <w:tcPr>
                  <w:tcW w:w="614" w:type="pct"/>
                  <w:vMerge w:val="continue"/>
                  <w:vAlign w:val="center"/>
                </w:tcPr>
                <w:p>
                  <w:pPr>
                    <w:pStyle w:val="83"/>
                    <w:spacing w:line="240" w:lineRule="auto"/>
                    <w:ind w:firstLine="0" w:firstLineChars="0"/>
                    <w:jc w:val="center"/>
                    <w:rPr>
                      <w:rFonts w:ascii="Times New Roman" w:hAnsi="Times New Roman"/>
                      <w:b/>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
                      <w:sz w:val="21"/>
                      <w:szCs w:val="21"/>
                    </w:rPr>
                  </w:pPr>
                </w:p>
              </w:tc>
              <w:tc>
                <w:tcPr>
                  <w:tcW w:w="426" w:type="pct"/>
                  <w:vMerge w:val="continue"/>
                  <w:vAlign w:val="center"/>
                </w:tcPr>
                <w:p>
                  <w:pPr>
                    <w:pStyle w:val="83"/>
                    <w:spacing w:line="240" w:lineRule="auto"/>
                    <w:ind w:firstLine="0" w:firstLineChars="0"/>
                    <w:jc w:val="center"/>
                    <w:rPr>
                      <w:rFonts w:ascii="Times New Roman" w:hAnsi="Times New Roman"/>
                      <w:b/>
                      <w:sz w:val="21"/>
                      <w:szCs w:val="21"/>
                    </w:rPr>
                  </w:pPr>
                </w:p>
              </w:tc>
              <w:tc>
                <w:tcPr>
                  <w:tcW w:w="424" w:type="pct"/>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名称</w:t>
                  </w:r>
                </w:p>
              </w:tc>
              <w:tc>
                <w:tcPr>
                  <w:tcW w:w="451" w:type="pct"/>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污染物种类</w:t>
                  </w:r>
                </w:p>
              </w:tc>
              <w:tc>
                <w:tcPr>
                  <w:tcW w:w="835" w:type="pct"/>
                  <w:vAlign w:val="center"/>
                </w:tcPr>
                <w:p>
                  <w:pPr>
                    <w:pStyle w:val="83"/>
                    <w:spacing w:line="240" w:lineRule="auto"/>
                    <w:ind w:firstLine="0" w:firstLineChars="0"/>
                    <w:jc w:val="center"/>
                    <w:rPr>
                      <w:rFonts w:ascii="Times New Roman" w:hAnsi="Times New Roman"/>
                      <w:b/>
                      <w:sz w:val="21"/>
                      <w:szCs w:val="21"/>
                    </w:rPr>
                  </w:pPr>
                  <w:r>
                    <w:rPr>
                      <w:rFonts w:ascii="Times New Roman" w:hAnsi="Times New Roman"/>
                      <w:b/>
                      <w:sz w:val="21"/>
                      <w:szCs w:val="21"/>
                    </w:rPr>
                    <w:t>（GB18918-2002）中一级A类标准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vMerge w:val="restart"/>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1</w:t>
                  </w:r>
                </w:p>
              </w:tc>
              <w:tc>
                <w:tcPr>
                  <w:tcW w:w="640" w:type="pct"/>
                  <w:vMerge w:val="restart"/>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DW001</w:t>
                  </w:r>
                </w:p>
              </w:tc>
              <w:tc>
                <w:tcPr>
                  <w:tcW w:w="424" w:type="pct"/>
                  <w:vMerge w:val="restart"/>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116°37′2.67582″</w:t>
                  </w:r>
                </w:p>
              </w:tc>
              <w:tc>
                <w:tcPr>
                  <w:tcW w:w="424" w:type="pct"/>
                  <w:vMerge w:val="restart"/>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32°45′51.69740″</w:t>
                  </w:r>
                </w:p>
              </w:tc>
              <w:tc>
                <w:tcPr>
                  <w:tcW w:w="614" w:type="pct"/>
                  <w:vMerge w:val="restart"/>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67.71</w:t>
                  </w:r>
                </w:p>
              </w:tc>
              <w:tc>
                <w:tcPr>
                  <w:tcW w:w="424" w:type="pct"/>
                  <w:vMerge w:val="restart"/>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桂集镇污水处理厂</w:t>
                  </w:r>
                </w:p>
              </w:tc>
              <w:tc>
                <w:tcPr>
                  <w:tcW w:w="426" w:type="pct"/>
                  <w:vMerge w:val="restart"/>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10h持续排放</w:t>
                  </w:r>
                </w:p>
              </w:tc>
              <w:tc>
                <w:tcPr>
                  <w:tcW w:w="424" w:type="pct"/>
                  <w:vMerge w:val="restart"/>
                  <w:vAlign w:val="center"/>
                </w:tcPr>
                <w:p>
                  <w:pPr>
                    <w:pStyle w:val="83"/>
                    <w:spacing w:line="240" w:lineRule="auto"/>
                    <w:ind w:firstLine="0" w:firstLineChars="0"/>
                    <w:jc w:val="center"/>
                    <w:rPr>
                      <w:rFonts w:ascii="Times New Roman" w:hAnsi="Times New Roman"/>
                      <w:bCs/>
                      <w:sz w:val="21"/>
                      <w:szCs w:val="21"/>
                    </w:rPr>
                  </w:pPr>
                  <w:r>
                    <w:rPr>
                      <w:rFonts w:ascii="Times New Roman" w:hAnsi="Times New Roman"/>
                      <w:bCs/>
                      <w:sz w:val="21"/>
                      <w:szCs w:val="21"/>
                    </w:rPr>
                    <w:t>桂集镇污水处理厂</w:t>
                  </w:r>
                </w:p>
              </w:tc>
              <w:tc>
                <w:tcPr>
                  <w:tcW w:w="451" w:type="pct"/>
                  <w:vAlign w:val="center"/>
                </w:tcPr>
                <w:p>
                  <w:pPr>
                    <w:pStyle w:val="5"/>
                    <w:adjustRightInd w:val="0"/>
                    <w:snapToGrid w:val="0"/>
                    <w:spacing w:line="240" w:lineRule="auto"/>
                    <w:ind w:left="0"/>
                    <w:jc w:val="center"/>
                    <w:outlineLvl w:val="2"/>
                    <w:rPr>
                      <w:rFonts w:eastAsia="宋体"/>
                      <w:bCs/>
                      <w:sz w:val="21"/>
                      <w:szCs w:val="21"/>
                    </w:rPr>
                  </w:pPr>
                  <w:r>
                    <w:rPr>
                      <w:rFonts w:eastAsia="宋体"/>
                      <w:bCs/>
                      <w:sz w:val="21"/>
                      <w:szCs w:val="21"/>
                    </w:rPr>
                    <w:t>pH</w:t>
                  </w:r>
                </w:p>
              </w:tc>
              <w:tc>
                <w:tcPr>
                  <w:tcW w:w="835" w:type="pct"/>
                  <w:vAlign w:val="center"/>
                </w:tcPr>
                <w:p>
                  <w:pPr>
                    <w:pStyle w:val="5"/>
                    <w:adjustRightInd w:val="0"/>
                    <w:snapToGrid w:val="0"/>
                    <w:spacing w:line="240" w:lineRule="auto"/>
                    <w:ind w:left="0"/>
                    <w:jc w:val="center"/>
                    <w:outlineLvl w:val="2"/>
                    <w:rPr>
                      <w:rFonts w:eastAsia="宋体"/>
                      <w:bCs/>
                      <w:sz w:val="21"/>
                      <w:szCs w:val="21"/>
                    </w:rPr>
                  </w:pPr>
                  <w:r>
                    <w:rPr>
                      <w:rFonts w:eastAsia="宋体"/>
                      <w:bCs/>
                      <w:sz w:val="2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640"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61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6"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51" w:type="pct"/>
                  <w:vAlign w:val="center"/>
                </w:tcPr>
                <w:p>
                  <w:pPr>
                    <w:pStyle w:val="5"/>
                    <w:adjustRightInd w:val="0"/>
                    <w:snapToGrid w:val="0"/>
                    <w:spacing w:line="240" w:lineRule="auto"/>
                    <w:ind w:left="0"/>
                    <w:jc w:val="center"/>
                    <w:outlineLvl w:val="2"/>
                    <w:rPr>
                      <w:rFonts w:eastAsia="宋体"/>
                      <w:bCs/>
                      <w:sz w:val="21"/>
                      <w:szCs w:val="21"/>
                    </w:rPr>
                  </w:pPr>
                  <w:r>
                    <w:rPr>
                      <w:rFonts w:eastAsia="宋体"/>
                      <w:bCs/>
                      <w:sz w:val="21"/>
                      <w:szCs w:val="21"/>
                    </w:rPr>
                    <w:t>COD</w:t>
                  </w:r>
                </w:p>
              </w:tc>
              <w:tc>
                <w:tcPr>
                  <w:tcW w:w="835" w:type="pct"/>
                  <w:vAlign w:val="center"/>
                </w:tcPr>
                <w:p>
                  <w:pPr>
                    <w:pStyle w:val="5"/>
                    <w:adjustRightInd w:val="0"/>
                    <w:snapToGrid w:val="0"/>
                    <w:spacing w:line="240" w:lineRule="auto"/>
                    <w:ind w:left="0"/>
                    <w:jc w:val="center"/>
                    <w:outlineLvl w:val="2"/>
                    <w:rPr>
                      <w:rFonts w:eastAsia="宋体"/>
                      <w:bCs/>
                      <w:sz w:val="21"/>
                      <w:szCs w:val="21"/>
                    </w:rPr>
                  </w:pPr>
                  <w:r>
                    <w:rPr>
                      <w:rFonts w:eastAsia="宋体"/>
                      <w:bCs/>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640"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61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6"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51" w:type="pct"/>
                  <w:vAlign w:val="center"/>
                </w:tcPr>
                <w:p>
                  <w:pPr>
                    <w:pStyle w:val="5"/>
                    <w:adjustRightInd w:val="0"/>
                    <w:snapToGrid w:val="0"/>
                    <w:spacing w:line="240" w:lineRule="auto"/>
                    <w:ind w:left="0"/>
                    <w:jc w:val="center"/>
                    <w:outlineLvl w:val="2"/>
                    <w:rPr>
                      <w:rFonts w:eastAsia="宋体"/>
                      <w:bCs/>
                      <w:sz w:val="21"/>
                      <w:szCs w:val="21"/>
                    </w:rPr>
                  </w:pPr>
                  <w:r>
                    <w:rPr>
                      <w:rFonts w:eastAsia="宋体"/>
                      <w:bCs/>
                      <w:sz w:val="21"/>
                      <w:szCs w:val="21"/>
                    </w:rPr>
                    <w:t>SS</w:t>
                  </w:r>
                </w:p>
              </w:tc>
              <w:tc>
                <w:tcPr>
                  <w:tcW w:w="835" w:type="pct"/>
                  <w:vAlign w:val="center"/>
                </w:tcPr>
                <w:p>
                  <w:pPr>
                    <w:pStyle w:val="5"/>
                    <w:adjustRightInd w:val="0"/>
                    <w:snapToGrid w:val="0"/>
                    <w:spacing w:line="240" w:lineRule="auto"/>
                    <w:ind w:left="0"/>
                    <w:jc w:val="center"/>
                    <w:outlineLvl w:val="2"/>
                    <w:rPr>
                      <w:rFonts w:eastAsia="宋体"/>
                      <w:bCs/>
                      <w:sz w:val="21"/>
                      <w:szCs w:val="21"/>
                    </w:rPr>
                  </w:pPr>
                  <w:r>
                    <w:rPr>
                      <w:rFonts w:eastAsia="宋体"/>
                      <w:bCs/>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640"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61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6"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24" w:type="pct"/>
                  <w:vMerge w:val="continue"/>
                  <w:vAlign w:val="center"/>
                </w:tcPr>
                <w:p>
                  <w:pPr>
                    <w:pStyle w:val="83"/>
                    <w:spacing w:line="240" w:lineRule="auto"/>
                    <w:ind w:firstLine="0" w:firstLineChars="0"/>
                    <w:jc w:val="center"/>
                    <w:rPr>
                      <w:rFonts w:ascii="Times New Roman" w:hAnsi="Times New Roman"/>
                      <w:bCs/>
                      <w:sz w:val="21"/>
                      <w:szCs w:val="21"/>
                    </w:rPr>
                  </w:pPr>
                </w:p>
              </w:tc>
              <w:tc>
                <w:tcPr>
                  <w:tcW w:w="451" w:type="pct"/>
                  <w:vAlign w:val="center"/>
                </w:tcPr>
                <w:p>
                  <w:pPr>
                    <w:pStyle w:val="5"/>
                    <w:adjustRightInd w:val="0"/>
                    <w:snapToGrid w:val="0"/>
                    <w:spacing w:line="240" w:lineRule="auto"/>
                    <w:ind w:left="0"/>
                    <w:jc w:val="center"/>
                    <w:outlineLvl w:val="2"/>
                    <w:rPr>
                      <w:rFonts w:eastAsia="宋体"/>
                      <w:bCs/>
                      <w:sz w:val="21"/>
                      <w:szCs w:val="21"/>
                    </w:rPr>
                  </w:pPr>
                  <w:r>
                    <w:rPr>
                      <w:rFonts w:eastAsia="宋体"/>
                      <w:bCs/>
                      <w:sz w:val="21"/>
                      <w:szCs w:val="21"/>
                    </w:rPr>
                    <w:t>NH</w:t>
                  </w:r>
                  <w:r>
                    <w:rPr>
                      <w:rFonts w:eastAsia="宋体"/>
                      <w:bCs/>
                      <w:sz w:val="21"/>
                      <w:szCs w:val="21"/>
                      <w:vertAlign w:val="subscript"/>
                    </w:rPr>
                    <w:t>3</w:t>
                  </w:r>
                  <w:r>
                    <w:rPr>
                      <w:rFonts w:eastAsia="宋体"/>
                      <w:bCs/>
                      <w:sz w:val="21"/>
                      <w:szCs w:val="21"/>
                    </w:rPr>
                    <w:t>-N</w:t>
                  </w:r>
                </w:p>
              </w:tc>
              <w:tc>
                <w:tcPr>
                  <w:tcW w:w="835" w:type="pct"/>
                  <w:vAlign w:val="center"/>
                </w:tcPr>
                <w:p>
                  <w:pPr>
                    <w:pStyle w:val="5"/>
                    <w:adjustRightInd w:val="0"/>
                    <w:snapToGrid w:val="0"/>
                    <w:spacing w:line="240" w:lineRule="auto"/>
                    <w:ind w:left="0"/>
                    <w:jc w:val="center"/>
                    <w:outlineLvl w:val="2"/>
                    <w:rPr>
                      <w:rFonts w:eastAsia="宋体"/>
                      <w:bCs/>
                      <w:sz w:val="21"/>
                      <w:szCs w:val="21"/>
                    </w:rPr>
                  </w:pPr>
                  <w:r>
                    <w:rPr>
                      <w:rFonts w:eastAsia="宋体"/>
                      <w:bCs/>
                      <w:sz w:val="21"/>
                      <w:szCs w:val="21"/>
                    </w:rPr>
                    <w:t>5</w:t>
                  </w:r>
                </w:p>
              </w:tc>
            </w:tr>
          </w:tbl>
          <w:p>
            <w:pPr>
              <w:spacing w:line="440" w:lineRule="exact"/>
              <w:ind w:firstLine="480" w:firstLineChars="200"/>
              <w:rPr>
                <w:rFonts w:ascii="Times New Roman" w:hAnsi="Times New Roman"/>
                <w:sz w:val="24"/>
              </w:rPr>
            </w:pPr>
            <w:r>
              <w:rPr>
                <w:rFonts w:ascii="Times New Roman" w:hAnsi="Times New Roman"/>
                <w:sz w:val="24"/>
              </w:rPr>
              <w:t>（3）废水污染物排放执行标准表</w:t>
            </w:r>
          </w:p>
          <w:p>
            <w:pPr>
              <w:pStyle w:val="83"/>
              <w:spacing w:line="440" w:lineRule="exact"/>
              <w:ind w:firstLine="0" w:firstLineChars="0"/>
              <w:jc w:val="center"/>
              <w:rPr>
                <w:rFonts w:ascii="Times New Roman" w:hAnsi="Times New Roman"/>
                <w:b/>
                <w:bCs/>
                <w:sz w:val="21"/>
                <w:szCs w:val="21"/>
              </w:rPr>
            </w:pPr>
            <w:r>
              <w:rPr>
                <w:rFonts w:ascii="Times New Roman" w:hAnsi="Times New Roman"/>
                <w:b/>
                <w:bCs/>
                <w:sz w:val="21"/>
                <w:szCs w:val="21"/>
              </w:rPr>
              <w:t>表4-10废水污染物排放执行标准表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97"/>
              <w:gridCol w:w="1274"/>
              <w:gridCol w:w="2957"/>
              <w:gridCol w:w="2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restart"/>
                  <w:vAlign w:val="center"/>
                </w:tcPr>
                <w:p>
                  <w:pPr>
                    <w:widowControl/>
                    <w:jc w:val="center"/>
                    <w:rPr>
                      <w:rFonts w:ascii="Times New Roman" w:hAnsi="Times New Roman"/>
                      <w:b/>
                    </w:rPr>
                  </w:pPr>
                  <w:r>
                    <w:rPr>
                      <w:rFonts w:ascii="Times New Roman" w:hAnsi="Times New Roman"/>
                      <w:b/>
                    </w:rPr>
                    <w:t>序号</w:t>
                  </w:r>
                </w:p>
              </w:tc>
              <w:tc>
                <w:tcPr>
                  <w:tcW w:w="755" w:type="pct"/>
                  <w:vMerge w:val="restart"/>
                  <w:vAlign w:val="center"/>
                </w:tcPr>
                <w:p>
                  <w:pPr>
                    <w:widowControl/>
                    <w:jc w:val="center"/>
                    <w:rPr>
                      <w:rFonts w:ascii="Times New Roman" w:hAnsi="Times New Roman"/>
                      <w:b/>
                    </w:rPr>
                  </w:pPr>
                  <w:r>
                    <w:rPr>
                      <w:rFonts w:ascii="Times New Roman" w:hAnsi="Times New Roman"/>
                      <w:b/>
                    </w:rPr>
                    <w:t>排放口编号</w:t>
                  </w:r>
                </w:p>
              </w:tc>
              <w:tc>
                <w:tcPr>
                  <w:tcW w:w="742" w:type="pct"/>
                  <w:vMerge w:val="restart"/>
                  <w:vAlign w:val="center"/>
                </w:tcPr>
                <w:p>
                  <w:pPr>
                    <w:widowControl/>
                    <w:jc w:val="center"/>
                    <w:rPr>
                      <w:rFonts w:ascii="Times New Roman" w:hAnsi="Times New Roman"/>
                      <w:b/>
                    </w:rPr>
                  </w:pPr>
                  <w:r>
                    <w:rPr>
                      <w:rFonts w:ascii="Times New Roman" w:hAnsi="Times New Roman"/>
                      <w:b/>
                    </w:rPr>
                    <w:t>污染物种类</w:t>
                  </w:r>
                </w:p>
              </w:tc>
              <w:tc>
                <w:tcPr>
                  <w:tcW w:w="3125" w:type="pct"/>
                  <w:gridSpan w:val="2"/>
                  <w:vAlign w:val="center"/>
                </w:tcPr>
                <w:p>
                  <w:pPr>
                    <w:widowControl/>
                    <w:jc w:val="center"/>
                    <w:rPr>
                      <w:rFonts w:ascii="Times New Roman" w:hAnsi="Times New Roman"/>
                      <w:b/>
                    </w:rPr>
                  </w:pPr>
                  <w:r>
                    <w:rPr>
                      <w:rFonts w:ascii="Times New Roman" w:hAnsi="Times New Roman"/>
                      <w:b/>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Merge w:val="continue"/>
                  <w:vAlign w:val="center"/>
                </w:tcPr>
                <w:p>
                  <w:pPr>
                    <w:widowControl/>
                    <w:jc w:val="center"/>
                    <w:rPr>
                      <w:rFonts w:ascii="Times New Roman" w:hAnsi="Times New Roman"/>
                      <w:b/>
                    </w:rPr>
                  </w:pPr>
                </w:p>
              </w:tc>
              <w:tc>
                <w:tcPr>
                  <w:tcW w:w="755" w:type="pct"/>
                  <w:vMerge w:val="continue"/>
                  <w:vAlign w:val="center"/>
                </w:tcPr>
                <w:p>
                  <w:pPr>
                    <w:widowControl/>
                    <w:jc w:val="center"/>
                    <w:rPr>
                      <w:rFonts w:ascii="Times New Roman" w:hAnsi="Times New Roman"/>
                      <w:b/>
                    </w:rPr>
                  </w:pPr>
                </w:p>
              </w:tc>
              <w:tc>
                <w:tcPr>
                  <w:tcW w:w="742" w:type="pct"/>
                  <w:vMerge w:val="continue"/>
                  <w:vAlign w:val="center"/>
                </w:tcPr>
                <w:p>
                  <w:pPr>
                    <w:widowControl/>
                    <w:jc w:val="center"/>
                    <w:rPr>
                      <w:rFonts w:ascii="Times New Roman" w:hAnsi="Times New Roman"/>
                      <w:b/>
                    </w:rPr>
                  </w:pPr>
                </w:p>
              </w:tc>
              <w:tc>
                <w:tcPr>
                  <w:tcW w:w="1722" w:type="pct"/>
                  <w:vAlign w:val="center"/>
                </w:tcPr>
                <w:p>
                  <w:pPr>
                    <w:widowControl/>
                    <w:jc w:val="center"/>
                    <w:rPr>
                      <w:rFonts w:ascii="Times New Roman" w:hAnsi="Times New Roman"/>
                      <w:b/>
                    </w:rPr>
                  </w:pPr>
                  <w:r>
                    <w:rPr>
                      <w:rFonts w:ascii="Times New Roman" w:hAnsi="Times New Roman"/>
                      <w:b/>
                    </w:rPr>
                    <w:t>名称</w:t>
                  </w:r>
                </w:p>
              </w:tc>
              <w:tc>
                <w:tcPr>
                  <w:tcW w:w="1403" w:type="pct"/>
                  <w:vAlign w:val="center"/>
                </w:tcPr>
                <w:p>
                  <w:pPr>
                    <w:widowControl/>
                    <w:jc w:val="center"/>
                    <w:rPr>
                      <w:rFonts w:ascii="Times New Roman" w:hAnsi="Times New Roman"/>
                      <w:b/>
                    </w:rPr>
                  </w:pPr>
                  <w:r>
                    <w:rPr>
                      <w:rFonts w:ascii="Times New Roman" w:hAnsi="Times New Roman"/>
                      <w:b/>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pPr>
                    <w:widowControl/>
                    <w:jc w:val="center"/>
                    <w:rPr>
                      <w:rFonts w:ascii="Times New Roman" w:hAnsi="Times New Roman"/>
                      <w:b/>
                    </w:rPr>
                  </w:pPr>
                  <w:r>
                    <w:rPr>
                      <w:rFonts w:ascii="Times New Roman" w:hAnsi="Times New Roman"/>
                    </w:rPr>
                    <w:t>1</w:t>
                  </w:r>
                </w:p>
              </w:tc>
              <w:tc>
                <w:tcPr>
                  <w:tcW w:w="755" w:type="pct"/>
                  <w:vMerge w:val="restart"/>
                  <w:vAlign w:val="center"/>
                </w:tcPr>
                <w:p>
                  <w:pPr>
                    <w:snapToGrid w:val="0"/>
                    <w:jc w:val="center"/>
                    <w:rPr>
                      <w:rFonts w:ascii="Times New Roman" w:hAnsi="Times New Roman"/>
                      <w:b/>
                    </w:rPr>
                  </w:pPr>
                  <w:r>
                    <w:rPr>
                      <w:rFonts w:ascii="Times New Roman" w:hAnsi="Times New Roman"/>
                    </w:rPr>
                    <w:t>DW001</w:t>
                  </w:r>
                </w:p>
              </w:tc>
              <w:tc>
                <w:tcPr>
                  <w:tcW w:w="742" w:type="pct"/>
                  <w:vAlign w:val="center"/>
                </w:tcPr>
                <w:p>
                  <w:pPr>
                    <w:widowControl/>
                    <w:jc w:val="center"/>
                    <w:rPr>
                      <w:rFonts w:ascii="Times New Roman" w:hAnsi="Times New Roman"/>
                      <w:b/>
                    </w:rPr>
                  </w:pPr>
                  <w:r>
                    <w:rPr>
                      <w:rFonts w:ascii="Times New Roman" w:hAnsi="Times New Roman"/>
                      <w:bCs/>
                    </w:rPr>
                    <w:t>PH</w:t>
                  </w:r>
                </w:p>
              </w:tc>
              <w:tc>
                <w:tcPr>
                  <w:tcW w:w="1722" w:type="pct"/>
                  <w:vMerge w:val="restart"/>
                  <w:vAlign w:val="center"/>
                </w:tcPr>
                <w:p>
                  <w:pPr>
                    <w:jc w:val="center"/>
                    <w:rPr>
                      <w:rFonts w:ascii="Times New Roman" w:hAnsi="Times New Roman"/>
                      <w:b/>
                    </w:rPr>
                  </w:pPr>
                  <w:r>
                    <w:rPr>
                      <w:rFonts w:ascii="Times New Roman" w:hAnsi="Times New Roman"/>
                      <w:bCs/>
                    </w:rPr>
                    <w:t>《污水综合排放标准》（GB8978-1996）中三级排放标准及桂集镇污水处理厂接管标准中较严标准</w:t>
                  </w:r>
                </w:p>
              </w:tc>
              <w:tc>
                <w:tcPr>
                  <w:tcW w:w="1403" w:type="pct"/>
                  <w:vAlign w:val="center"/>
                </w:tcPr>
                <w:p>
                  <w:pPr>
                    <w:widowControl/>
                    <w:jc w:val="center"/>
                    <w:rPr>
                      <w:rFonts w:ascii="Times New Roman" w:hAnsi="Times New Roman"/>
                      <w:b/>
                    </w:rPr>
                  </w:pPr>
                  <w:r>
                    <w:rPr>
                      <w:rFonts w:ascii="Times New Roman" w:hAnsi="Times New Roma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78" w:type="pct"/>
                  <w:vAlign w:val="center"/>
                </w:tcPr>
                <w:p>
                  <w:pPr>
                    <w:snapToGrid w:val="0"/>
                    <w:jc w:val="center"/>
                    <w:rPr>
                      <w:rFonts w:ascii="Times New Roman" w:hAnsi="Times New Roman"/>
                    </w:rPr>
                  </w:pPr>
                  <w:r>
                    <w:rPr>
                      <w:rFonts w:ascii="Times New Roman" w:hAnsi="Times New Roman"/>
                    </w:rPr>
                    <w:t>2</w:t>
                  </w:r>
                </w:p>
              </w:tc>
              <w:tc>
                <w:tcPr>
                  <w:tcW w:w="755" w:type="pct"/>
                  <w:vMerge w:val="continue"/>
                  <w:vAlign w:val="center"/>
                </w:tcPr>
                <w:p>
                  <w:pPr>
                    <w:snapToGrid w:val="0"/>
                    <w:jc w:val="center"/>
                    <w:rPr>
                      <w:rFonts w:ascii="Times New Roman" w:hAnsi="Times New Roman"/>
                    </w:rPr>
                  </w:pPr>
                </w:p>
              </w:tc>
              <w:tc>
                <w:tcPr>
                  <w:tcW w:w="742" w:type="pct"/>
                  <w:vAlign w:val="center"/>
                </w:tcPr>
                <w:p>
                  <w:pPr>
                    <w:jc w:val="center"/>
                    <w:rPr>
                      <w:rFonts w:ascii="Times New Roman" w:hAnsi="Times New Roman"/>
                    </w:rPr>
                  </w:pPr>
                  <w:r>
                    <w:rPr>
                      <w:rFonts w:ascii="Times New Roman" w:hAnsi="Times New Roman"/>
                      <w:bCs/>
                    </w:rPr>
                    <w:t>COD</w:t>
                  </w:r>
                </w:p>
              </w:tc>
              <w:tc>
                <w:tcPr>
                  <w:tcW w:w="1722" w:type="pct"/>
                  <w:vMerge w:val="continue"/>
                  <w:vAlign w:val="center"/>
                </w:tcPr>
                <w:p>
                  <w:pPr>
                    <w:jc w:val="center"/>
                    <w:rPr>
                      <w:rFonts w:ascii="Times New Roman" w:hAnsi="Times New Roman"/>
                    </w:rPr>
                  </w:pPr>
                </w:p>
              </w:tc>
              <w:tc>
                <w:tcPr>
                  <w:tcW w:w="1403" w:type="pct"/>
                  <w:vAlign w:val="center"/>
                </w:tcPr>
                <w:p>
                  <w:pPr>
                    <w:snapToGrid w:val="0"/>
                    <w:jc w:val="center"/>
                    <w:rPr>
                      <w:rFonts w:ascii="Times New Roman" w:hAnsi="Times New Roman"/>
                    </w:rPr>
                  </w:pPr>
                  <w:r>
                    <w:rPr>
                      <w:rFonts w:ascii="Times New Roman" w:hAnsi="Times New Roma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pPr>
                    <w:snapToGrid w:val="0"/>
                    <w:jc w:val="center"/>
                    <w:rPr>
                      <w:rFonts w:ascii="Times New Roman" w:hAnsi="Times New Roman"/>
                    </w:rPr>
                  </w:pPr>
                  <w:r>
                    <w:rPr>
                      <w:rFonts w:ascii="Times New Roman" w:hAnsi="Times New Roman"/>
                    </w:rPr>
                    <w:t>3</w:t>
                  </w:r>
                </w:p>
              </w:tc>
              <w:tc>
                <w:tcPr>
                  <w:tcW w:w="755" w:type="pct"/>
                  <w:vMerge w:val="continue"/>
                  <w:vAlign w:val="center"/>
                </w:tcPr>
                <w:p>
                  <w:pPr>
                    <w:snapToGrid w:val="0"/>
                    <w:jc w:val="center"/>
                    <w:rPr>
                      <w:rFonts w:ascii="Times New Roman" w:hAnsi="Times New Roman"/>
                    </w:rPr>
                  </w:pPr>
                </w:p>
              </w:tc>
              <w:tc>
                <w:tcPr>
                  <w:tcW w:w="742" w:type="pct"/>
                  <w:vAlign w:val="center"/>
                </w:tcPr>
                <w:p>
                  <w:pPr>
                    <w:jc w:val="center"/>
                    <w:rPr>
                      <w:rFonts w:ascii="Times New Roman" w:hAnsi="Times New Roman"/>
                      <w:bCs/>
                    </w:rPr>
                  </w:pPr>
                  <w:r>
                    <w:rPr>
                      <w:rFonts w:ascii="Times New Roman" w:hAnsi="Times New Roman"/>
                      <w:bCs/>
                    </w:rPr>
                    <w:t>BOD</w:t>
                  </w:r>
                  <w:r>
                    <w:rPr>
                      <w:rFonts w:ascii="Times New Roman" w:hAnsi="Times New Roman"/>
                      <w:bCs/>
                      <w:vertAlign w:val="subscript"/>
                    </w:rPr>
                    <w:t>5</w:t>
                  </w:r>
                </w:p>
              </w:tc>
              <w:tc>
                <w:tcPr>
                  <w:tcW w:w="1722" w:type="pct"/>
                  <w:vMerge w:val="continue"/>
                  <w:vAlign w:val="center"/>
                </w:tcPr>
                <w:p>
                  <w:pPr>
                    <w:jc w:val="center"/>
                    <w:rPr>
                      <w:rFonts w:ascii="Times New Roman" w:hAnsi="Times New Roman"/>
                    </w:rPr>
                  </w:pPr>
                </w:p>
              </w:tc>
              <w:tc>
                <w:tcPr>
                  <w:tcW w:w="1403" w:type="pct"/>
                  <w:vAlign w:val="center"/>
                </w:tcPr>
                <w:p>
                  <w:pPr>
                    <w:snapToGrid w:val="0"/>
                    <w:jc w:val="center"/>
                    <w:rPr>
                      <w:rFonts w:ascii="Times New Roman" w:hAnsi="Times New Roman"/>
                    </w:rPr>
                  </w:pPr>
                  <w:r>
                    <w:rPr>
                      <w:rFonts w:ascii="Times New Roman" w:hAnsi="Times New Roma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pPr>
                    <w:snapToGrid w:val="0"/>
                    <w:jc w:val="center"/>
                    <w:rPr>
                      <w:rFonts w:ascii="Times New Roman" w:hAnsi="Times New Roman"/>
                    </w:rPr>
                  </w:pPr>
                  <w:r>
                    <w:rPr>
                      <w:rFonts w:ascii="Times New Roman" w:hAnsi="Times New Roman"/>
                    </w:rPr>
                    <w:t>4</w:t>
                  </w:r>
                </w:p>
              </w:tc>
              <w:tc>
                <w:tcPr>
                  <w:tcW w:w="755" w:type="pct"/>
                  <w:vMerge w:val="continue"/>
                  <w:vAlign w:val="center"/>
                </w:tcPr>
                <w:p>
                  <w:pPr>
                    <w:snapToGrid w:val="0"/>
                    <w:jc w:val="center"/>
                    <w:rPr>
                      <w:rFonts w:ascii="Times New Roman" w:hAnsi="Times New Roman"/>
                    </w:rPr>
                  </w:pPr>
                </w:p>
              </w:tc>
              <w:tc>
                <w:tcPr>
                  <w:tcW w:w="742" w:type="pct"/>
                  <w:vAlign w:val="center"/>
                </w:tcPr>
                <w:p>
                  <w:pPr>
                    <w:jc w:val="center"/>
                    <w:rPr>
                      <w:rFonts w:ascii="Times New Roman" w:hAnsi="Times New Roman"/>
                    </w:rPr>
                  </w:pPr>
                  <w:r>
                    <w:rPr>
                      <w:rFonts w:ascii="Times New Roman" w:hAnsi="Times New Roman"/>
                      <w:bCs/>
                    </w:rPr>
                    <w:t>SS</w:t>
                  </w:r>
                </w:p>
              </w:tc>
              <w:tc>
                <w:tcPr>
                  <w:tcW w:w="1722" w:type="pct"/>
                  <w:vMerge w:val="continue"/>
                  <w:vAlign w:val="center"/>
                </w:tcPr>
                <w:p>
                  <w:pPr>
                    <w:snapToGrid w:val="0"/>
                    <w:jc w:val="center"/>
                    <w:rPr>
                      <w:rFonts w:ascii="Times New Roman" w:hAnsi="Times New Roman"/>
                    </w:rPr>
                  </w:pPr>
                </w:p>
              </w:tc>
              <w:tc>
                <w:tcPr>
                  <w:tcW w:w="1403" w:type="pct"/>
                  <w:vAlign w:val="center"/>
                </w:tcPr>
                <w:p>
                  <w:pPr>
                    <w:snapToGrid w:val="0"/>
                    <w:jc w:val="center"/>
                    <w:rPr>
                      <w:rFonts w:ascii="Times New Roman" w:hAnsi="Times New Roman"/>
                    </w:rPr>
                  </w:pPr>
                  <w:r>
                    <w:rPr>
                      <w:rFonts w:ascii="Times New Roman" w:hAnsi="Times New Roma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78" w:type="pct"/>
                  <w:vAlign w:val="center"/>
                </w:tcPr>
                <w:p>
                  <w:pPr>
                    <w:snapToGrid w:val="0"/>
                    <w:jc w:val="center"/>
                    <w:rPr>
                      <w:rFonts w:ascii="Times New Roman" w:hAnsi="Times New Roman"/>
                    </w:rPr>
                  </w:pPr>
                  <w:r>
                    <w:rPr>
                      <w:rFonts w:ascii="Times New Roman" w:hAnsi="Times New Roman"/>
                    </w:rPr>
                    <w:t>5</w:t>
                  </w:r>
                </w:p>
              </w:tc>
              <w:tc>
                <w:tcPr>
                  <w:tcW w:w="755" w:type="pct"/>
                  <w:vMerge w:val="continue"/>
                  <w:vAlign w:val="center"/>
                </w:tcPr>
                <w:p>
                  <w:pPr>
                    <w:snapToGrid w:val="0"/>
                    <w:jc w:val="center"/>
                    <w:rPr>
                      <w:rFonts w:ascii="Times New Roman" w:hAnsi="Times New Roman"/>
                    </w:rPr>
                  </w:pPr>
                </w:p>
              </w:tc>
              <w:tc>
                <w:tcPr>
                  <w:tcW w:w="742" w:type="pct"/>
                  <w:vAlign w:val="center"/>
                </w:tcPr>
                <w:p>
                  <w:pPr>
                    <w:jc w:val="center"/>
                    <w:rPr>
                      <w:rFonts w:ascii="Times New Roman" w:hAnsi="Times New Roman"/>
                      <w:bCs/>
                    </w:rPr>
                  </w:pPr>
                  <w:r>
                    <w:rPr>
                      <w:rFonts w:ascii="Times New Roman" w:hAnsi="Times New Roman"/>
                      <w:bCs/>
                    </w:rPr>
                    <w:t>NH</w:t>
                  </w:r>
                  <w:r>
                    <w:rPr>
                      <w:rFonts w:ascii="Times New Roman" w:hAnsi="Times New Roman"/>
                      <w:bCs/>
                      <w:vertAlign w:val="subscript"/>
                    </w:rPr>
                    <w:t>3</w:t>
                  </w:r>
                  <w:r>
                    <w:rPr>
                      <w:rFonts w:ascii="Times New Roman" w:hAnsi="Times New Roman"/>
                      <w:bCs/>
                    </w:rPr>
                    <w:t>-N</w:t>
                  </w:r>
                </w:p>
              </w:tc>
              <w:tc>
                <w:tcPr>
                  <w:tcW w:w="1722" w:type="pct"/>
                  <w:vMerge w:val="continue"/>
                  <w:vAlign w:val="center"/>
                </w:tcPr>
                <w:p>
                  <w:pPr>
                    <w:snapToGrid w:val="0"/>
                    <w:jc w:val="center"/>
                    <w:rPr>
                      <w:rFonts w:ascii="Times New Roman" w:hAnsi="Times New Roman"/>
                    </w:rPr>
                  </w:pPr>
                </w:p>
              </w:tc>
              <w:tc>
                <w:tcPr>
                  <w:tcW w:w="1403" w:type="pct"/>
                  <w:vAlign w:val="center"/>
                </w:tcPr>
                <w:p>
                  <w:pPr>
                    <w:snapToGrid w:val="0"/>
                    <w:jc w:val="center"/>
                    <w:rPr>
                      <w:rFonts w:ascii="Times New Roman" w:hAnsi="Times New Roman"/>
                    </w:rPr>
                  </w:pPr>
                  <w:r>
                    <w:rPr>
                      <w:rFonts w:ascii="Times New Roman" w:hAnsi="Times New Roma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pPr>
                    <w:snapToGrid w:val="0"/>
                    <w:jc w:val="center"/>
                    <w:rPr>
                      <w:rFonts w:ascii="Times New Roman" w:hAnsi="Times New Roman"/>
                    </w:rPr>
                  </w:pPr>
                  <w:r>
                    <w:rPr>
                      <w:rFonts w:ascii="Times New Roman" w:hAnsi="Times New Roman"/>
                    </w:rPr>
                    <w:t>6</w:t>
                  </w:r>
                </w:p>
              </w:tc>
              <w:tc>
                <w:tcPr>
                  <w:tcW w:w="755" w:type="pct"/>
                  <w:vMerge w:val="continue"/>
                  <w:vAlign w:val="center"/>
                </w:tcPr>
                <w:p>
                  <w:pPr>
                    <w:snapToGrid w:val="0"/>
                    <w:jc w:val="center"/>
                    <w:rPr>
                      <w:rFonts w:ascii="Times New Roman" w:hAnsi="Times New Roman"/>
                    </w:rPr>
                  </w:pPr>
                </w:p>
              </w:tc>
              <w:tc>
                <w:tcPr>
                  <w:tcW w:w="742" w:type="pct"/>
                  <w:vAlign w:val="center"/>
                </w:tcPr>
                <w:p>
                  <w:pPr>
                    <w:jc w:val="center"/>
                    <w:rPr>
                      <w:rFonts w:ascii="Times New Roman" w:hAnsi="Times New Roman"/>
                      <w:bCs/>
                    </w:rPr>
                  </w:pPr>
                  <w:r>
                    <w:rPr>
                      <w:rFonts w:ascii="Times New Roman" w:hAnsi="Times New Roman"/>
                      <w:bCs/>
                    </w:rPr>
                    <w:t>TN</w:t>
                  </w:r>
                </w:p>
              </w:tc>
              <w:tc>
                <w:tcPr>
                  <w:tcW w:w="1722" w:type="pct"/>
                  <w:vMerge w:val="continue"/>
                  <w:vAlign w:val="center"/>
                </w:tcPr>
                <w:p>
                  <w:pPr>
                    <w:snapToGrid w:val="0"/>
                    <w:jc w:val="center"/>
                    <w:rPr>
                      <w:rFonts w:ascii="Times New Roman" w:hAnsi="Times New Roman"/>
                    </w:rPr>
                  </w:pPr>
                </w:p>
              </w:tc>
              <w:tc>
                <w:tcPr>
                  <w:tcW w:w="1403" w:type="pct"/>
                  <w:vAlign w:val="center"/>
                </w:tcPr>
                <w:p>
                  <w:pPr>
                    <w:snapToGrid w:val="0"/>
                    <w:jc w:val="center"/>
                    <w:rPr>
                      <w:rFonts w:ascii="Times New Roman" w:hAnsi="Times New Roman"/>
                    </w:rPr>
                  </w:pPr>
                  <w:r>
                    <w:rPr>
                      <w:rFonts w:ascii="Times New Roman" w:hAnsi="Times New Roma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pPr>
                    <w:snapToGrid w:val="0"/>
                    <w:jc w:val="center"/>
                    <w:rPr>
                      <w:rFonts w:ascii="Times New Roman" w:hAnsi="Times New Roman"/>
                    </w:rPr>
                  </w:pPr>
                  <w:r>
                    <w:rPr>
                      <w:rFonts w:ascii="Times New Roman" w:hAnsi="Times New Roman"/>
                    </w:rPr>
                    <w:t>7</w:t>
                  </w:r>
                </w:p>
              </w:tc>
              <w:tc>
                <w:tcPr>
                  <w:tcW w:w="755" w:type="pct"/>
                  <w:vMerge w:val="continue"/>
                  <w:vAlign w:val="center"/>
                </w:tcPr>
                <w:p>
                  <w:pPr>
                    <w:snapToGrid w:val="0"/>
                    <w:jc w:val="center"/>
                    <w:rPr>
                      <w:rFonts w:ascii="Times New Roman" w:hAnsi="Times New Roman"/>
                    </w:rPr>
                  </w:pPr>
                </w:p>
              </w:tc>
              <w:tc>
                <w:tcPr>
                  <w:tcW w:w="742" w:type="pct"/>
                  <w:vAlign w:val="center"/>
                </w:tcPr>
                <w:p>
                  <w:pPr>
                    <w:jc w:val="center"/>
                    <w:rPr>
                      <w:rFonts w:ascii="Times New Roman" w:hAnsi="Times New Roman"/>
                      <w:bCs/>
                    </w:rPr>
                  </w:pPr>
                  <w:r>
                    <w:rPr>
                      <w:rFonts w:ascii="Times New Roman" w:hAnsi="Times New Roman"/>
                      <w:bCs/>
                    </w:rPr>
                    <w:t>TP</w:t>
                  </w:r>
                </w:p>
              </w:tc>
              <w:tc>
                <w:tcPr>
                  <w:tcW w:w="1722" w:type="pct"/>
                  <w:vMerge w:val="continue"/>
                  <w:vAlign w:val="center"/>
                </w:tcPr>
                <w:p>
                  <w:pPr>
                    <w:snapToGrid w:val="0"/>
                    <w:jc w:val="center"/>
                    <w:rPr>
                      <w:rFonts w:ascii="Times New Roman" w:hAnsi="Times New Roman"/>
                    </w:rPr>
                  </w:pPr>
                </w:p>
              </w:tc>
              <w:tc>
                <w:tcPr>
                  <w:tcW w:w="1403" w:type="pct"/>
                  <w:vAlign w:val="center"/>
                </w:tcPr>
                <w:p>
                  <w:pPr>
                    <w:snapToGrid w:val="0"/>
                    <w:jc w:val="center"/>
                    <w:rPr>
                      <w:rFonts w:ascii="Times New Roman" w:hAnsi="Times New Roman"/>
                    </w:rPr>
                  </w:pPr>
                  <w:r>
                    <w:rPr>
                      <w:rFonts w:ascii="Times New Roman" w:hAnsi="Times New Roma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78" w:type="pct"/>
                  <w:vAlign w:val="center"/>
                </w:tcPr>
                <w:p>
                  <w:pPr>
                    <w:snapToGrid w:val="0"/>
                    <w:jc w:val="center"/>
                    <w:rPr>
                      <w:rFonts w:ascii="Times New Roman" w:hAnsi="Times New Roman"/>
                    </w:rPr>
                  </w:pPr>
                  <w:r>
                    <w:rPr>
                      <w:rFonts w:ascii="Times New Roman" w:hAnsi="Times New Roman"/>
                    </w:rPr>
                    <w:t>8</w:t>
                  </w:r>
                </w:p>
              </w:tc>
              <w:tc>
                <w:tcPr>
                  <w:tcW w:w="755" w:type="pct"/>
                  <w:vMerge w:val="continue"/>
                  <w:vAlign w:val="center"/>
                </w:tcPr>
                <w:p>
                  <w:pPr>
                    <w:snapToGrid w:val="0"/>
                    <w:jc w:val="center"/>
                    <w:rPr>
                      <w:rFonts w:ascii="Times New Roman" w:hAnsi="Times New Roman"/>
                    </w:rPr>
                  </w:pPr>
                </w:p>
              </w:tc>
              <w:tc>
                <w:tcPr>
                  <w:tcW w:w="742" w:type="pct"/>
                  <w:vAlign w:val="center"/>
                </w:tcPr>
                <w:p>
                  <w:pPr>
                    <w:jc w:val="center"/>
                    <w:rPr>
                      <w:rFonts w:ascii="Times New Roman" w:hAnsi="Times New Roman"/>
                      <w:bCs/>
                    </w:rPr>
                  </w:pPr>
                  <w:r>
                    <w:rPr>
                      <w:rFonts w:ascii="Times New Roman" w:hAnsi="Times New Roman"/>
                      <w:bCs/>
                    </w:rPr>
                    <w:t>LAS</w:t>
                  </w:r>
                </w:p>
              </w:tc>
              <w:tc>
                <w:tcPr>
                  <w:tcW w:w="1722" w:type="pct"/>
                  <w:vMerge w:val="continue"/>
                  <w:vAlign w:val="center"/>
                </w:tcPr>
                <w:p>
                  <w:pPr>
                    <w:snapToGrid w:val="0"/>
                    <w:jc w:val="center"/>
                    <w:rPr>
                      <w:rFonts w:ascii="Times New Roman" w:hAnsi="Times New Roman"/>
                    </w:rPr>
                  </w:pPr>
                </w:p>
              </w:tc>
              <w:tc>
                <w:tcPr>
                  <w:tcW w:w="1403" w:type="pct"/>
                  <w:vAlign w:val="center"/>
                </w:tcPr>
                <w:p>
                  <w:pPr>
                    <w:snapToGrid w:val="0"/>
                    <w:jc w:val="center"/>
                    <w:rPr>
                      <w:rFonts w:ascii="Times New Roman" w:hAnsi="Times New Roman"/>
                    </w:rPr>
                  </w:pPr>
                  <w:r>
                    <w:rPr>
                      <w:rFonts w:ascii="Times New Roman" w:hAnsi="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pPr>
                    <w:snapToGrid w:val="0"/>
                    <w:jc w:val="center"/>
                    <w:rPr>
                      <w:rFonts w:ascii="Times New Roman" w:hAnsi="Times New Roman"/>
                    </w:rPr>
                  </w:pPr>
                  <w:r>
                    <w:rPr>
                      <w:rFonts w:ascii="Times New Roman" w:hAnsi="Times New Roman"/>
                    </w:rPr>
                    <w:t>9</w:t>
                  </w:r>
                </w:p>
              </w:tc>
              <w:tc>
                <w:tcPr>
                  <w:tcW w:w="755" w:type="pct"/>
                  <w:vMerge w:val="continue"/>
                  <w:vAlign w:val="center"/>
                </w:tcPr>
                <w:p>
                  <w:pPr>
                    <w:snapToGrid w:val="0"/>
                    <w:jc w:val="center"/>
                    <w:rPr>
                      <w:rFonts w:ascii="Times New Roman" w:hAnsi="Times New Roman"/>
                    </w:rPr>
                  </w:pPr>
                </w:p>
              </w:tc>
              <w:tc>
                <w:tcPr>
                  <w:tcW w:w="742" w:type="pct"/>
                  <w:vAlign w:val="center"/>
                </w:tcPr>
                <w:p>
                  <w:pPr>
                    <w:jc w:val="center"/>
                    <w:rPr>
                      <w:rFonts w:ascii="Times New Roman" w:hAnsi="Times New Roman"/>
                      <w:bCs/>
                    </w:rPr>
                  </w:pPr>
                  <w:r>
                    <w:rPr>
                      <w:rFonts w:ascii="Times New Roman" w:hAnsi="Times New Roman"/>
                      <w:bCs/>
                    </w:rPr>
                    <w:t>动植物油</w:t>
                  </w:r>
                </w:p>
              </w:tc>
              <w:tc>
                <w:tcPr>
                  <w:tcW w:w="1722" w:type="pct"/>
                  <w:vMerge w:val="continue"/>
                  <w:vAlign w:val="center"/>
                </w:tcPr>
                <w:p>
                  <w:pPr>
                    <w:snapToGrid w:val="0"/>
                    <w:jc w:val="center"/>
                    <w:rPr>
                      <w:rFonts w:ascii="Times New Roman" w:hAnsi="Times New Roman"/>
                    </w:rPr>
                  </w:pPr>
                </w:p>
              </w:tc>
              <w:tc>
                <w:tcPr>
                  <w:tcW w:w="1403" w:type="pct"/>
                  <w:vAlign w:val="center"/>
                </w:tcPr>
                <w:p>
                  <w:pPr>
                    <w:snapToGrid w:val="0"/>
                    <w:jc w:val="center"/>
                    <w:rPr>
                      <w:rFonts w:ascii="Times New Roman" w:hAnsi="Times New Roman"/>
                    </w:rPr>
                  </w:pPr>
                  <w:r>
                    <w:rPr>
                      <w:rFonts w:ascii="Times New Roman" w:hAnsi="Times New Roman"/>
                    </w:rPr>
                    <w:t>100</w:t>
                  </w:r>
                </w:p>
              </w:tc>
            </w:tr>
          </w:tbl>
          <w:p>
            <w:pPr>
              <w:spacing w:line="440" w:lineRule="exact"/>
              <w:ind w:firstLine="600" w:firstLineChars="250"/>
              <w:rPr>
                <w:rFonts w:ascii="Times New Roman" w:hAnsi="Times New Roman"/>
                <w:sz w:val="24"/>
              </w:rPr>
            </w:pPr>
            <w:r>
              <w:rPr>
                <w:rFonts w:ascii="Times New Roman" w:hAnsi="Times New Roman"/>
                <w:sz w:val="24"/>
              </w:rPr>
              <w:t>（4）废水污染物排放信息表</w:t>
            </w:r>
          </w:p>
          <w:p>
            <w:pPr>
              <w:pStyle w:val="119"/>
              <w:spacing w:line="440" w:lineRule="exact"/>
              <w:rPr>
                <w:rFonts w:cs="Times New Roman"/>
              </w:rPr>
            </w:pPr>
            <w:r>
              <w:rPr>
                <w:rFonts w:cs="Times New Roman"/>
              </w:rPr>
              <w:t>表4-11废水污染物排放信息表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680"/>
              <w:gridCol w:w="1676"/>
              <w:gridCol w:w="1551"/>
              <w:gridCol w:w="1443"/>
              <w:gridCol w:w="13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Align w:val="center"/>
                </w:tcPr>
                <w:p>
                  <w:pPr>
                    <w:widowControl/>
                    <w:jc w:val="center"/>
                    <w:rPr>
                      <w:rFonts w:ascii="Times New Roman" w:hAnsi="Times New Roman"/>
                      <w:b/>
                    </w:rPr>
                  </w:pPr>
                  <w:bookmarkStart w:id="57" w:name="_Hlk75879921"/>
                  <w:r>
                    <w:rPr>
                      <w:rFonts w:ascii="Times New Roman" w:hAnsi="Times New Roman"/>
                      <w:b/>
                    </w:rPr>
                    <w:t>序号</w:t>
                  </w:r>
                </w:p>
              </w:tc>
              <w:tc>
                <w:tcPr>
                  <w:tcW w:w="978" w:type="pct"/>
                  <w:vAlign w:val="center"/>
                </w:tcPr>
                <w:p>
                  <w:pPr>
                    <w:widowControl/>
                    <w:jc w:val="center"/>
                    <w:rPr>
                      <w:rFonts w:ascii="Times New Roman" w:hAnsi="Times New Roman"/>
                      <w:b/>
                    </w:rPr>
                  </w:pPr>
                  <w:r>
                    <w:rPr>
                      <w:rFonts w:ascii="Times New Roman" w:hAnsi="Times New Roman"/>
                      <w:b/>
                    </w:rPr>
                    <w:t>排放口编号</w:t>
                  </w:r>
                </w:p>
              </w:tc>
              <w:tc>
                <w:tcPr>
                  <w:tcW w:w="976" w:type="pct"/>
                  <w:vAlign w:val="center"/>
                </w:tcPr>
                <w:p>
                  <w:pPr>
                    <w:widowControl/>
                    <w:jc w:val="center"/>
                    <w:rPr>
                      <w:rFonts w:ascii="Times New Roman" w:hAnsi="Times New Roman"/>
                      <w:b/>
                    </w:rPr>
                  </w:pPr>
                  <w:r>
                    <w:rPr>
                      <w:rFonts w:ascii="Times New Roman" w:hAnsi="Times New Roman"/>
                      <w:b/>
                    </w:rPr>
                    <w:t>污染物种类</w:t>
                  </w:r>
                </w:p>
              </w:tc>
              <w:tc>
                <w:tcPr>
                  <w:tcW w:w="903" w:type="pct"/>
                  <w:vAlign w:val="center"/>
                </w:tcPr>
                <w:p>
                  <w:pPr>
                    <w:widowControl/>
                    <w:jc w:val="center"/>
                    <w:rPr>
                      <w:rFonts w:ascii="Times New Roman" w:hAnsi="Times New Roman"/>
                      <w:b/>
                    </w:rPr>
                  </w:pPr>
                  <w:r>
                    <w:rPr>
                      <w:rFonts w:ascii="Times New Roman" w:hAnsi="Times New Roman"/>
                      <w:b/>
                    </w:rPr>
                    <w:t>排放浓度</w:t>
                  </w:r>
                </w:p>
                <w:p>
                  <w:pPr>
                    <w:widowControl/>
                    <w:jc w:val="center"/>
                    <w:rPr>
                      <w:rFonts w:ascii="Times New Roman" w:hAnsi="Times New Roman"/>
                      <w:b/>
                    </w:rPr>
                  </w:pPr>
                  <w:r>
                    <w:rPr>
                      <w:rFonts w:ascii="Times New Roman" w:hAnsi="Times New Roman"/>
                      <w:b/>
                    </w:rPr>
                    <w:t>/（mg/L）</w:t>
                  </w:r>
                </w:p>
              </w:tc>
              <w:tc>
                <w:tcPr>
                  <w:tcW w:w="840" w:type="pct"/>
                  <w:vAlign w:val="center"/>
                </w:tcPr>
                <w:p>
                  <w:pPr>
                    <w:widowControl/>
                    <w:jc w:val="center"/>
                    <w:rPr>
                      <w:rFonts w:ascii="Times New Roman" w:hAnsi="Times New Roman"/>
                      <w:b/>
                    </w:rPr>
                  </w:pPr>
                  <w:r>
                    <w:rPr>
                      <w:rFonts w:ascii="Times New Roman" w:hAnsi="Times New Roman"/>
                      <w:b/>
                    </w:rPr>
                    <w:t>日排放量</w:t>
                  </w:r>
                </w:p>
                <w:p>
                  <w:pPr>
                    <w:widowControl/>
                    <w:jc w:val="center"/>
                    <w:rPr>
                      <w:rFonts w:ascii="Times New Roman" w:hAnsi="Times New Roman"/>
                      <w:b/>
                    </w:rPr>
                  </w:pPr>
                  <w:r>
                    <w:rPr>
                      <w:rFonts w:ascii="Times New Roman" w:hAnsi="Times New Roman"/>
                      <w:b/>
                    </w:rPr>
                    <w:t>/（kg/d）</w:t>
                  </w:r>
                </w:p>
              </w:tc>
              <w:tc>
                <w:tcPr>
                  <w:tcW w:w="811" w:type="pct"/>
                  <w:vAlign w:val="center"/>
                </w:tcPr>
                <w:p>
                  <w:pPr>
                    <w:widowControl/>
                    <w:jc w:val="center"/>
                    <w:rPr>
                      <w:rFonts w:ascii="Times New Roman" w:hAnsi="Times New Roman"/>
                      <w:b/>
                    </w:rPr>
                  </w:pPr>
                  <w:r>
                    <w:rPr>
                      <w:rFonts w:ascii="Times New Roman" w:hAnsi="Times New Roman"/>
                      <w:b/>
                    </w:rPr>
                    <w:t>年排放量（接管量）</w:t>
                  </w:r>
                </w:p>
                <w:p>
                  <w:pPr>
                    <w:widowControl/>
                    <w:jc w:val="center"/>
                    <w:rPr>
                      <w:rFonts w:ascii="Times New Roman" w:hAnsi="Times New Roman"/>
                      <w:b/>
                    </w:rPr>
                  </w:pPr>
                  <w:r>
                    <w:rPr>
                      <w:rFonts w:ascii="Times New Roman" w:hAnsi="Times New Roman"/>
                      <w:b/>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Align w:val="center"/>
                </w:tcPr>
                <w:p>
                  <w:pPr>
                    <w:adjustRightInd w:val="0"/>
                    <w:jc w:val="center"/>
                    <w:rPr>
                      <w:rFonts w:ascii="Times New Roman" w:hAnsi="Times New Roman"/>
                    </w:rPr>
                  </w:pPr>
                  <w:r>
                    <w:rPr>
                      <w:rFonts w:ascii="Times New Roman" w:hAnsi="Times New Roman"/>
                    </w:rPr>
                    <w:t>1</w:t>
                  </w:r>
                </w:p>
              </w:tc>
              <w:tc>
                <w:tcPr>
                  <w:tcW w:w="978" w:type="pct"/>
                  <w:vMerge w:val="restart"/>
                  <w:vAlign w:val="center"/>
                </w:tcPr>
                <w:p>
                  <w:pPr>
                    <w:adjustRightInd w:val="0"/>
                    <w:jc w:val="center"/>
                    <w:rPr>
                      <w:rFonts w:ascii="Times New Roman" w:hAnsi="Times New Roman"/>
                    </w:rPr>
                  </w:pPr>
                  <w:r>
                    <w:rPr>
                      <w:rFonts w:ascii="Times New Roman" w:hAnsi="Times New Roman"/>
                    </w:rPr>
                    <w:t>DW001</w:t>
                  </w:r>
                </w:p>
              </w:tc>
              <w:tc>
                <w:tcPr>
                  <w:tcW w:w="976" w:type="pct"/>
                  <w:vAlign w:val="center"/>
                </w:tcPr>
                <w:p>
                  <w:pPr>
                    <w:adjustRightInd w:val="0"/>
                    <w:jc w:val="center"/>
                    <w:rPr>
                      <w:rFonts w:ascii="Times New Roman" w:hAnsi="Times New Roman"/>
                    </w:rPr>
                  </w:pPr>
                  <w:r>
                    <w:rPr>
                      <w:rFonts w:ascii="Times New Roman" w:hAnsi="Times New Roman"/>
                    </w:rPr>
                    <w:t>COD</w:t>
                  </w:r>
                </w:p>
              </w:tc>
              <w:tc>
                <w:tcPr>
                  <w:tcW w:w="903" w:type="pct"/>
                  <w:vAlign w:val="center"/>
                </w:tcPr>
                <w:p>
                  <w:pPr>
                    <w:adjustRightInd w:val="0"/>
                    <w:jc w:val="center"/>
                    <w:rPr>
                      <w:rFonts w:ascii="Times New Roman" w:hAnsi="Times New Roman"/>
                    </w:rPr>
                  </w:pPr>
                  <w:r>
                    <w:rPr>
                      <w:rFonts w:ascii="Times New Roman" w:hAnsi="Times New Roman" w:eastAsia="等线"/>
                    </w:rPr>
                    <w:t>236.6</w:t>
                  </w:r>
                </w:p>
              </w:tc>
              <w:tc>
                <w:tcPr>
                  <w:tcW w:w="840" w:type="pct"/>
                  <w:vAlign w:val="bottom"/>
                </w:tcPr>
                <w:p>
                  <w:pPr>
                    <w:adjustRightInd w:val="0"/>
                    <w:jc w:val="center"/>
                    <w:rPr>
                      <w:rFonts w:ascii="Times New Roman" w:hAnsi="Times New Roman"/>
                    </w:rPr>
                  </w:pPr>
                  <w:r>
                    <w:rPr>
                      <w:rFonts w:ascii="Times New Roman" w:hAnsi="Times New Roman" w:eastAsia="等线"/>
                    </w:rPr>
                    <w:t>16.02</w:t>
                  </w:r>
                </w:p>
              </w:tc>
              <w:tc>
                <w:tcPr>
                  <w:tcW w:w="811" w:type="pct"/>
                  <w:vAlign w:val="center"/>
                </w:tcPr>
                <w:p>
                  <w:pPr>
                    <w:adjustRightInd w:val="0"/>
                    <w:jc w:val="center"/>
                    <w:rPr>
                      <w:rFonts w:ascii="Times New Roman" w:hAnsi="Times New Roman"/>
                    </w:rPr>
                  </w:pPr>
                  <w:r>
                    <w:rPr>
                      <w:rFonts w:ascii="Times New Roman" w:hAnsi="Times New Roman" w:eastAsia="等线"/>
                    </w:rPr>
                    <w:t>2.987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Align w:val="center"/>
                </w:tcPr>
                <w:p>
                  <w:pPr>
                    <w:adjustRightInd w:val="0"/>
                    <w:jc w:val="center"/>
                    <w:rPr>
                      <w:rFonts w:ascii="Times New Roman" w:hAnsi="Times New Roman"/>
                    </w:rPr>
                  </w:pPr>
                  <w:r>
                    <w:rPr>
                      <w:rFonts w:ascii="Times New Roman" w:hAnsi="Times New Roman"/>
                    </w:rPr>
                    <w:t>2</w:t>
                  </w:r>
                </w:p>
              </w:tc>
              <w:tc>
                <w:tcPr>
                  <w:tcW w:w="978" w:type="pct"/>
                  <w:vMerge w:val="continue"/>
                  <w:vAlign w:val="center"/>
                </w:tcPr>
                <w:p>
                  <w:pPr>
                    <w:adjustRightInd w:val="0"/>
                    <w:jc w:val="center"/>
                    <w:rPr>
                      <w:rFonts w:ascii="Times New Roman" w:hAnsi="Times New Roman"/>
                    </w:rPr>
                  </w:pPr>
                </w:p>
              </w:tc>
              <w:tc>
                <w:tcPr>
                  <w:tcW w:w="976" w:type="pct"/>
                  <w:vAlign w:val="center"/>
                </w:tcPr>
                <w:p>
                  <w:pPr>
                    <w:adjustRightInd w:val="0"/>
                    <w:jc w:val="center"/>
                    <w:rPr>
                      <w:rFonts w:ascii="Times New Roman" w:hAnsi="Times New Roman"/>
                    </w:rPr>
                  </w:pPr>
                  <w:r>
                    <w:rPr>
                      <w:rFonts w:ascii="Times New Roman" w:hAnsi="Times New Roman"/>
                    </w:rPr>
                    <w:t>BOD</w:t>
                  </w:r>
                  <w:r>
                    <w:rPr>
                      <w:rFonts w:ascii="Times New Roman" w:hAnsi="Times New Roman"/>
                      <w:vertAlign w:val="subscript"/>
                    </w:rPr>
                    <w:t>5</w:t>
                  </w:r>
                  <w:r>
                    <w:rPr>
                      <w:rFonts w:ascii="Times New Roman" w:hAnsi="Times New Roman"/>
                    </w:rPr>
                    <w:t xml:space="preserve"> </w:t>
                  </w:r>
                </w:p>
              </w:tc>
              <w:tc>
                <w:tcPr>
                  <w:tcW w:w="903" w:type="pct"/>
                  <w:vAlign w:val="center"/>
                </w:tcPr>
                <w:p>
                  <w:pPr>
                    <w:adjustRightInd w:val="0"/>
                    <w:jc w:val="center"/>
                    <w:rPr>
                      <w:rFonts w:ascii="Times New Roman" w:hAnsi="Times New Roman"/>
                    </w:rPr>
                  </w:pPr>
                  <w:r>
                    <w:rPr>
                      <w:rFonts w:ascii="Times New Roman" w:hAnsi="Times New Roman" w:eastAsia="等线"/>
                    </w:rPr>
                    <w:t>31.9</w:t>
                  </w:r>
                </w:p>
              </w:tc>
              <w:tc>
                <w:tcPr>
                  <w:tcW w:w="840" w:type="pct"/>
                  <w:vAlign w:val="bottom"/>
                </w:tcPr>
                <w:p>
                  <w:pPr>
                    <w:adjustRightInd w:val="0"/>
                    <w:jc w:val="center"/>
                    <w:rPr>
                      <w:rFonts w:ascii="Times New Roman" w:hAnsi="Times New Roman"/>
                    </w:rPr>
                  </w:pPr>
                  <w:r>
                    <w:rPr>
                      <w:rFonts w:ascii="Times New Roman" w:hAnsi="Times New Roman" w:eastAsia="等线"/>
                    </w:rPr>
                    <w:t>2.16</w:t>
                  </w:r>
                </w:p>
              </w:tc>
              <w:tc>
                <w:tcPr>
                  <w:tcW w:w="811" w:type="pct"/>
                  <w:vAlign w:val="center"/>
                </w:tcPr>
                <w:p>
                  <w:pPr>
                    <w:adjustRightInd w:val="0"/>
                    <w:jc w:val="center"/>
                    <w:rPr>
                      <w:rFonts w:ascii="Times New Roman" w:hAnsi="Times New Roman"/>
                    </w:rPr>
                  </w:pPr>
                  <w:r>
                    <w:rPr>
                      <w:rFonts w:ascii="Times New Roman" w:hAnsi="Times New Roman" w:eastAsia="等线"/>
                    </w:rPr>
                    <w:t>0.403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Align w:val="center"/>
                </w:tcPr>
                <w:p>
                  <w:pPr>
                    <w:adjustRightInd w:val="0"/>
                    <w:jc w:val="center"/>
                    <w:rPr>
                      <w:rFonts w:ascii="Times New Roman" w:hAnsi="Times New Roman"/>
                    </w:rPr>
                  </w:pPr>
                  <w:r>
                    <w:rPr>
                      <w:rFonts w:ascii="Times New Roman" w:hAnsi="Times New Roman"/>
                    </w:rPr>
                    <w:t>3</w:t>
                  </w:r>
                </w:p>
              </w:tc>
              <w:tc>
                <w:tcPr>
                  <w:tcW w:w="978" w:type="pct"/>
                  <w:vMerge w:val="continue"/>
                  <w:vAlign w:val="center"/>
                </w:tcPr>
                <w:p>
                  <w:pPr>
                    <w:adjustRightInd w:val="0"/>
                    <w:jc w:val="center"/>
                    <w:rPr>
                      <w:rFonts w:ascii="Times New Roman" w:hAnsi="Times New Roman"/>
                    </w:rPr>
                  </w:pPr>
                </w:p>
              </w:tc>
              <w:tc>
                <w:tcPr>
                  <w:tcW w:w="976" w:type="pct"/>
                  <w:vAlign w:val="center"/>
                </w:tcPr>
                <w:p>
                  <w:pPr>
                    <w:adjustRightInd w:val="0"/>
                    <w:jc w:val="center"/>
                    <w:rPr>
                      <w:rFonts w:ascii="Times New Roman" w:hAnsi="Times New Roman"/>
                    </w:rPr>
                  </w:pPr>
                  <w:r>
                    <w:rPr>
                      <w:rFonts w:ascii="Times New Roman" w:hAnsi="Times New Roman"/>
                    </w:rPr>
                    <w:t>SS</w:t>
                  </w:r>
                </w:p>
              </w:tc>
              <w:tc>
                <w:tcPr>
                  <w:tcW w:w="903" w:type="pct"/>
                  <w:vAlign w:val="center"/>
                </w:tcPr>
                <w:p>
                  <w:pPr>
                    <w:adjustRightInd w:val="0"/>
                    <w:jc w:val="center"/>
                    <w:rPr>
                      <w:rFonts w:ascii="Times New Roman" w:hAnsi="Times New Roman"/>
                    </w:rPr>
                  </w:pPr>
                  <w:r>
                    <w:rPr>
                      <w:rFonts w:ascii="Times New Roman" w:hAnsi="Times New Roman" w:eastAsia="等线"/>
                    </w:rPr>
                    <w:t>198.8</w:t>
                  </w:r>
                </w:p>
              </w:tc>
              <w:tc>
                <w:tcPr>
                  <w:tcW w:w="840" w:type="pct"/>
                  <w:vAlign w:val="bottom"/>
                </w:tcPr>
                <w:p>
                  <w:pPr>
                    <w:adjustRightInd w:val="0"/>
                    <w:jc w:val="center"/>
                    <w:rPr>
                      <w:rFonts w:ascii="Times New Roman" w:hAnsi="Times New Roman"/>
                    </w:rPr>
                  </w:pPr>
                  <w:r>
                    <w:rPr>
                      <w:rFonts w:ascii="Times New Roman" w:hAnsi="Times New Roman" w:eastAsia="等线"/>
                    </w:rPr>
                    <w:t>13.461</w:t>
                  </w:r>
                </w:p>
              </w:tc>
              <w:tc>
                <w:tcPr>
                  <w:tcW w:w="811" w:type="pct"/>
                  <w:vAlign w:val="center"/>
                </w:tcPr>
                <w:p>
                  <w:pPr>
                    <w:adjustRightInd w:val="0"/>
                    <w:jc w:val="center"/>
                    <w:rPr>
                      <w:rFonts w:ascii="Times New Roman" w:hAnsi="Times New Roman"/>
                    </w:rPr>
                  </w:pPr>
                  <w:r>
                    <w:rPr>
                      <w:rFonts w:ascii="Times New Roman" w:hAnsi="Times New Roman" w:eastAsia="等线"/>
                    </w:rPr>
                    <w:t>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Align w:val="center"/>
                </w:tcPr>
                <w:p>
                  <w:pPr>
                    <w:adjustRightInd w:val="0"/>
                    <w:jc w:val="center"/>
                    <w:rPr>
                      <w:rFonts w:ascii="Times New Roman" w:hAnsi="Times New Roman"/>
                    </w:rPr>
                  </w:pPr>
                  <w:r>
                    <w:rPr>
                      <w:rFonts w:ascii="Times New Roman" w:hAnsi="Times New Roman"/>
                    </w:rPr>
                    <w:t>4</w:t>
                  </w:r>
                </w:p>
              </w:tc>
              <w:tc>
                <w:tcPr>
                  <w:tcW w:w="978" w:type="pct"/>
                  <w:vMerge w:val="continue"/>
                  <w:vAlign w:val="center"/>
                </w:tcPr>
                <w:p>
                  <w:pPr>
                    <w:adjustRightInd w:val="0"/>
                    <w:jc w:val="center"/>
                    <w:rPr>
                      <w:rFonts w:ascii="Times New Roman" w:hAnsi="Times New Roman"/>
                    </w:rPr>
                  </w:pPr>
                </w:p>
              </w:tc>
              <w:tc>
                <w:tcPr>
                  <w:tcW w:w="976" w:type="pct"/>
                  <w:vAlign w:val="center"/>
                </w:tcPr>
                <w:p>
                  <w:pPr>
                    <w:adjustRightInd w:val="0"/>
                    <w:jc w:val="center"/>
                    <w:rPr>
                      <w:rFonts w:ascii="Times New Roman" w:hAnsi="Times New Roman"/>
                    </w:rPr>
                  </w:pPr>
                  <w:r>
                    <w:rPr>
                      <w:rFonts w:ascii="Times New Roman" w:hAnsi="Times New Roman"/>
                    </w:rPr>
                    <w:t>NH</w:t>
                  </w:r>
                  <w:r>
                    <w:rPr>
                      <w:rFonts w:ascii="Times New Roman" w:hAnsi="Times New Roman"/>
                      <w:vertAlign w:val="subscript"/>
                    </w:rPr>
                    <w:t>3</w:t>
                  </w:r>
                  <w:r>
                    <w:rPr>
                      <w:rFonts w:ascii="Times New Roman" w:hAnsi="Times New Roman"/>
                    </w:rPr>
                    <w:t>-N</w:t>
                  </w:r>
                </w:p>
              </w:tc>
              <w:tc>
                <w:tcPr>
                  <w:tcW w:w="903" w:type="pct"/>
                  <w:vAlign w:val="center"/>
                </w:tcPr>
                <w:p>
                  <w:pPr>
                    <w:adjustRightInd w:val="0"/>
                    <w:jc w:val="center"/>
                    <w:rPr>
                      <w:rFonts w:ascii="Times New Roman" w:hAnsi="Times New Roman"/>
                    </w:rPr>
                  </w:pPr>
                  <w:r>
                    <w:rPr>
                      <w:rFonts w:ascii="Times New Roman" w:hAnsi="Times New Roman" w:eastAsia="等线"/>
                    </w:rPr>
                    <w:t>21.5</w:t>
                  </w:r>
                </w:p>
              </w:tc>
              <w:tc>
                <w:tcPr>
                  <w:tcW w:w="840" w:type="pct"/>
                  <w:vAlign w:val="bottom"/>
                </w:tcPr>
                <w:p>
                  <w:pPr>
                    <w:adjustRightInd w:val="0"/>
                    <w:jc w:val="center"/>
                    <w:rPr>
                      <w:rFonts w:ascii="Times New Roman" w:hAnsi="Times New Roman"/>
                    </w:rPr>
                  </w:pPr>
                  <w:r>
                    <w:rPr>
                      <w:rFonts w:ascii="Times New Roman" w:hAnsi="Times New Roman" w:eastAsia="等线"/>
                    </w:rPr>
                    <w:t>1.456</w:t>
                  </w:r>
                </w:p>
              </w:tc>
              <w:tc>
                <w:tcPr>
                  <w:tcW w:w="811" w:type="pct"/>
                  <w:vAlign w:val="center"/>
                </w:tcPr>
                <w:p>
                  <w:pPr>
                    <w:adjustRightInd w:val="0"/>
                    <w:jc w:val="center"/>
                    <w:rPr>
                      <w:rFonts w:ascii="Times New Roman" w:hAnsi="Times New Roman"/>
                    </w:rPr>
                  </w:pPr>
                  <w:r>
                    <w:rPr>
                      <w:rFonts w:ascii="Times New Roman" w:hAnsi="Times New Roman" w:eastAsia="等线"/>
                    </w:rPr>
                    <w:t>0.271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Align w:val="center"/>
                </w:tcPr>
                <w:p>
                  <w:pPr>
                    <w:adjustRightInd w:val="0"/>
                    <w:jc w:val="center"/>
                    <w:rPr>
                      <w:rFonts w:ascii="Times New Roman" w:hAnsi="Times New Roman"/>
                    </w:rPr>
                  </w:pPr>
                  <w:r>
                    <w:rPr>
                      <w:rFonts w:ascii="Times New Roman" w:hAnsi="Times New Roman"/>
                    </w:rPr>
                    <w:t>5</w:t>
                  </w:r>
                </w:p>
              </w:tc>
              <w:tc>
                <w:tcPr>
                  <w:tcW w:w="978" w:type="pct"/>
                  <w:vMerge w:val="continue"/>
                  <w:vAlign w:val="center"/>
                </w:tcPr>
                <w:p>
                  <w:pPr>
                    <w:adjustRightInd w:val="0"/>
                    <w:jc w:val="center"/>
                    <w:rPr>
                      <w:rFonts w:ascii="Times New Roman" w:hAnsi="Times New Roman"/>
                    </w:rPr>
                  </w:pPr>
                </w:p>
              </w:tc>
              <w:tc>
                <w:tcPr>
                  <w:tcW w:w="976" w:type="pct"/>
                  <w:vAlign w:val="center"/>
                </w:tcPr>
                <w:p>
                  <w:pPr>
                    <w:adjustRightInd w:val="0"/>
                    <w:jc w:val="center"/>
                    <w:rPr>
                      <w:rFonts w:ascii="Times New Roman" w:hAnsi="Times New Roman"/>
                    </w:rPr>
                  </w:pPr>
                  <w:r>
                    <w:rPr>
                      <w:rFonts w:ascii="Times New Roman" w:hAnsi="Times New Roman"/>
                    </w:rPr>
                    <w:t>LAS</w:t>
                  </w:r>
                </w:p>
              </w:tc>
              <w:tc>
                <w:tcPr>
                  <w:tcW w:w="903" w:type="pct"/>
                  <w:vAlign w:val="center"/>
                </w:tcPr>
                <w:p>
                  <w:pPr>
                    <w:adjustRightInd w:val="0"/>
                    <w:jc w:val="center"/>
                    <w:rPr>
                      <w:rFonts w:ascii="Times New Roman" w:hAnsi="Times New Roman"/>
                    </w:rPr>
                  </w:pPr>
                  <w:r>
                    <w:rPr>
                      <w:rFonts w:ascii="Times New Roman" w:hAnsi="Times New Roman" w:eastAsia="等线"/>
                    </w:rPr>
                    <w:t>9.6</w:t>
                  </w:r>
                </w:p>
              </w:tc>
              <w:tc>
                <w:tcPr>
                  <w:tcW w:w="840" w:type="pct"/>
                  <w:vAlign w:val="bottom"/>
                </w:tcPr>
                <w:p>
                  <w:pPr>
                    <w:adjustRightInd w:val="0"/>
                    <w:jc w:val="center"/>
                    <w:rPr>
                      <w:rFonts w:ascii="Times New Roman" w:hAnsi="Times New Roman"/>
                    </w:rPr>
                  </w:pPr>
                  <w:r>
                    <w:rPr>
                      <w:rFonts w:ascii="Times New Roman" w:hAnsi="Times New Roman" w:eastAsia="等线"/>
                    </w:rPr>
                    <w:t>0.65</w:t>
                  </w:r>
                </w:p>
              </w:tc>
              <w:tc>
                <w:tcPr>
                  <w:tcW w:w="811" w:type="pct"/>
                  <w:vAlign w:val="center"/>
                </w:tcPr>
                <w:p>
                  <w:pPr>
                    <w:adjustRightInd w:val="0"/>
                    <w:jc w:val="center"/>
                    <w:rPr>
                      <w:rFonts w:ascii="Times New Roman" w:hAnsi="Times New Roman"/>
                    </w:rPr>
                  </w:pPr>
                  <w:r>
                    <w:rPr>
                      <w:rFonts w:ascii="Times New Roman" w:hAnsi="Times New Roman" w:eastAsia="等线"/>
                    </w:rPr>
                    <w:t>0.121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Align w:val="center"/>
                </w:tcPr>
                <w:p>
                  <w:pPr>
                    <w:adjustRightInd w:val="0"/>
                    <w:jc w:val="center"/>
                    <w:rPr>
                      <w:rFonts w:ascii="Times New Roman" w:hAnsi="Times New Roman"/>
                    </w:rPr>
                  </w:pPr>
                  <w:r>
                    <w:rPr>
                      <w:rFonts w:ascii="Times New Roman" w:hAnsi="Times New Roman"/>
                    </w:rPr>
                    <w:t>6</w:t>
                  </w:r>
                </w:p>
              </w:tc>
              <w:tc>
                <w:tcPr>
                  <w:tcW w:w="978" w:type="pct"/>
                  <w:vMerge w:val="continue"/>
                  <w:vAlign w:val="center"/>
                </w:tcPr>
                <w:p>
                  <w:pPr>
                    <w:adjustRightInd w:val="0"/>
                    <w:jc w:val="center"/>
                    <w:rPr>
                      <w:rFonts w:ascii="Times New Roman" w:hAnsi="Times New Roman"/>
                    </w:rPr>
                  </w:pPr>
                </w:p>
              </w:tc>
              <w:tc>
                <w:tcPr>
                  <w:tcW w:w="976" w:type="pct"/>
                  <w:vAlign w:val="center"/>
                </w:tcPr>
                <w:p>
                  <w:pPr>
                    <w:adjustRightInd w:val="0"/>
                    <w:jc w:val="center"/>
                    <w:rPr>
                      <w:rFonts w:ascii="Times New Roman" w:hAnsi="Times New Roman"/>
                    </w:rPr>
                  </w:pPr>
                  <w:r>
                    <w:rPr>
                      <w:rFonts w:ascii="Times New Roman" w:hAnsi="Times New Roman"/>
                    </w:rPr>
                    <w:t>TP</w:t>
                  </w:r>
                </w:p>
              </w:tc>
              <w:tc>
                <w:tcPr>
                  <w:tcW w:w="903" w:type="pct"/>
                  <w:vAlign w:val="center"/>
                </w:tcPr>
                <w:p>
                  <w:pPr>
                    <w:adjustRightInd w:val="0"/>
                    <w:jc w:val="center"/>
                    <w:rPr>
                      <w:rFonts w:ascii="Times New Roman" w:hAnsi="Times New Roman"/>
                    </w:rPr>
                  </w:pPr>
                  <w:r>
                    <w:rPr>
                      <w:rFonts w:ascii="Times New Roman" w:hAnsi="Times New Roman" w:eastAsia="等线"/>
                    </w:rPr>
                    <w:t>1.98</w:t>
                  </w:r>
                </w:p>
              </w:tc>
              <w:tc>
                <w:tcPr>
                  <w:tcW w:w="840" w:type="pct"/>
                  <w:vAlign w:val="bottom"/>
                </w:tcPr>
                <w:p>
                  <w:pPr>
                    <w:adjustRightInd w:val="0"/>
                    <w:jc w:val="center"/>
                    <w:rPr>
                      <w:rFonts w:ascii="Times New Roman" w:hAnsi="Times New Roman"/>
                    </w:rPr>
                  </w:pPr>
                  <w:r>
                    <w:rPr>
                      <w:rFonts w:ascii="Times New Roman" w:hAnsi="Times New Roman" w:eastAsia="等线"/>
                    </w:rPr>
                    <w:t>0.134</w:t>
                  </w:r>
                </w:p>
              </w:tc>
              <w:tc>
                <w:tcPr>
                  <w:tcW w:w="811" w:type="pct"/>
                  <w:vAlign w:val="center"/>
                </w:tcPr>
                <w:p>
                  <w:pPr>
                    <w:adjustRightInd w:val="0"/>
                    <w:jc w:val="center"/>
                    <w:rPr>
                      <w:rFonts w:ascii="Times New Roman" w:hAnsi="Times New Roman"/>
                    </w:rPr>
                  </w:pPr>
                  <w:r>
                    <w:rPr>
                      <w:rFonts w:ascii="Times New Roman" w:hAnsi="Times New Roman" w:eastAsia="等线"/>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Align w:val="center"/>
                </w:tcPr>
                <w:p>
                  <w:pPr>
                    <w:adjustRightInd w:val="0"/>
                    <w:jc w:val="center"/>
                    <w:rPr>
                      <w:rFonts w:ascii="Times New Roman" w:hAnsi="Times New Roman"/>
                    </w:rPr>
                  </w:pPr>
                  <w:r>
                    <w:rPr>
                      <w:rFonts w:ascii="Times New Roman" w:hAnsi="Times New Roman"/>
                    </w:rPr>
                    <w:t>7</w:t>
                  </w:r>
                </w:p>
              </w:tc>
              <w:tc>
                <w:tcPr>
                  <w:tcW w:w="978" w:type="pct"/>
                  <w:vMerge w:val="continue"/>
                  <w:vAlign w:val="center"/>
                </w:tcPr>
                <w:p>
                  <w:pPr>
                    <w:adjustRightInd w:val="0"/>
                    <w:jc w:val="center"/>
                    <w:rPr>
                      <w:rFonts w:ascii="Times New Roman" w:hAnsi="Times New Roman"/>
                    </w:rPr>
                  </w:pPr>
                </w:p>
              </w:tc>
              <w:tc>
                <w:tcPr>
                  <w:tcW w:w="976" w:type="pct"/>
                  <w:vAlign w:val="center"/>
                </w:tcPr>
                <w:p>
                  <w:pPr>
                    <w:adjustRightInd w:val="0"/>
                    <w:jc w:val="center"/>
                    <w:rPr>
                      <w:rFonts w:ascii="Times New Roman" w:hAnsi="Times New Roman"/>
                    </w:rPr>
                  </w:pPr>
                  <w:r>
                    <w:rPr>
                      <w:rFonts w:ascii="Times New Roman" w:hAnsi="Times New Roman"/>
                    </w:rPr>
                    <w:t>动植物油</w:t>
                  </w:r>
                </w:p>
              </w:tc>
              <w:tc>
                <w:tcPr>
                  <w:tcW w:w="903" w:type="pct"/>
                  <w:vAlign w:val="center"/>
                </w:tcPr>
                <w:p>
                  <w:pPr>
                    <w:adjustRightInd w:val="0"/>
                    <w:jc w:val="center"/>
                    <w:rPr>
                      <w:rFonts w:ascii="Times New Roman" w:hAnsi="Times New Roman"/>
                    </w:rPr>
                  </w:pPr>
                  <w:r>
                    <w:rPr>
                      <w:rFonts w:ascii="Times New Roman" w:hAnsi="Times New Roman" w:eastAsia="等线"/>
                    </w:rPr>
                    <w:t>4.2</w:t>
                  </w:r>
                </w:p>
              </w:tc>
              <w:tc>
                <w:tcPr>
                  <w:tcW w:w="840" w:type="pct"/>
                  <w:vAlign w:val="bottom"/>
                </w:tcPr>
                <w:p>
                  <w:pPr>
                    <w:adjustRightInd w:val="0"/>
                    <w:jc w:val="center"/>
                    <w:rPr>
                      <w:rFonts w:ascii="Times New Roman" w:hAnsi="Times New Roman"/>
                    </w:rPr>
                  </w:pPr>
                  <w:r>
                    <w:rPr>
                      <w:rFonts w:ascii="Times New Roman" w:hAnsi="Times New Roman" w:eastAsia="等线"/>
                    </w:rPr>
                    <w:t>0.284</w:t>
                  </w:r>
                </w:p>
              </w:tc>
              <w:tc>
                <w:tcPr>
                  <w:tcW w:w="811" w:type="pct"/>
                  <w:vAlign w:val="center"/>
                </w:tcPr>
                <w:p>
                  <w:pPr>
                    <w:adjustRightInd w:val="0"/>
                    <w:jc w:val="center"/>
                    <w:rPr>
                      <w:rFonts w:ascii="Times New Roman" w:hAnsi="Times New Roman"/>
                    </w:rPr>
                  </w:pPr>
                  <w:r>
                    <w:rPr>
                      <w:rFonts w:ascii="Times New Roman" w:hAnsi="Times New Roman" w:eastAsia="等线"/>
                    </w:rPr>
                    <w:t>0.053</w:t>
                  </w:r>
                </w:p>
              </w:tc>
            </w:tr>
            <w:bookmarkEnd w:id="57"/>
          </w:tbl>
          <w:p>
            <w:pPr>
              <w:spacing w:line="440" w:lineRule="exact"/>
              <w:ind w:firstLine="482" w:firstLineChars="200"/>
              <w:rPr>
                <w:rFonts w:ascii="Times New Roman" w:hAnsi="Times New Roman"/>
                <w:b/>
                <w:bCs/>
                <w:sz w:val="24"/>
              </w:rPr>
            </w:pPr>
            <w:r>
              <w:rPr>
                <w:rFonts w:ascii="Times New Roman" w:hAnsi="Times New Roman"/>
                <w:b/>
                <w:bCs/>
                <w:sz w:val="24"/>
              </w:rPr>
              <w:t>5、废水污染物自行监测计划</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根据《排污单位自行监测技术指南总则》（HJ819-2017），结合《环境影响评价技术导则地表水环境》（HJ2.3-2018）附录G.4，项目环境监测计划及记录信息表如下：</w:t>
            </w:r>
          </w:p>
          <w:p>
            <w:pPr>
              <w:pStyle w:val="119"/>
              <w:spacing w:line="440" w:lineRule="exact"/>
              <w:rPr>
                <w:rFonts w:cs="Times New Roman"/>
              </w:rPr>
            </w:pPr>
            <w:r>
              <w:rPr>
                <w:rFonts w:cs="Times New Roman"/>
              </w:rPr>
              <w:t>表4-12水污染物排放环境监测计划及记录信息表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989"/>
              <w:gridCol w:w="1024"/>
              <w:gridCol w:w="510"/>
              <w:gridCol w:w="723"/>
              <w:gridCol w:w="1331"/>
              <w:gridCol w:w="653"/>
              <w:gridCol w:w="653"/>
              <w:gridCol w:w="869"/>
              <w:gridCol w:w="706"/>
              <w:gridCol w:w="6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ascii="Times New Roman" w:hAnsi="Times New Roman"/>
                      <w:b/>
                    </w:rPr>
                  </w:pPr>
                  <w:r>
                    <w:rPr>
                      <w:rFonts w:ascii="Times New Roman" w:hAnsi="Times New Roman"/>
                      <w:b/>
                    </w:rPr>
                    <w:t>序号</w:t>
                  </w:r>
                </w:p>
              </w:tc>
              <w:tc>
                <w:tcPr>
                  <w:tcW w:w="576" w:type="pct"/>
                  <w:vAlign w:val="center"/>
                </w:tcPr>
                <w:p>
                  <w:pPr>
                    <w:jc w:val="center"/>
                    <w:rPr>
                      <w:rFonts w:ascii="Times New Roman" w:hAnsi="Times New Roman"/>
                      <w:b/>
                    </w:rPr>
                  </w:pPr>
                  <w:r>
                    <w:rPr>
                      <w:rFonts w:ascii="Times New Roman" w:hAnsi="Times New Roman"/>
                      <w:b/>
                    </w:rPr>
                    <w:t>排放口编号</w:t>
                  </w:r>
                </w:p>
              </w:tc>
              <w:tc>
                <w:tcPr>
                  <w:tcW w:w="596" w:type="pct"/>
                  <w:vAlign w:val="center"/>
                </w:tcPr>
                <w:p>
                  <w:pPr>
                    <w:jc w:val="center"/>
                    <w:rPr>
                      <w:rFonts w:ascii="Times New Roman" w:hAnsi="Times New Roman"/>
                      <w:b/>
                    </w:rPr>
                  </w:pPr>
                  <w:r>
                    <w:rPr>
                      <w:rFonts w:ascii="Times New Roman" w:hAnsi="Times New Roman"/>
                      <w:b/>
                    </w:rPr>
                    <w:t>污染物名称</w:t>
                  </w:r>
                </w:p>
              </w:tc>
              <w:tc>
                <w:tcPr>
                  <w:tcW w:w="297" w:type="pct"/>
                  <w:vAlign w:val="center"/>
                </w:tcPr>
                <w:p>
                  <w:pPr>
                    <w:jc w:val="center"/>
                    <w:rPr>
                      <w:rFonts w:ascii="Times New Roman" w:hAnsi="Times New Roman"/>
                      <w:b/>
                    </w:rPr>
                  </w:pPr>
                  <w:r>
                    <w:rPr>
                      <w:rFonts w:ascii="Times New Roman" w:hAnsi="Times New Roman"/>
                      <w:b/>
                    </w:rPr>
                    <w:t>监测设施</w:t>
                  </w:r>
                </w:p>
              </w:tc>
              <w:tc>
                <w:tcPr>
                  <w:tcW w:w="421" w:type="pct"/>
                  <w:vAlign w:val="center"/>
                </w:tcPr>
                <w:p>
                  <w:pPr>
                    <w:jc w:val="center"/>
                    <w:rPr>
                      <w:rFonts w:ascii="Times New Roman" w:hAnsi="Times New Roman"/>
                      <w:b/>
                    </w:rPr>
                  </w:pPr>
                  <w:r>
                    <w:rPr>
                      <w:rFonts w:ascii="Times New Roman" w:hAnsi="Times New Roman"/>
                      <w:b/>
                    </w:rPr>
                    <w:t>自动监测设施安装位置</w:t>
                  </w:r>
                </w:p>
              </w:tc>
              <w:tc>
                <w:tcPr>
                  <w:tcW w:w="775" w:type="pct"/>
                  <w:vAlign w:val="center"/>
                </w:tcPr>
                <w:p>
                  <w:pPr>
                    <w:jc w:val="center"/>
                    <w:rPr>
                      <w:rFonts w:ascii="Times New Roman" w:hAnsi="Times New Roman"/>
                      <w:b/>
                    </w:rPr>
                  </w:pPr>
                  <w:r>
                    <w:rPr>
                      <w:rFonts w:ascii="Times New Roman" w:hAnsi="Times New Roman"/>
                      <w:b/>
                    </w:rPr>
                    <w:t>自动监测设施的安装、运行、维护等相关管理要求</w:t>
                  </w:r>
                </w:p>
              </w:tc>
              <w:tc>
                <w:tcPr>
                  <w:tcW w:w="380" w:type="pct"/>
                  <w:vAlign w:val="center"/>
                </w:tcPr>
                <w:p>
                  <w:pPr>
                    <w:jc w:val="center"/>
                    <w:rPr>
                      <w:rFonts w:ascii="Times New Roman" w:hAnsi="Times New Roman"/>
                      <w:b/>
                    </w:rPr>
                  </w:pPr>
                  <w:r>
                    <w:rPr>
                      <w:rFonts w:ascii="Times New Roman" w:hAnsi="Times New Roman"/>
                      <w:b/>
                    </w:rPr>
                    <w:t>自动监测是否联网</w:t>
                  </w:r>
                </w:p>
              </w:tc>
              <w:tc>
                <w:tcPr>
                  <w:tcW w:w="380" w:type="pct"/>
                  <w:vAlign w:val="center"/>
                </w:tcPr>
                <w:p>
                  <w:pPr>
                    <w:jc w:val="center"/>
                    <w:rPr>
                      <w:rFonts w:ascii="Times New Roman" w:hAnsi="Times New Roman"/>
                      <w:b/>
                    </w:rPr>
                  </w:pPr>
                  <w:r>
                    <w:rPr>
                      <w:rFonts w:ascii="Times New Roman" w:hAnsi="Times New Roman"/>
                      <w:b/>
                    </w:rPr>
                    <w:t>自动监测仪器名称</w:t>
                  </w:r>
                </w:p>
              </w:tc>
              <w:tc>
                <w:tcPr>
                  <w:tcW w:w="506" w:type="pct"/>
                  <w:vAlign w:val="center"/>
                </w:tcPr>
                <w:p>
                  <w:pPr>
                    <w:jc w:val="center"/>
                    <w:rPr>
                      <w:rFonts w:ascii="Times New Roman" w:hAnsi="Times New Roman"/>
                      <w:b/>
                      <w:vertAlign w:val="superscript"/>
                    </w:rPr>
                  </w:pPr>
                  <w:r>
                    <w:rPr>
                      <w:rFonts w:ascii="Times New Roman" w:hAnsi="Times New Roman"/>
                      <w:b/>
                    </w:rPr>
                    <w:t>手工监测采样方法及个数（a）</w:t>
                  </w:r>
                </w:p>
              </w:tc>
              <w:tc>
                <w:tcPr>
                  <w:tcW w:w="411" w:type="pct"/>
                  <w:vAlign w:val="center"/>
                </w:tcPr>
                <w:p>
                  <w:pPr>
                    <w:jc w:val="center"/>
                    <w:rPr>
                      <w:rFonts w:ascii="Times New Roman" w:hAnsi="Times New Roman"/>
                      <w:b/>
                    </w:rPr>
                  </w:pPr>
                  <w:r>
                    <w:rPr>
                      <w:rFonts w:ascii="Times New Roman" w:hAnsi="Times New Roman"/>
                      <w:b/>
                    </w:rPr>
                    <w:t>手工监测频次（b）</w:t>
                  </w:r>
                </w:p>
              </w:tc>
              <w:tc>
                <w:tcPr>
                  <w:tcW w:w="402" w:type="pct"/>
                  <w:vAlign w:val="center"/>
                </w:tcPr>
                <w:p>
                  <w:pPr>
                    <w:jc w:val="center"/>
                    <w:rPr>
                      <w:rFonts w:ascii="Times New Roman" w:hAnsi="Times New Roman"/>
                      <w:b/>
                    </w:rPr>
                  </w:pPr>
                  <w:r>
                    <w:rPr>
                      <w:rFonts w:ascii="Times New Roman" w:hAnsi="Times New Roman"/>
                      <w:b/>
                    </w:rPr>
                    <w:t>手工测定方法（c）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jc w:val="center"/>
                    <w:rPr>
                      <w:rFonts w:ascii="Times New Roman" w:hAnsi="Times New Roman"/>
                    </w:rPr>
                  </w:pPr>
                  <w:r>
                    <w:rPr>
                      <w:rFonts w:ascii="Times New Roman" w:hAnsi="Times New Roman"/>
                    </w:rPr>
                    <w:t>1</w:t>
                  </w:r>
                </w:p>
              </w:tc>
              <w:tc>
                <w:tcPr>
                  <w:tcW w:w="576" w:type="pct"/>
                  <w:vAlign w:val="center"/>
                </w:tcPr>
                <w:p>
                  <w:pPr>
                    <w:jc w:val="center"/>
                    <w:rPr>
                      <w:rFonts w:ascii="Times New Roman" w:hAnsi="Times New Roman"/>
                    </w:rPr>
                  </w:pPr>
                  <w:r>
                    <w:rPr>
                      <w:rFonts w:ascii="Times New Roman" w:hAnsi="Times New Roman"/>
                    </w:rPr>
                    <w:t>DW001</w:t>
                  </w:r>
                </w:p>
              </w:tc>
              <w:tc>
                <w:tcPr>
                  <w:tcW w:w="596" w:type="pct"/>
                  <w:vAlign w:val="center"/>
                </w:tcPr>
                <w:p>
                  <w:pPr>
                    <w:jc w:val="center"/>
                    <w:rPr>
                      <w:rFonts w:ascii="Times New Roman" w:hAnsi="Times New Roman"/>
                      <w:bCs/>
                      <w:lang w:val="en-US"/>
                    </w:rPr>
                  </w:pPr>
                  <w:r>
                    <w:rPr>
                      <w:rFonts w:ascii="Times New Roman" w:hAnsi="Times New Roman"/>
                      <w:bCs/>
                      <w:lang w:val="en-US"/>
                    </w:rPr>
                    <w:t>PH</w:t>
                  </w:r>
                  <w:r>
                    <w:rPr>
                      <w:rFonts w:ascii="Times New Roman" w:hAnsi="Times New Roman"/>
                      <w:bCs/>
                    </w:rPr>
                    <w:t>、</w:t>
                  </w:r>
                  <w:r>
                    <w:rPr>
                      <w:rFonts w:ascii="Times New Roman" w:hAnsi="Times New Roman"/>
                      <w:bCs/>
                      <w:lang w:val="en-US"/>
                    </w:rPr>
                    <w:t>COD</w:t>
                  </w:r>
                  <w:r>
                    <w:rPr>
                      <w:rFonts w:ascii="Times New Roman" w:hAnsi="Times New Roman"/>
                      <w:bCs/>
                    </w:rPr>
                    <w:t>、</w:t>
                  </w:r>
                  <w:r>
                    <w:rPr>
                      <w:rFonts w:ascii="Times New Roman" w:hAnsi="Times New Roman"/>
                      <w:bCs/>
                      <w:lang w:val="en-US"/>
                    </w:rPr>
                    <w:t>BOD</w:t>
                  </w:r>
                  <w:r>
                    <w:rPr>
                      <w:rFonts w:ascii="Times New Roman" w:hAnsi="Times New Roman"/>
                      <w:bCs/>
                      <w:vertAlign w:val="subscript"/>
                      <w:lang w:val="en-US"/>
                    </w:rPr>
                    <w:t>5</w:t>
                  </w:r>
                </w:p>
                <w:p>
                  <w:pPr>
                    <w:jc w:val="center"/>
                    <w:rPr>
                      <w:rFonts w:ascii="Times New Roman" w:hAnsi="Times New Roman"/>
                      <w:bCs/>
                      <w:lang w:val="en-US"/>
                    </w:rPr>
                  </w:pPr>
                  <w:r>
                    <w:rPr>
                      <w:rFonts w:ascii="Times New Roman" w:hAnsi="Times New Roman"/>
                      <w:bCs/>
                      <w:lang w:val="en-US"/>
                    </w:rPr>
                    <w:t>SS</w:t>
                  </w:r>
                </w:p>
                <w:p>
                  <w:pPr>
                    <w:jc w:val="center"/>
                    <w:rPr>
                      <w:rFonts w:ascii="Times New Roman" w:hAnsi="Times New Roman"/>
                      <w:bCs/>
                      <w:lang w:val="en-US"/>
                    </w:rPr>
                  </w:pPr>
                  <w:r>
                    <w:rPr>
                      <w:rFonts w:ascii="Times New Roman" w:hAnsi="Times New Roman"/>
                      <w:bCs/>
                      <w:lang w:val="en-US"/>
                    </w:rPr>
                    <w:t>NH</w:t>
                  </w:r>
                  <w:r>
                    <w:rPr>
                      <w:rFonts w:ascii="Times New Roman" w:hAnsi="Times New Roman"/>
                      <w:bCs/>
                      <w:vertAlign w:val="subscript"/>
                      <w:lang w:val="en-US"/>
                    </w:rPr>
                    <w:t>3</w:t>
                  </w:r>
                  <w:r>
                    <w:rPr>
                      <w:rFonts w:ascii="Times New Roman" w:hAnsi="Times New Roman"/>
                      <w:bCs/>
                      <w:lang w:val="en-US"/>
                    </w:rPr>
                    <w:t>-N</w:t>
                  </w:r>
                </w:p>
                <w:p>
                  <w:pPr>
                    <w:jc w:val="center"/>
                    <w:rPr>
                      <w:rFonts w:ascii="Times New Roman" w:hAnsi="Times New Roman"/>
                      <w:bCs/>
                      <w:lang w:val="en-US"/>
                    </w:rPr>
                  </w:pPr>
                  <w:r>
                    <w:rPr>
                      <w:rFonts w:ascii="Times New Roman" w:hAnsi="Times New Roman"/>
                      <w:bCs/>
                      <w:lang w:val="en-US"/>
                    </w:rPr>
                    <w:t>LAS</w:t>
                  </w:r>
                </w:p>
                <w:p>
                  <w:pPr>
                    <w:jc w:val="center"/>
                    <w:rPr>
                      <w:rFonts w:ascii="Times New Roman" w:hAnsi="Times New Roman"/>
                      <w:bCs/>
                      <w:lang w:val="en-US"/>
                    </w:rPr>
                  </w:pPr>
                  <w:r>
                    <w:rPr>
                      <w:rFonts w:ascii="Times New Roman" w:hAnsi="Times New Roman"/>
                      <w:bCs/>
                      <w:lang w:val="en-US"/>
                    </w:rPr>
                    <w:t>TP</w:t>
                  </w:r>
                </w:p>
                <w:p>
                  <w:pPr>
                    <w:pStyle w:val="2"/>
                    <w:spacing w:after="0"/>
                    <w:ind w:left="0" w:leftChars="0" w:firstLine="0" w:firstLineChars="0"/>
                    <w:jc w:val="center"/>
                    <w:rPr>
                      <w:rFonts w:ascii="Times New Roman" w:hAnsi="Times New Roman"/>
                      <w:lang w:val="en-US"/>
                    </w:rPr>
                  </w:pPr>
                  <w:r>
                    <w:rPr>
                      <w:rFonts w:ascii="Times New Roman" w:hAnsi="Times New Roman"/>
                      <w:lang w:val="en-US"/>
                    </w:rPr>
                    <w:t>动植物油</w:t>
                  </w:r>
                </w:p>
              </w:tc>
              <w:tc>
                <w:tcPr>
                  <w:tcW w:w="297" w:type="pct"/>
                  <w:vAlign w:val="center"/>
                </w:tcPr>
                <w:p>
                  <w:pPr>
                    <w:jc w:val="center"/>
                    <w:rPr>
                      <w:rFonts w:ascii="Times New Roman" w:hAnsi="Times New Roman"/>
                    </w:rPr>
                  </w:pPr>
                  <w:r>
                    <w:rPr>
                      <w:rFonts w:ascii="Times New Roman" w:hAnsi="Times New Roman"/>
                    </w:rPr>
                    <w:t>手动</w:t>
                  </w:r>
                </w:p>
              </w:tc>
              <w:tc>
                <w:tcPr>
                  <w:tcW w:w="421" w:type="pct"/>
                  <w:vAlign w:val="center"/>
                </w:tcPr>
                <w:p>
                  <w:pPr>
                    <w:jc w:val="center"/>
                    <w:rPr>
                      <w:rFonts w:ascii="Times New Roman" w:hAnsi="Times New Roman"/>
                    </w:rPr>
                  </w:pPr>
                  <w:r>
                    <w:rPr>
                      <w:rFonts w:ascii="Times New Roman" w:hAnsi="Times New Roman"/>
                    </w:rPr>
                    <w:t>/</w:t>
                  </w:r>
                </w:p>
              </w:tc>
              <w:tc>
                <w:tcPr>
                  <w:tcW w:w="775" w:type="pct"/>
                  <w:vAlign w:val="center"/>
                </w:tcPr>
                <w:p>
                  <w:pPr>
                    <w:jc w:val="center"/>
                    <w:rPr>
                      <w:rFonts w:ascii="Times New Roman" w:hAnsi="Times New Roman"/>
                    </w:rPr>
                  </w:pPr>
                  <w:r>
                    <w:rPr>
                      <w:rFonts w:ascii="Times New Roman" w:hAnsi="Times New Roman"/>
                    </w:rPr>
                    <w:t>/</w:t>
                  </w:r>
                </w:p>
              </w:tc>
              <w:tc>
                <w:tcPr>
                  <w:tcW w:w="380" w:type="pct"/>
                  <w:vAlign w:val="center"/>
                </w:tcPr>
                <w:p>
                  <w:pPr>
                    <w:jc w:val="center"/>
                    <w:rPr>
                      <w:rFonts w:ascii="Times New Roman" w:hAnsi="Times New Roman"/>
                    </w:rPr>
                  </w:pPr>
                  <w:r>
                    <w:rPr>
                      <w:rFonts w:ascii="Times New Roman" w:hAnsi="Times New Roman"/>
                    </w:rPr>
                    <w:t>/</w:t>
                  </w:r>
                </w:p>
              </w:tc>
              <w:tc>
                <w:tcPr>
                  <w:tcW w:w="380" w:type="pct"/>
                  <w:vAlign w:val="center"/>
                </w:tcPr>
                <w:p>
                  <w:pPr>
                    <w:jc w:val="center"/>
                    <w:rPr>
                      <w:rFonts w:ascii="Times New Roman" w:hAnsi="Times New Roman"/>
                    </w:rPr>
                  </w:pPr>
                  <w:r>
                    <w:rPr>
                      <w:rFonts w:ascii="Times New Roman" w:hAnsi="Times New Roman"/>
                    </w:rPr>
                    <w:t>/</w:t>
                  </w:r>
                </w:p>
              </w:tc>
              <w:tc>
                <w:tcPr>
                  <w:tcW w:w="506" w:type="pct"/>
                  <w:vAlign w:val="center"/>
                </w:tcPr>
                <w:p>
                  <w:pPr>
                    <w:jc w:val="center"/>
                    <w:rPr>
                      <w:rFonts w:ascii="Times New Roman" w:hAnsi="Times New Roman"/>
                    </w:rPr>
                  </w:pPr>
                  <w:r>
                    <w:rPr>
                      <w:rFonts w:ascii="Times New Roman" w:hAnsi="Times New Roman"/>
                    </w:rPr>
                    <w:t>混合采样4个</w:t>
                  </w:r>
                </w:p>
              </w:tc>
              <w:tc>
                <w:tcPr>
                  <w:tcW w:w="411" w:type="pct"/>
                  <w:vAlign w:val="center"/>
                </w:tcPr>
                <w:p>
                  <w:pPr>
                    <w:jc w:val="center"/>
                    <w:rPr>
                      <w:rFonts w:ascii="Times New Roman" w:hAnsi="Times New Roman"/>
                    </w:rPr>
                  </w:pPr>
                  <w:r>
                    <w:rPr>
                      <w:rFonts w:ascii="Times New Roman" w:hAnsi="Times New Roman"/>
                    </w:rPr>
                    <w:t>1次/年</w:t>
                  </w:r>
                </w:p>
              </w:tc>
              <w:tc>
                <w:tcPr>
                  <w:tcW w:w="402" w:type="pct"/>
                  <w:vAlign w:val="center"/>
                </w:tcPr>
                <w:p>
                  <w:pPr>
                    <w:jc w:val="center"/>
                    <w:rPr>
                      <w:rFonts w:ascii="Times New Roman" w:hAnsi="Times New Roman"/>
                    </w:rPr>
                  </w:pPr>
                  <w:r>
                    <w:rPr>
                      <w:rFonts w:ascii="Times New Roman" w:hAnsi="Times New Roman"/>
                    </w:rPr>
                    <w:t>/</w:t>
                  </w:r>
                </w:p>
              </w:tc>
            </w:tr>
          </w:tbl>
          <w:p>
            <w:pPr>
              <w:snapToGrid w:val="0"/>
              <w:spacing w:line="440" w:lineRule="exact"/>
              <w:rPr>
                <w:rFonts w:ascii="Times New Roman" w:hAnsi="Times New Roman"/>
                <w:sz w:val="18"/>
                <w:szCs w:val="18"/>
              </w:rPr>
            </w:pPr>
            <w:r>
              <w:rPr>
                <w:rFonts w:ascii="Times New Roman" w:hAnsi="Times New Roman"/>
                <w:sz w:val="18"/>
                <w:szCs w:val="18"/>
              </w:rPr>
              <w:t>a指污染物采样方法，如“混合采样（3个、4个或5个混合）”“瞬时采样（3个、4个或5个瞬时样）”。</w:t>
            </w:r>
          </w:p>
          <w:p>
            <w:pPr>
              <w:snapToGrid w:val="0"/>
              <w:spacing w:line="440" w:lineRule="exact"/>
              <w:rPr>
                <w:rFonts w:ascii="Times New Roman" w:hAnsi="Times New Roman"/>
                <w:sz w:val="18"/>
                <w:szCs w:val="18"/>
              </w:rPr>
            </w:pPr>
            <w:r>
              <w:rPr>
                <w:rFonts w:ascii="Times New Roman" w:hAnsi="Times New Roman"/>
                <w:sz w:val="18"/>
                <w:szCs w:val="18"/>
              </w:rPr>
              <w:t>b指一段时期内的监测次数要求，如1次/周、1次/月等。</w:t>
            </w:r>
          </w:p>
          <w:p>
            <w:pPr>
              <w:snapToGrid w:val="0"/>
              <w:spacing w:line="440" w:lineRule="exact"/>
              <w:rPr>
                <w:rFonts w:ascii="Times New Roman" w:hAnsi="Times New Roman"/>
              </w:rPr>
            </w:pPr>
            <w:r>
              <w:rPr>
                <w:rFonts w:ascii="Times New Roman" w:hAnsi="Times New Roman"/>
                <w:sz w:val="18"/>
                <w:szCs w:val="18"/>
              </w:rPr>
              <w:t>c指污染物浓度测定方法，如测定化学需氧量的重铬酸钾法、测定氨氮的水杨酸分光度法等</w:t>
            </w:r>
            <w:r>
              <w:rPr>
                <w:rFonts w:ascii="Times New Roman" w:hAnsi="Times New Roman"/>
              </w:rPr>
              <w:t>。</w:t>
            </w:r>
          </w:p>
          <w:p>
            <w:pPr>
              <w:autoSpaceDE/>
              <w:autoSpaceDN/>
              <w:spacing w:line="440" w:lineRule="exact"/>
              <w:ind w:firstLine="482" w:firstLineChars="200"/>
              <w:jc w:val="both"/>
              <w:rPr>
                <w:rFonts w:ascii="Times New Roman" w:hAnsi="Times New Roman"/>
                <w:b/>
                <w:bCs/>
                <w:sz w:val="24"/>
                <w:lang w:val="en-US"/>
              </w:rPr>
            </w:pPr>
            <w:r>
              <w:rPr>
                <w:rFonts w:ascii="Times New Roman" w:hAnsi="Times New Roman"/>
                <w:b/>
                <w:bCs/>
                <w:sz w:val="24"/>
                <w:lang w:val="en-US"/>
              </w:rPr>
              <w:t>三、噪声</w:t>
            </w:r>
          </w:p>
          <w:p>
            <w:pPr>
              <w:autoSpaceDE/>
              <w:autoSpaceDN/>
              <w:spacing w:line="440" w:lineRule="exact"/>
              <w:ind w:firstLine="482" w:firstLineChars="200"/>
              <w:jc w:val="both"/>
              <w:rPr>
                <w:rFonts w:ascii="Times New Roman" w:hAnsi="Times New Roman"/>
                <w:b/>
                <w:bCs/>
                <w:sz w:val="24"/>
                <w:lang w:val="en-US"/>
              </w:rPr>
            </w:pPr>
            <w:r>
              <w:rPr>
                <w:rFonts w:ascii="Times New Roman" w:hAnsi="Times New Roman"/>
                <w:b/>
                <w:bCs/>
                <w:sz w:val="24"/>
                <w:lang w:val="en-US"/>
              </w:rPr>
              <w:t>1、噪声源强</w:t>
            </w:r>
          </w:p>
          <w:p>
            <w:pPr>
              <w:spacing w:line="440" w:lineRule="exact"/>
              <w:ind w:firstLine="480" w:firstLineChars="200"/>
              <w:jc w:val="both"/>
              <w:rPr>
                <w:rFonts w:ascii="Times New Roman" w:hAnsi="Times New Roman"/>
                <w:sz w:val="24"/>
              </w:rPr>
            </w:pPr>
            <w:r>
              <w:rPr>
                <w:rFonts w:ascii="Times New Roman" w:hAnsi="Times New Roman"/>
                <w:sz w:val="24"/>
              </w:rPr>
              <w:t>项目噪声源主要是各设备运行时产生的噪声，噪声源强在70-85dB（A），具体详见下表：</w:t>
            </w:r>
          </w:p>
          <w:p>
            <w:pPr>
              <w:pStyle w:val="10"/>
              <w:spacing w:line="360" w:lineRule="auto"/>
              <w:jc w:val="center"/>
              <w:rPr>
                <w:rFonts w:ascii="Times New Roman" w:hAnsi="Times New Roman"/>
                <w:b/>
                <w:bCs/>
                <w:sz w:val="21"/>
                <w:lang w:val="en-GB"/>
              </w:rPr>
            </w:pPr>
            <w:r>
              <w:rPr>
                <w:rFonts w:ascii="Times New Roman" w:hAnsi="Times New Roman"/>
                <w:b/>
                <w:bCs/>
                <w:sz w:val="21"/>
                <w:lang w:val="en-GB"/>
              </w:rPr>
              <w:t>表4-13主要噪声源强调查清单（室外声源）  单位：dB（A）</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
              <w:gridCol w:w="889"/>
              <w:gridCol w:w="889"/>
              <w:gridCol w:w="742"/>
              <w:gridCol w:w="742"/>
              <w:gridCol w:w="731"/>
              <w:gridCol w:w="1087"/>
              <w:gridCol w:w="1049"/>
              <w:gridCol w:w="15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restart"/>
                  <w:vAlign w:val="center"/>
                </w:tcPr>
                <w:p>
                  <w:pPr>
                    <w:pStyle w:val="65"/>
                    <w:spacing w:line="240" w:lineRule="auto"/>
                    <w:rPr>
                      <w:szCs w:val="21"/>
                    </w:rPr>
                  </w:pPr>
                  <w:r>
                    <w:rPr>
                      <w:szCs w:val="21"/>
                    </w:rPr>
                    <w:t>声源名称</w:t>
                  </w:r>
                </w:p>
              </w:tc>
              <w:tc>
                <w:tcPr>
                  <w:tcW w:w="989" w:type="dxa"/>
                  <w:vMerge w:val="restart"/>
                  <w:vAlign w:val="center"/>
                </w:tcPr>
                <w:p>
                  <w:pPr>
                    <w:pStyle w:val="65"/>
                    <w:spacing w:line="240" w:lineRule="auto"/>
                    <w:rPr>
                      <w:szCs w:val="21"/>
                    </w:rPr>
                  </w:pPr>
                  <w:r>
                    <w:rPr>
                      <w:spacing w:val="-8"/>
                      <w:szCs w:val="21"/>
                    </w:rPr>
                    <w:t>数量</w:t>
                  </w:r>
                </w:p>
              </w:tc>
              <w:tc>
                <w:tcPr>
                  <w:tcW w:w="989" w:type="dxa"/>
                  <w:vMerge w:val="restart"/>
                  <w:vAlign w:val="center"/>
                </w:tcPr>
                <w:p>
                  <w:pPr>
                    <w:pStyle w:val="65"/>
                    <w:spacing w:line="240" w:lineRule="auto"/>
                    <w:rPr>
                      <w:szCs w:val="21"/>
                    </w:rPr>
                  </w:pPr>
                  <w:r>
                    <w:rPr>
                      <w:szCs w:val="21"/>
                    </w:rPr>
                    <w:t>型号</w:t>
                  </w:r>
                </w:p>
              </w:tc>
              <w:tc>
                <w:tcPr>
                  <w:tcW w:w="2445" w:type="dxa"/>
                  <w:gridSpan w:val="3"/>
                  <w:vAlign w:val="center"/>
                </w:tcPr>
                <w:p>
                  <w:pPr>
                    <w:pStyle w:val="65"/>
                    <w:spacing w:line="240" w:lineRule="auto"/>
                    <w:rPr>
                      <w:szCs w:val="21"/>
                    </w:rPr>
                  </w:pPr>
                  <w:r>
                    <w:rPr>
                      <w:szCs w:val="21"/>
                    </w:rPr>
                    <w:t>空间相对位置/m</w:t>
                  </w:r>
                </w:p>
              </w:tc>
              <w:tc>
                <w:tcPr>
                  <w:tcW w:w="1217" w:type="dxa"/>
                  <w:vAlign w:val="center"/>
                </w:tcPr>
                <w:p>
                  <w:pPr>
                    <w:pStyle w:val="65"/>
                    <w:spacing w:line="240" w:lineRule="auto"/>
                    <w:rPr>
                      <w:szCs w:val="21"/>
                    </w:rPr>
                  </w:pPr>
                  <w:r>
                    <w:rPr>
                      <w:szCs w:val="21"/>
                    </w:rPr>
                    <w:t>声源源强</w:t>
                  </w:r>
                </w:p>
              </w:tc>
              <w:tc>
                <w:tcPr>
                  <w:tcW w:w="1173" w:type="dxa"/>
                  <w:vMerge w:val="restart"/>
                  <w:vAlign w:val="center"/>
                </w:tcPr>
                <w:p>
                  <w:pPr>
                    <w:pStyle w:val="65"/>
                    <w:spacing w:line="240" w:lineRule="auto"/>
                    <w:rPr>
                      <w:szCs w:val="21"/>
                    </w:rPr>
                  </w:pPr>
                  <w:r>
                    <w:rPr>
                      <w:szCs w:val="21"/>
                    </w:rPr>
                    <w:t>声源控制措施</w:t>
                  </w:r>
                </w:p>
              </w:tc>
              <w:tc>
                <w:tcPr>
                  <w:tcW w:w="1772" w:type="dxa"/>
                  <w:vMerge w:val="restart"/>
                  <w:vAlign w:val="center"/>
                </w:tcPr>
                <w:p>
                  <w:pPr>
                    <w:pStyle w:val="65"/>
                    <w:spacing w:line="240" w:lineRule="auto"/>
                    <w:rPr>
                      <w:szCs w:val="21"/>
                    </w:rPr>
                  </w:pPr>
                  <w:r>
                    <w:rPr>
                      <w:szCs w:val="21"/>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continue"/>
                  <w:vAlign w:val="center"/>
                </w:tcPr>
                <w:p>
                  <w:pPr>
                    <w:pStyle w:val="65"/>
                    <w:spacing w:line="240" w:lineRule="auto"/>
                    <w:rPr>
                      <w:b w:val="0"/>
                      <w:bCs/>
                      <w:szCs w:val="21"/>
                    </w:rPr>
                  </w:pPr>
                </w:p>
              </w:tc>
              <w:tc>
                <w:tcPr>
                  <w:tcW w:w="989" w:type="dxa"/>
                  <w:vMerge w:val="continue"/>
                  <w:vAlign w:val="center"/>
                </w:tcPr>
                <w:p>
                  <w:pPr>
                    <w:pStyle w:val="65"/>
                    <w:spacing w:line="240" w:lineRule="auto"/>
                    <w:rPr>
                      <w:b w:val="0"/>
                      <w:bCs/>
                      <w:szCs w:val="21"/>
                    </w:rPr>
                  </w:pPr>
                </w:p>
              </w:tc>
              <w:tc>
                <w:tcPr>
                  <w:tcW w:w="989" w:type="dxa"/>
                  <w:vMerge w:val="continue"/>
                  <w:vAlign w:val="center"/>
                </w:tcPr>
                <w:p>
                  <w:pPr>
                    <w:pStyle w:val="65"/>
                    <w:spacing w:line="240" w:lineRule="auto"/>
                    <w:rPr>
                      <w:b w:val="0"/>
                      <w:bCs/>
                      <w:szCs w:val="21"/>
                    </w:rPr>
                  </w:pPr>
                </w:p>
              </w:tc>
              <w:tc>
                <w:tcPr>
                  <w:tcW w:w="819" w:type="dxa"/>
                  <w:vAlign w:val="center"/>
                </w:tcPr>
                <w:p>
                  <w:pPr>
                    <w:pStyle w:val="65"/>
                    <w:spacing w:line="240" w:lineRule="auto"/>
                    <w:rPr>
                      <w:szCs w:val="21"/>
                    </w:rPr>
                  </w:pPr>
                  <w:r>
                    <w:rPr>
                      <w:szCs w:val="21"/>
                    </w:rPr>
                    <w:t>X</w:t>
                  </w:r>
                </w:p>
              </w:tc>
              <w:tc>
                <w:tcPr>
                  <w:tcW w:w="819" w:type="dxa"/>
                  <w:vAlign w:val="center"/>
                </w:tcPr>
                <w:p>
                  <w:pPr>
                    <w:pStyle w:val="65"/>
                    <w:spacing w:line="240" w:lineRule="auto"/>
                    <w:rPr>
                      <w:szCs w:val="21"/>
                    </w:rPr>
                  </w:pPr>
                  <w:r>
                    <w:rPr>
                      <w:szCs w:val="21"/>
                    </w:rPr>
                    <w:t>Y</w:t>
                  </w:r>
                </w:p>
              </w:tc>
              <w:tc>
                <w:tcPr>
                  <w:tcW w:w="807" w:type="dxa"/>
                  <w:vAlign w:val="center"/>
                </w:tcPr>
                <w:p>
                  <w:pPr>
                    <w:pStyle w:val="65"/>
                    <w:spacing w:line="240" w:lineRule="auto"/>
                    <w:rPr>
                      <w:szCs w:val="21"/>
                    </w:rPr>
                  </w:pPr>
                  <w:r>
                    <w:rPr>
                      <w:szCs w:val="21"/>
                    </w:rPr>
                    <w:t>Z</w:t>
                  </w:r>
                </w:p>
              </w:tc>
              <w:tc>
                <w:tcPr>
                  <w:tcW w:w="1217" w:type="dxa"/>
                  <w:vAlign w:val="center"/>
                </w:tcPr>
                <w:p>
                  <w:pPr>
                    <w:pStyle w:val="65"/>
                    <w:spacing w:line="240" w:lineRule="auto"/>
                    <w:rPr>
                      <w:szCs w:val="21"/>
                    </w:rPr>
                  </w:pPr>
                  <w:r>
                    <w:rPr>
                      <w:szCs w:val="21"/>
                    </w:rPr>
                    <w:t>声功率级/dB（A）</w:t>
                  </w:r>
                </w:p>
              </w:tc>
              <w:tc>
                <w:tcPr>
                  <w:tcW w:w="1173" w:type="dxa"/>
                  <w:vMerge w:val="continue"/>
                  <w:vAlign w:val="center"/>
                </w:tcPr>
                <w:p>
                  <w:pPr>
                    <w:pStyle w:val="65"/>
                    <w:spacing w:line="240" w:lineRule="auto"/>
                    <w:rPr>
                      <w:b w:val="0"/>
                      <w:bCs/>
                      <w:szCs w:val="21"/>
                    </w:rPr>
                  </w:pPr>
                </w:p>
              </w:tc>
              <w:tc>
                <w:tcPr>
                  <w:tcW w:w="1772" w:type="dxa"/>
                  <w:vMerge w:val="continue"/>
                  <w:vAlign w:val="center"/>
                </w:tcPr>
                <w:p>
                  <w:pPr>
                    <w:pStyle w:val="65"/>
                    <w:spacing w:line="240" w:lineRule="auto"/>
                    <w:rPr>
                      <w:b w:val="0"/>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zCs w:val="21"/>
                    </w:rPr>
                  </w:pPr>
                  <w:r>
                    <w:rPr>
                      <w:b w:val="0"/>
                      <w:bCs/>
                      <w:szCs w:val="21"/>
                    </w:rPr>
                    <w:t>空压机</w:t>
                  </w:r>
                </w:p>
              </w:tc>
              <w:tc>
                <w:tcPr>
                  <w:tcW w:w="989" w:type="dxa"/>
                  <w:vAlign w:val="center"/>
                </w:tcPr>
                <w:p>
                  <w:pPr>
                    <w:pStyle w:val="65"/>
                    <w:spacing w:line="240" w:lineRule="auto"/>
                    <w:rPr>
                      <w:b w:val="0"/>
                      <w:bCs/>
                      <w:szCs w:val="21"/>
                    </w:rPr>
                  </w:pPr>
                  <w:r>
                    <w:rPr>
                      <w:b w:val="0"/>
                      <w:bCs/>
                      <w:szCs w:val="21"/>
                    </w:rPr>
                    <w:t>2</w:t>
                  </w:r>
                </w:p>
              </w:tc>
              <w:tc>
                <w:tcPr>
                  <w:tcW w:w="989" w:type="dxa"/>
                  <w:vAlign w:val="center"/>
                </w:tcPr>
                <w:p>
                  <w:pPr>
                    <w:pStyle w:val="65"/>
                    <w:spacing w:line="240" w:lineRule="auto"/>
                    <w:rPr>
                      <w:b w:val="0"/>
                      <w:bCs/>
                      <w:szCs w:val="21"/>
                    </w:rPr>
                  </w:pPr>
                  <w:r>
                    <w:rPr>
                      <w:b w:val="0"/>
                      <w:bCs/>
                      <w:szCs w:val="21"/>
                    </w:rPr>
                    <w:t>/</w:t>
                  </w:r>
                </w:p>
              </w:tc>
              <w:tc>
                <w:tcPr>
                  <w:tcW w:w="819" w:type="dxa"/>
                  <w:vAlign w:val="center"/>
                </w:tcPr>
                <w:p>
                  <w:pPr>
                    <w:pStyle w:val="65"/>
                    <w:spacing w:line="240" w:lineRule="auto"/>
                    <w:rPr>
                      <w:b w:val="0"/>
                      <w:bCs/>
                      <w:szCs w:val="21"/>
                    </w:rPr>
                  </w:pPr>
                  <w:r>
                    <w:rPr>
                      <w:b w:val="0"/>
                      <w:bCs/>
                      <w:szCs w:val="21"/>
                    </w:rPr>
                    <w:t>35</w:t>
                  </w:r>
                </w:p>
              </w:tc>
              <w:tc>
                <w:tcPr>
                  <w:tcW w:w="819" w:type="dxa"/>
                  <w:vAlign w:val="center"/>
                </w:tcPr>
                <w:p>
                  <w:pPr>
                    <w:pStyle w:val="65"/>
                    <w:spacing w:line="240" w:lineRule="auto"/>
                    <w:rPr>
                      <w:b w:val="0"/>
                      <w:bCs/>
                      <w:szCs w:val="21"/>
                    </w:rPr>
                  </w:pPr>
                  <w:r>
                    <w:rPr>
                      <w:b w:val="0"/>
                      <w:bCs/>
                      <w:szCs w:val="21"/>
                    </w:rPr>
                    <w:t>62</w:t>
                  </w:r>
                </w:p>
              </w:tc>
              <w:tc>
                <w:tcPr>
                  <w:tcW w:w="807" w:type="dxa"/>
                  <w:vAlign w:val="center"/>
                </w:tcPr>
                <w:p>
                  <w:pPr>
                    <w:pStyle w:val="65"/>
                    <w:spacing w:line="240" w:lineRule="auto"/>
                    <w:rPr>
                      <w:b w:val="0"/>
                      <w:bCs/>
                      <w:szCs w:val="21"/>
                    </w:rPr>
                  </w:pPr>
                  <w:r>
                    <w:rPr>
                      <w:b w:val="0"/>
                      <w:bCs/>
                      <w:szCs w:val="21"/>
                    </w:rPr>
                    <w:t>0</w:t>
                  </w:r>
                </w:p>
              </w:tc>
              <w:tc>
                <w:tcPr>
                  <w:tcW w:w="1217" w:type="dxa"/>
                  <w:vAlign w:val="center"/>
                </w:tcPr>
                <w:p>
                  <w:pPr>
                    <w:pStyle w:val="65"/>
                    <w:spacing w:line="240" w:lineRule="auto"/>
                    <w:rPr>
                      <w:b w:val="0"/>
                      <w:bCs/>
                      <w:szCs w:val="21"/>
                    </w:rPr>
                  </w:pPr>
                  <w:r>
                    <w:rPr>
                      <w:b w:val="0"/>
                      <w:bCs/>
                      <w:szCs w:val="21"/>
                    </w:rPr>
                    <w:t>75~85</w:t>
                  </w:r>
                </w:p>
              </w:tc>
              <w:tc>
                <w:tcPr>
                  <w:tcW w:w="1173" w:type="dxa"/>
                  <w:vAlign w:val="center"/>
                </w:tcPr>
                <w:p>
                  <w:pPr>
                    <w:pStyle w:val="65"/>
                    <w:spacing w:line="240" w:lineRule="auto"/>
                    <w:rPr>
                      <w:b w:val="0"/>
                      <w:bCs/>
                      <w:szCs w:val="21"/>
                    </w:rPr>
                  </w:pPr>
                  <w:r>
                    <w:rPr>
                      <w:b w:val="0"/>
                      <w:bCs/>
                      <w:szCs w:val="21"/>
                    </w:rPr>
                    <w:t>基础减振、消声</w:t>
                  </w:r>
                </w:p>
              </w:tc>
              <w:tc>
                <w:tcPr>
                  <w:tcW w:w="1772" w:type="dxa"/>
                  <w:vAlign w:val="center"/>
                </w:tcPr>
                <w:p>
                  <w:pPr>
                    <w:pStyle w:val="65"/>
                    <w:spacing w:line="240" w:lineRule="auto"/>
                    <w:rPr>
                      <w:b w:val="0"/>
                      <w:bCs/>
                      <w:szCs w:val="21"/>
                    </w:rPr>
                  </w:pPr>
                  <w:r>
                    <w:rPr>
                      <w:b w:val="0"/>
                      <w:bCs/>
                      <w:szCs w:val="21"/>
                    </w:rPr>
                    <w:t>8小时</w:t>
                  </w:r>
                </w:p>
              </w:tc>
            </w:tr>
          </w:tbl>
          <w:p>
            <w:pPr>
              <w:spacing w:line="440" w:lineRule="exact"/>
              <w:jc w:val="center"/>
              <w:rPr>
                <w:rFonts w:ascii="Times New Roman" w:hAnsi="Times New Roman"/>
                <w:b/>
                <w:bCs/>
                <w:szCs w:val="18"/>
              </w:rPr>
            </w:pPr>
            <w:r>
              <w:rPr>
                <w:rFonts w:ascii="Times New Roman" w:hAnsi="Times New Roman"/>
                <w:b/>
                <w:bCs/>
                <w:szCs w:val="18"/>
              </w:rPr>
              <w:t>表4-14项目主要噪声源强、防治措施及效果</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1"/>
              <w:gridCol w:w="426"/>
              <w:gridCol w:w="853"/>
              <w:gridCol w:w="775"/>
              <w:gridCol w:w="413"/>
              <w:gridCol w:w="413"/>
              <w:gridCol w:w="360"/>
              <w:gridCol w:w="633"/>
              <w:gridCol w:w="915"/>
              <w:gridCol w:w="693"/>
              <w:gridCol w:w="742"/>
              <w:gridCol w:w="822"/>
              <w:gridCol w:w="5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91" w:type="dxa"/>
                  <w:vMerge w:val="restart"/>
                  <w:vAlign w:val="center"/>
                </w:tcPr>
                <w:p>
                  <w:pPr>
                    <w:pStyle w:val="65"/>
                    <w:spacing w:line="240" w:lineRule="auto"/>
                    <w:rPr>
                      <w:spacing w:val="-8"/>
                      <w:szCs w:val="21"/>
                    </w:rPr>
                  </w:pPr>
                  <w:r>
                    <w:rPr>
                      <w:spacing w:val="-8"/>
                      <w:szCs w:val="21"/>
                    </w:rPr>
                    <w:t>声源名称</w:t>
                  </w:r>
                </w:p>
              </w:tc>
              <w:tc>
                <w:tcPr>
                  <w:tcW w:w="426" w:type="dxa"/>
                  <w:vMerge w:val="restart"/>
                  <w:vAlign w:val="center"/>
                </w:tcPr>
                <w:p>
                  <w:pPr>
                    <w:pStyle w:val="65"/>
                    <w:spacing w:line="240" w:lineRule="auto"/>
                    <w:rPr>
                      <w:spacing w:val="-8"/>
                      <w:szCs w:val="21"/>
                    </w:rPr>
                  </w:pPr>
                  <w:r>
                    <w:rPr>
                      <w:spacing w:val="-8"/>
                      <w:szCs w:val="21"/>
                    </w:rPr>
                    <w:t>数量</w:t>
                  </w:r>
                </w:p>
              </w:tc>
              <w:tc>
                <w:tcPr>
                  <w:tcW w:w="853" w:type="dxa"/>
                  <w:vAlign w:val="center"/>
                </w:tcPr>
                <w:p>
                  <w:pPr>
                    <w:pStyle w:val="65"/>
                    <w:spacing w:line="240" w:lineRule="auto"/>
                    <w:rPr>
                      <w:spacing w:val="-8"/>
                      <w:szCs w:val="21"/>
                    </w:rPr>
                  </w:pPr>
                  <w:r>
                    <w:rPr>
                      <w:spacing w:val="-8"/>
                      <w:szCs w:val="21"/>
                    </w:rPr>
                    <w:t>声源源强</w:t>
                  </w:r>
                </w:p>
              </w:tc>
              <w:tc>
                <w:tcPr>
                  <w:tcW w:w="775" w:type="dxa"/>
                  <w:vMerge w:val="restart"/>
                  <w:vAlign w:val="center"/>
                </w:tcPr>
                <w:p>
                  <w:pPr>
                    <w:pStyle w:val="65"/>
                    <w:spacing w:line="240" w:lineRule="auto"/>
                    <w:rPr>
                      <w:spacing w:val="-8"/>
                      <w:szCs w:val="21"/>
                    </w:rPr>
                  </w:pPr>
                  <w:r>
                    <w:rPr>
                      <w:spacing w:val="-8"/>
                      <w:szCs w:val="21"/>
                    </w:rPr>
                    <w:t>声源控制措施</w:t>
                  </w:r>
                </w:p>
              </w:tc>
              <w:tc>
                <w:tcPr>
                  <w:tcW w:w="1186" w:type="dxa"/>
                  <w:gridSpan w:val="3"/>
                  <w:vAlign w:val="center"/>
                </w:tcPr>
                <w:p>
                  <w:pPr>
                    <w:pStyle w:val="65"/>
                    <w:spacing w:line="240" w:lineRule="auto"/>
                    <w:rPr>
                      <w:spacing w:val="-8"/>
                      <w:szCs w:val="21"/>
                    </w:rPr>
                  </w:pPr>
                  <w:r>
                    <w:rPr>
                      <w:spacing w:val="-8"/>
                      <w:szCs w:val="21"/>
                    </w:rPr>
                    <w:t>空间相对位置/m</w:t>
                  </w:r>
                </w:p>
              </w:tc>
              <w:tc>
                <w:tcPr>
                  <w:tcW w:w="633" w:type="dxa"/>
                  <w:vMerge w:val="restart"/>
                  <w:vAlign w:val="center"/>
                </w:tcPr>
                <w:p>
                  <w:pPr>
                    <w:pStyle w:val="65"/>
                    <w:spacing w:line="240" w:lineRule="auto"/>
                    <w:rPr>
                      <w:spacing w:val="-8"/>
                      <w:szCs w:val="21"/>
                    </w:rPr>
                  </w:pPr>
                  <w:r>
                    <w:rPr>
                      <w:spacing w:val="-8"/>
                      <w:szCs w:val="21"/>
                    </w:rPr>
                    <w:t>距室内边界距离/m</w:t>
                  </w:r>
                </w:p>
              </w:tc>
              <w:tc>
                <w:tcPr>
                  <w:tcW w:w="915" w:type="dxa"/>
                  <w:vMerge w:val="restart"/>
                  <w:vAlign w:val="center"/>
                </w:tcPr>
                <w:p>
                  <w:pPr>
                    <w:pStyle w:val="65"/>
                    <w:spacing w:line="240" w:lineRule="auto"/>
                    <w:rPr>
                      <w:spacing w:val="-8"/>
                      <w:szCs w:val="21"/>
                    </w:rPr>
                  </w:pPr>
                  <w:r>
                    <w:rPr>
                      <w:spacing w:val="-8"/>
                      <w:szCs w:val="21"/>
                    </w:rPr>
                    <w:t>室内边界声级/dB（A）</w:t>
                  </w:r>
                </w:p>
              </w:tc>
              <w:tc>
                <w:tcPr>
                  <w:tcW w:w="693" w:type="dxa"/>
                  <w:vMerge w:val="restart"/>
                  <w:vAlign w:val="center"/>
                </w:tcPr>
                <w:p>
                  <w:pPr>
                    <w:pStyle w:val="65"/>
                    <w:spacing w:line="240" w:lineRule="auto"/>
                    <w:rPr>
                      <w:spacing w:val="-8"/>
                      <w:szCs w:val="21"/>
                    </w:rPr>
                  </w:pPr>
                  <w:r>
                    <w:rPr>
                      <w:spacing w:val="-8"/>
                      <w:szCs w:val="21"/>
                    </w:rPr>
                    <w:t>运行时段</w:t>
                  </w:r>
                </w:p>
              </w:tc>
              <w:tc>
                <w:tcPr>
                  <w:tcW w:w="742" w:type="dxa"/>
                  <w:vMerge w:val="restart"/>
                  <w:vAlign w:val="center"/>
                </w:tcPr>
                <w:p>
                  <w:pPr>
                    <w:pStyle w:val="65"/>
                    <w:spacing w:line="240" w:lineRule="auto"/>
                    <w:rPr>
                      <w:spacing w:val="-8"/>
                      <w:szCs w:val="21"/>
                    </w:rPr>
                  </w:pPr>
                  <w:r>
                    <w:rPr>
                      <w:spacing w:val="-8"/>
                      <w:szCs w:val="21"/>
                    </w:rPr>
                    <w:t>建筑物插入损失/dB（A）</w:t>
                  </w:r>
                </w:p>
              </w:tc>
              <w:tc>
                <w:tcPr>
                  <w:tcW w:w="1373" w:type="dxa"/>
                  <w:gridSpan w:val="2"/>
                  <w:vAlign w:val="center"/>
                </w:tcPr>
                <w:p>
                  <w:pPr>
                    <w:pStyle w:val="65"/>
                    <w:spacing w:line="240" w:lineRule="auto"/>
                    <w:rPr>
                      <w:spacing w:val="-8"/>
                      <w:szCs w:val="21"/>
                    </w:rPr>
                  </w:pPr>
                  <w:r>
                    <w:rPr>
                      <w:spacing w:val="-8"/>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continue"/>
                  <w:vAlign w:val="center"/>
                </w:tcPr>
                <w:p>
                  <w:pPr>
                    <w:pStyle w:val="65"/>
                    <w:spacing w:line="240" w:lineRule="auto"/>
                    <w:rPr>
                      <w:spacing w:val="-8"/>
                      <w:szCs w:val="21"/>
                    </w:rPr>
                  </w:pPr>
                </w:p>
              </w:tc>
              <w:tc>
                <w:tcPr>
                  <w:tcW w:w="426" w:type="dxa"/>
                  <w:vMerge w:val="continue"/>
                  <w:vAlign w:val="center"/>
                </w:tcPr>
                <w:p>
                  <w:pPr>
                    <w:pStyle w:val="65"/>
                    <w:spacing w:line="240" w:lineRule="auto"/>
                    <w:rPr>
                      <w:spacing w:val="-8"/>
                      <w:szCs w:val="21"/>
                    </w:rPr>
                  </w:pPr>
                </w:p>
              </w:tc>
              <w:tc>
                <w:tcPr>
                  <w:tcW w:w="853" w:type="dxa"/>
                  <w:vAlign w:val="center"/>
                </w:tcPr>
                <w:p>
                  <w:pPr>
                    <w:pStyle w:val="65"/>
                    <w:spacing w:line="240" w:lineRule="auto"/>
                    <w:rPr>
                      <w:spacing w:val="-8"/>
                      <w:szCs w:val="21"/>
                    </w:rPr>
                  </w:pPr>
                  <w:r>
                    <w:rPr>
                      <w:spacing w:val="-8"/>
                      <w:szCs w:val="21"/>
                    </w:rPr>
                    <w:t>声功率级/dB（A）</w:t>
                  </w:r>
                </w:p>
              </w:tc>
              <w:tc>
                <w:tcPr>
                  <w:tcW w:w="775" w:type="dxa"/>
                  <w:vMerge w:val="continue"/>
                  <w:vAlign w:val="center"/>
                </w:tcPr>
                <w:p>
                  <w:pPr>
                    <w:pStyle w:val="65"/>
                    <w:spacing w:line="240" w:lineRule="auto"/>
                    <w:rPr>
                      <w:spacing w:val="-8"/>
                      <w:szCs w:val="21"/>
                    </w:rPr>
                  </w:pPr>
                </w:p>
              </w:tc>
              <w:tc>
                <w:tcPr>
                  <w:tcW w:w="413" w:type="dxa"/>
                  <w:vAlign w:val="center"/>
                </w:tcPr>
                <w:p>
                  <w:pPr>
                    <w:pStyle w:val="65"/>
                    <w:spacing w:line="240" w:lineRule="auto"/>
                    <w:rPr>
                      <w:spacing w:val="-8"/>
                      <w:szCs w:val="21"/>
                    </w:rPr>
                  </w:pPr>
                  <w:r>
                    <w:rPr>
                      <w:spacing w:val="-8"/>
                      <w:szCs w:val="21"/>
                    </w:rPr>
                    <w:t>X</w:t>
                  </w:r>
                </w:p>
              </w:tc>
              <w:tc>
                <w:tcPr>
                  <w:tcW w:w="413" w:type="dxa"/>
                  <w:vAlign w:val="center"/>
                </w:tcPr>
                <w:p>
                  <w:pPr>
                    <w:pStyle w:val="65"/>
                    <w:spacing w:line="240" w:lineRule="auto"/>
                    <w:rPr>
                      <w:spacing w:val="-8"/>
                      <w:szCs w:val="21"/>
                    </w:rPr>
                  </w:pPr>
                  <w:r>
                    <w:rPr>
                      <w:spacing w:val="-8"/>
                      <w:szCs w:val="21"/>
                    </w:rPr>
                    <w:t>Y</w:t>
                  </w:r>
                </w:p>
              </w:tc>
              <w:tc>
                <w:tcPr>
                  <w:tcW w:w="360" w:type="dxa"/>
                  <w:vAlign w:val="center"/>
                </w:tcPr>
                <w:p>
                  <w:pPr>
                    <w:pStyle w:val="65"/>
                    <w:spacing w:line="240" w:lineRule="auto"/>
                    <w:rPr>
                      <w:spacing w:val="-8"/>
                      <w:szCs w:val="21"/>
                    </w:rPr>
                  </w:pPr>
                  <w:r>
                    <w:rPr>
                      <w:spacing w:val="-8"/>
                      <w:szCs w:val="21"/>
                    </w:rPr>
                    <w:t>Z</w:t>
                  </w:r>
                </w:p>
              </w:tc>
              <w:tc>
                <w:tcPr>
                  <w:tcW w:w="633" w:type="dxa"/>
                  <w:vMerge w:val="continue"/>
                  <w:vAlign w:val="center"/>
                </w:tcPr>
                <w:p>
                  <w:pPr>
                    <w:pStyle w:val="65"/>
                    <w:spacing w:line="240" w:lineRule="auto"/>
                    <w:rPr>
                      <w:spacing w:val="-8"/>
                      <w:szCs w:val="21"/>
                    </w:rPr>
                  </w:pPr>
                </w:p>
              </w:tc>
              <w:tc>
                <w:tcPr>
                  <w:tcW w:w="915" w:type="dxa"/>
                  <w:vMerge w:val="continue"/>
                  <w:vAlign w:val="center"/>
                </w:tcPr>
                <w:p>
                  <w:pPr>
                    <w:pStyle w:val="65"/>
                    <w:spacing w:line="240" w:lineRule="auto"/>
                    <w:rPr>
                      <w:spacing w:val="-8"/>
                      <w:szCs w:val="21"/>
                    </w:rPr>
                  </w:pPr>
                </w:p>
              </w:tc>
              <w:tc>
                <w:tcPr>
                  <w:tcW w:w="693" w:type="dxa"/>
                  <w:vMerge w:val="continue"/>
                  <w:vAlign w:val="center"/>
                </w:tcPr>
                <w:p>
                  <w:pPr>
                    <w:pStyle w:val="65"/>
                    <w:spacing w:line="240" w:lineRule="auto"/>
                    <w:rPr>
                      <w:spacing w:val="-8"/>
                      <w:szCs w:val="21"/>
                    </w:rPr>
                  </w:pPr>
                </w:p>
              </w:tc>
              <w:tc>
                <w:tcPr>
                  <w:tcW w:w="742" w:type="dxa"/>
                  <w:vMerge w:val="continue"/>
                  <w:vAlign w:val="center"/>
                </w:tcPr>
                <w:p>
                  <w:pPr>
                    <w:pStyle w:val="65"/>
                    <w:spacing w:line="240" w:lineRule="auto"/>
                    <w:rPr>
                      <w:spacing w:val="-8"/>
                      <w:szCs w:val="21"/>
                    </w:rPr>
                  </w:pPr>
                </w:p>
              </w:tc>
              <w:tc>
                <w:tcPr>
                  <w:tcW w:w="822" w:type="dxa"/>
                  <w:vAlign w:val="center"/>
                </w:tcPr>
                <w:p>
                  <w:pPr>
                    <w:pStyle w:val="65"/>
                    <w:spacing w:line="240" w:lineRule="auto"/>
                    <w:rPr>
                      <w:spacing w:val="-8"/>
                      <w:szCs w:val="21"/>
                    </w:rPr>
                  </w:pPr>
                  <w:r>
                    <w:rPr>
                      <w:spacing w:val="-8"/>
                      <w:szCs w:val="21"/>
                    </w:rPr>
                    <w:t>声压级/dB（A）</w:t>
                  </w:r>
                </w:p>
              </w:tc>
              <w:tc>
                <w:tcPr>
                  <w:tcW w:w="551" w:type="dxa"/>
                  <w:vAlign w:val="center"/>
                </w:tcPr>
                <w:p>
                  <w:pPr>
                    <w:pStyle w:val="65"/>
                    <w:spacing w:line="240" w:lineRule="auto"/>
                    <w:rPr>
                      <w:spacing w:val="-8"/>
                      <w:szCs w:val="21"/>
                    </w:rPr>
                  </w:pPr>
                  <w:r>
                    <w:rPr>
                      <w:spacing w:val="-8"/>
                      <w:szCs w:val="21"/>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烘箱</w:t>
                  </w:r>
                </w:p>
              </w:tc>
              <w:tc>
                <w:tcPr>
                  <w:tcW w:w="426" w:type="dxa"/>
                  <w:vAlign w:val="center"/>
                </w:tcPr>
                <w:p>
                  <w:pPr>
                    <w:pStyle w:val="65"/>
                    <w:spacing w:line="240" w:lineRule="auto"/>
                    <w:rPr>
                      <w:b w:val="0"/>
                      <w:bCs/>
                      <w:spacing w:val="-8"/>
                      <w:szCs w:val="21"/>
                    </w:rPr>
                  </w:pPr>
                  <w:r>
                    <w:rPr>
                      <w:b w:val="0"/>
                      <w:bCs/>
                      <w:lang w:val="en-US"/>
                    </w:rPr>
                    <w:t>8</w:t>
                  </w:r>
                </w:p>
              </w:tc>
              <w:tc>
                <w:tcPr>
                  <w:tcW w:w="853" w:type="dxa"/>
                  <w:vAlign w:val="center"/>
                </w:tcPr>
                <w:p>
                  <w:pPr>
                    <w:pStyle w:val="65"/>
                    <w:spacing w:line="240" w:lineRule="auto"/>
                    <w:rPr>
                      <w:b w:val="0"/>
                      <w:bCs/>
                      <w:spacing w:val="-8"/>
                      <w:szCs w:val="21"/>
                    </w:rPr>
                  </w:pPr>
                  <w:r>
                    <w:rPr>
                      <w:b w:val="0"/>
                      <w:bCs/>
                    </w:rPr>
                    <w:t>75-80</w:t>
                  </w:r>
                </w:p>
              </w:tc>
              <w:tc>
                <w:tcPr>
                  <w:tcW w:w="775" w:type="dxa"/>
                  <w:vMerge w:val="restart"/>
                  <w:vAlign w:val="center"/>
                </w:tcPr>
                <w:p>
                  <w:pPr>
                    <w:pStyle w:val="65"/>
                    <w:spacing w:line="240" w:lineRule="auto"/>
                    <w:rPr>
                      <w:b w:val="0"/>
                      <w:bCs/>
                      <w:spacing w:val="-8"/>
                      <w:szCs w:val="21"/>
                    </w:rPr>
                  </w:pPr>
                  <w:r>
                    <w:rPr>
                      <w:b w:val="0"/>
                      <w:bCs/>
                    </w:rPr>
                    <w:t>选用低噪声设备，采取基础的减震、隔声、距离衰减、设备密闭等措施</w:t>
                  </w:r>
                </w:p>
              </w:tc>
              <w:tc>
                <w:tcPr>
                  <w:tcW w:w="413" w:type="dxa"/>
                  <w:vAlign w:val="center"/>
                </w:tcPr>
                <w:p>
                  <w:pPr>
                    <w:pStyle w:val="65"/>
                    <w:spacing w:line="240" w:lineRule="auto"/>
                    <w:rPr>
                      <w:b w:val="0"/>
                      <w:bCs/>
                      <w:spacing w:val="-8"/>
                      <w:szCs w:val="21"/>
                    </w:rPr>
                  </w:pPr>
                  <w:r>
                    <w:rPr>
                      <w:b w:val="0"/>
                      <w:bCs/>
                      <w:spacing w:val="-8"/>
                      <w:szCs w:val="21"/>
                    </w:rPr>
                    <w:t>4</w:t>
                  </w:r>
                </w:p>
              </w:tc>
              <w:tc>
                <w:tcPr>
                  <w:tcW w:w="413" w:type="dxa"/>
                  <w:vAlign w:val="center"/>
                </w:tcPr>
                <w:p>
                  <w:pPr>
                    <w:pStyle w:val="65"/>
                    <w:spacing w:line="240" w:lineRule="auto"/>
                    <w:rPr>
                      <w:b w:val="0"/>
                      <w:bCs/>
                      <w:spacing w:val="-8"/>
                      <w:szCs w:val="21"/>
                    </w:rPr>
                  </w:pPr>
                  <w:r>
                    <w:rPr>
                      <w:b w:val="0"/>
                      <w:bCs/>
                      <w:spacing w:val="-8"/>
                      <w:szCs w:val="21"/>
                    </w:rPr>
                    <w:t>6</w:t>
                  </w:r>
                </w:p>
              </w:tc>
              <w:tc>
                <w:tcPr>
                  <w:tcW w:w="360" w:type="dxa"/>
                  <w:vAlign w:val="center"/>
                </w:tcPr>
                <w:p>
                  <w:pPr>
                    <w:pStyle w:val="65"/>
                    <w:spacing w:line="240" w:lineRule="auto"/>
                    <w:rPr>
                      <w:b w:val="0"/>
                      <w:bCs/>
                      <w:spacing w:val="-8"/>
                      <w:szCs w:val="21"/>
                    </w:rPr>
                  </w:pPr>
                  <w:r>
                    <w:rPr>
                      <w:b w:val="0"/>
                      <w:bCs/>
                      <w:spacing w:val="-8"/>
                      <w:szCs w:val="21"/>
                    </w:rPr>
                    <w:t>6</w:t>
                  </w:r>
                </w:p>
              </w:tc>
              <w:tc>
                <w:tcPr>
                  <w:tcW w:w="633" w:type="dxa"/>
                  <w:vAlign w:val="center"/>
                </w:tcPr>
                <w:p>
                  <w:pPr>
                    <w:pStyle w:val="65"/>
                    <w:spacing w:line="240" w:lineRule="auto"/>
                    <w:rPr>
                      <w:b w:val="0"/>
                      <w:bCs/>
                      <w:spacing w:val="-8"/>
                      <w:szCs w:val="21"/>
                    </w:rPr>
                  </w:pPr>
                  <w:r>
                    <w:rPr>
                      <w:b w:val="0"/>
                      <w:bCs/>
                      <w:spacing w:val="-8"/>
                      <w:szCs w:val="21"/>
                    </w:rPr>
                    <w:t>6</w:t>
                  </w:r>
                </w:p>
              </w:tc>
              <w:tc>
                <w:tcPr>
                  <w:tcW w:w="915" w:type="dxa"/>
                  <w:vAlign w:val="center"/>
                </w:tcPr>
                <w:p>
                  <w:pPr>
                    <w:pStyle w:val="65"/>
                    <w:spacing w:line="240" w:lineRule="auto"/>
                    <w:rPr>
                      <w:b w:val="0"/>
                      <w:bCs/>
                      <w:spacing w:val="-8"/>
                      <w:szCs w:val="21"/>
                    </w:rPr>
                  </w:pPr>
                  <w:r>
                    <w:rPr>
                      <w:rFonts w:hint="eastAsia"/>
                      <w:b w:val="0"/>
                      <w:bCs/>
                      <w:spacing w:val="-8"/>
                      <w:szCs w:val="21"/>
                    </w:rPr>
                    <w:t>5</w:t>
                  </w:r>
                  <w:r>
                    <w:rPr>
                      <w:b w:val="0"/>
                      <w:bCs/>
                      <w:spacing w:val="-8"/>
                      <w:szCs w:val="21"/>
                    </w:rPr>
                    <w:t>7</w:t>
                  </w:r>
                  <w:r>
                    <w:rPr>
                      <w:rFonts w:hint="eastAsia"/>
                      <w:b w:val="0"/>
                      <w:bCs/>
                      <w:spacing w:val="-8"/>
                      <w:szCs w:val="21"/>
                    </w:rPr>
                    <w:t>~</w:t>
                  </w:r>
                  <w:r>
                    <w:rPr>
                      <w:b w:val="0"/>
                      <w:bCs/>
                      <w:spacing w:val="-8"/>
                      <w:szCs w:val="21"/>
                    </w:rPr>
                    <w:t>62</w:t>
                  </w:r>
                </w:p>
              </w:tc>
              <w:tc>
                <w:tcPr>
                  <w:tcW w:w="693" w:type="dxa"/>
                  <w:vAlign w:val="center"/>
                </w:tcPr>
                <w:p>
                  <w:pPr>
                    <w:pStyle w:val="65"/>
                    <w:spacing w:line="240" w:lineRule="auto"/>
                    <w:rPr>
                      <w:b w:val="0"/>
                      <w:spacing w:val="-8"/>
                      <w:szCs w:val="21"/>
                    </w:rPr>
                  </w:pPr>
                  <w:r>
                    <w:rPr>
                      <w:b w:val="0"/>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hint="eastAsia"/>
                      <w:b w:val="0"/>
                      <w:bCs/>
                      <w:spacing w:val="-8"/>
                      <w:szCs w:val="21"/>
                    </w:rPr>
                    <w:t>3</w:t>
                  </w:r>
                  <w:r>
                    <w:rPr>
                      <w:b w:val="0"/>
                      <w:bCs/>
                      <w:spacing w:val="-8"/>
                      <w:szCs w:val="21"/>
                    </w:rPr>
                    <w:t>7</w:t>
                  </w:r>
                  <w:r>
                    <w:rPr>
                      <w:rFonts w:hint="eastAsia"/>
                      <w:b w:val="0"/>
                      <w:bCs/>
                      <w:spacing w:val="-8"/>
                      <w:szCs w:val="21"/>
                    </w:rPr>
                    <w:t>~</w:t>
                  </w:r>
                  <w:r>
                    <w:rPr>
                      <w:b w:val="0"/>
                      <w:bCs/>
                      <w:spacing w:val="-8"/>
                      <w:szCs w:val="21"/>
                    </w:rPr>
                    <w:t>42</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CNC开料机</w:t>
                  </w:r>
                </w:p>
              </w:tc>
              <w:tc>
                <w:tcPr>
                  <w:tcW w:w="426" w:type="dxa"/>
                  <w:vAlign w:val="center"/>
                </w:tcPr>
                <w:p>
                  <w:pPr>
                    <w:pStyle w:val="65"/>
                    <w:spacing w:line="240" w:lineRule="auto"/>
                    <w:rPr>
                      <w:b w:val="0"/>
                      <w:bCs/>
                      <w:spacing w:val="-8"/>
                      <w:szCs w:val="21"/>
                    </w:rPr>
                  </w:pPr>
                  <w:r>
                    <w:rPr>
                      <w:b w:val="0"/>
                      <w:bCs/>
                      <w:lang w:val="en-US"/>
                    </w:rPr>
                    <w:t>4</w:t>
                  </w:r>
                </w:p>
              </w:tc>
              <w:tc>
                <w:tcPr>
                  <w:tcW w:w="853" w:type="dxa"/>
                  <w:vAlign w:val="center"/>
                </w:tcPr>
                <w:p>
                  <w:pPr>
                    <w:pStyle w:val="65"/>
                    <w:spacing w:line="240" w:lineRule="auto"/>
                    <w:rPr>
                      <w:b w:val="0"/>
                      <w:bCs/>
                      <w:spacing w:val="-8"/>
                      <w:szCs w:val="21"/>
                    </w:rPr>
                  </w:pPr>
                  <w:r>
                    <w:rPr>
                      <w:b w:val="0"/>
                      <w:bCs/>
                    </w:rPr>
                    <w:t>80-85</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5</w:t>
                  </w:r>
                </w:p>
              </w:tc>
              <w:tc>
                <w:tcPr>
                  <w:tcW w:w="413" w:type="dxa"/>
                  <w:vAlign w:val="center"/>
                </w:tcPr>
                <w:p>
                  <w:pPr>
                    <w:pStyle w:val="65"/>
                    <w:spacing w:line="240" w:lineRule="auto"/>
                    <w:rPr>
                      <w:b w:val="0"/>
                      <w:bCs/>
                      <w:spacing w:val="-8"/>
                      <w:szCs w:val="21"/>
                    </w:rPr>
                  </w:pPr>
                  <w:r>
                    <w:rPr>
                      <w:b w:val="0"/>
                      <w:bCs/>
                      <w:spacing w:val="-8"/>
                      <w:szCs w:val="21"/>
                    </w:rPr>
                    <w:t>6</w:t>
                  </w:r>
                </w:p>
              </w:tc>
              <w:tc>
                <w:tcPr>
                  <w:tcW w:w="360" w:type="dxa"/>
                  <w:vAlign w:val="center"/>
                </w:tcPr>
                <w:p>
                  <w:pPr>
                    <w:pStyle w:val="65"/>
                    <w:spacing w:line="240" w:lineRule="auto"/>
                    <w:rPr>
                      <w:b w:val="0"/>
                      <w:bCs/>
                      <w:spacing w:val="-8"/>
                      <w:szCs w:val="21"/>
                    </w:rPr>
                  </w:pPr>
                  <w:r>
                    <w:rPr>
                      <w:b w:val="0"/>
                      <w:bCs/>
                      <w:spacing w:val="-8"/>
                      <w:szCs w:val="21"/>
                    </w:rPr>
                    <w:t>3</w:t>
                  </w:r>
                </w:p>
              </w:tc>
              <w:tc>
                <w:tcPr>
                  <w:tcW w:w="633" w:type="dxa"/>
                  <w:vAlign w:val="center"/>
                </w:tcPr>
                <w:p>
                  <w:pPr>
                    <w:pStyle w:val="65"/>
                    <w:spacing w:line="240" w:lineRule="auto"/>
                    <w:rPr>
                      <w:b w:val="0"/>
                      <w:bCs/>
                      <w:spacing w:val="-8"/>
                      <w:szCs w:val="21"/>
                    </w:rPr>
                  </w:pPr>
                  <w:r>
                    <w:rPr>
                      <w:b w:val="0"/>
                      <w:bCs/>
                      <w:spacing w:val="-8"/>
                      <w:szCs w:val="21"/>
                    </w:rPr>
                    <w:t>6</w:t>
                  </w:r>
                </w:p>
              </w:tc>
              <w:tc>
                <w:tcPr>
                  <w:tcW w:w="915" w:type="dxa"/>
                  <w:vAlign w:val="center"/>
                </w:tcPr>
                <w:p>
                  <w:pPr>
                    <w:pStyle w:val="65"/>
                    <w:spacing w:line="240" w:lineRule="auto"/>
                    <w:rPr>
                      <w:b w:val="0"/>
                      <w:bCs/>
                      <w:spacing w:val="-8"/>
                      <w:szCs w:val="21"/>
                    </w:rPr>
                  </w:pPr>
                  <w:r>
                    <w:rPr>
                      <w:rFonts w:hint="eastAsia"/>
                      <w:b w:val="0"/>
                      <w:bCs/>
                      <w:spacing w:val="-8"/>
                      <w:szCs w:val="21"/>
                    </w:rPr>
                    <w:t>6</w:t>
                  </w:r>
                  <w:r>
                    <w:rPr>
                      <w:b w:val="0"/>
                      <w:bCs/>
                      <w:spacing w:val="-8"/>
                      <w:szCs w:val="21"/>
                    </w:rPr>
                    <w:t>2</w:t>
                  </w:r>
                  <w:r>
                    <w:rPr>
                      <w:rFonts w:hint="eastAsia"/>
                      <w:b w:val="0"/>
                      <w:bCs/>
                      <w:spacing w:val="-8"/>
                      <w:szCs w:val="21"/>
                    </w:rPr>
                    <w:t>~</w:t>
                  </w:r>
                  <w:r>
                    <w:rPr>
                      <w:b w:val="0"/>
                      <w:bCs/>
                      <w:spacing w:val="-8"/>
                      <w:szCs w:val="21"/>
                    </w:rPr>
                    <w:t>67</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42</w:t>
                  </w:r>
                  <w:r>
                    <w:rPr>
                      <w:rFonts w:hint="eastAsia"/>
                      <w:b w:val="0"/>
                      <w:bCs/>
                      <w:spacing w:val="-8"/>
                      <w:szCs w:val="21"/>
                    </w:rPr>
                    <w:t>~</w:t>
                  </w:r>
                  <w:r>
                    <w:rPr>
                      <w:rFonts w:eastAsia="等线"/>
                      <w:b w:val="0"/>
                      <w:bCs/>
                      <w:szCs w:val="21"/>
                    </w:rPr>
                    <w:t>47</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喷油机</w:t>
                  </w:r>
                </w:p>
              </w:tc>
              <w:tc>
                <w:tcPr>
                  <w:tcW w:w="426" w:type="dxa"/>
                  <w:vAlign w:val="center"/>
                </w:tcPr>
                <w:p>
                  <w:pPr>
                    <w:pStyle w:val="65"/>
                    <w:spacing w:line="240" w:lineRule="auto"/>
                    <w:rPr>
                      <w:b w:val="0"/>
                      <w:bCs/>
                      <w:spacing w:val="-8"/>
                      <w:szCs w:val="21"/>
                    </w:rPr>
                  </w:pPr>
                  <w:r>
                    <w:rPr>
                      <w:b w:val="0"/>
                      <w:bCs/>
                      <w:lang w:val="en-US"/>
                    </w:rPr>
                    <w:t>2</w:t>
                  </w:r>
                </w:p>
              </w:tc>
              <w:tc>
                <w:tcPr>
                  <w:tcW w:w="853" w:type="dxa"/>
                  <w:vAlign w:val="center"/>
                </w:tcPr>
                <w:p>
                  <w:pPr>
                    <w:pStyle w:val="65"/>
                    <w:spacing w:line="240" w:lineRule="auto"/>
                    <w:rPr>
                      <w:b w:val="0"/>
                      <w:bCs/>
                      <w:spacing w:val="-8"/>
                      <w:szCs w:val="21"/>
                    </w:rPr>
                  </w:pPr>
                  <w:r>
                    <w:rPr>
                      <w:b w:val="0"/>
                      <w:bCs/>
                    </w:rPr>
                    <w:t>75-80</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17</w:t>
                  </w:r>
                </w:p>
              </w:tc>
              <w:tc>
                <w:tcPr>
                  <w:tcW w:w="413" w:type="dxa"/>
                  <w:vAlign w:val="center"/>
                </w:tcPr>
                <w:p>
                  <w:pPr>
                    <w:pStyle w:val="65"/>
                    <w:spacing w:line="240" w:lineRule="auto"/>
                    <w:rPr>
                      <w:b w:val="0"/>
                      <w:bCs/>
                      <w:spacing w:val="-8"/>
                      <w:szCs w:val="21"/>
                    </w:rPr>
                  </w:pPr>
                  <w:r>
                    <w:rPr>
                      <w:b w:val="0"/>
                      <w:bCs/>
                      <w:spacing w:val="-8"/>
                      <w:szCs w:val="21"/>
                    </w:rPr>
                    <w:t>10</w:t>
                  </w:r>
                </w:p>
              </w:tc>
              <w:tc>
                <w:tcPr>
                  <w:tcW w:w="360" w:type="dxa"/>
                  <w:vAlign w:val="center"/>
                </w:tcPr>
                <w:p>
                  <w:pPr>
                    <w:pStyle w:val="65"/>
                    <w:spacing w:line="240" w:lineRule="auto"/>
                    <w:rPr>
                      <w:b w:val="0"/>
                      <w:bCs/>
                      <w:spacing w:val="-8"/>
                      <w:szCs w:val="21"/>
                    </w:rPr>
                  </w:pPr>
                  <w:r>
                    <w:rPr>
                      <w:b w:val="0"/>
                      <w:bCs/>
                      <w:spacing w:val="-8"/>
                      <w:szCs w:val="21"/>
                    </w:rPr>
                    <w:t>3</w:t>
                  </w:r>
                </w:p>
              </w:tc>
              <w:tc>
                <w:tcPr>
                  <w:tcW w:w="633" w:type="dxa"/>
                  <w:vAlign w:val="center"/>
                </w:tcPr>
                <w:p>
                  <w:pPr>
                    <w:pStyle w:val="65"/>
                    <w:spacing w:line="240" w:lineRule="auto"/>
                    <w:rPr>
                      <w:b w:val="0"/>
                      <w:bCs/>
                      <w:spacing w:val="-8"/>
                      <w:szCs w:val="21"/>
                    </w:rPr>
                  </w:pPr>
                  <w:r>
                    <w:rPr>
                      <w:b w:val="0"/>
                      <w:bCs/>
                      <w:spacing w:val="-8"/>
                      <w:szCs w:val="21"/>
                    </w:rPr>
                    <w:t>10</w:t>
                  </w:r>
                </w:p>
              </w:tc>
              <w:tc>
                <w:tcPr>
                  <w:tcW w:w="915" w:type="dxa"/>
                  <w:vAlign w:val="center"/>
                </w:tcPr>
                <w:p>
                  <w:pPr>
                    <w:pStyle w:val="65"/>
                    <w:spacing w:line="240" w:lineRule="auto"/>
                    <w:rPr>
                      <w:b w:val="0"/>
                      <w:bCs/>
                      <w:spacing w:val="-8"/>
                      <w:szCs w:val="21"/>
                    </w:rPr>
                  </w:pPr>
                  <w:r>
                    <w:rPr>
                      <w:rFonts w:hint="eastAsia"/>
                      <w:b w:val="0"/>
                      <w:bCs/>
                      <w:spacing w:val="-8"/>
                      <w:szCs w:val="21"/>
                    </w:rPr>
                    <w:t>4</w:t>
                  </w:r>
                  <w:r>
                    <w:rPr>
                      <w:b w:val="0"/>
                      <w:bCs/>
                      <w:spacing w:val="-8"/>
                      <w:szCs w:val="21"/>
                    </w:rPr>
                    <w:t>5</w:t>
                  </w:r>
                  <w:r>
                    <w:rPr>
                      <w:rFonts w:hint="eastAsia"/>
                      <w:b w:val="0"/>
                      <w:bCs/>
                      <w:spacing w:val="-8"/>
                      <w:szCs w:val="21"/>
                    </w:rPr>
                    <w:t>~</w:t>
                  </w:r>
                  <w:r>
                    <w:rPr>
                      <w:b w:val="0"/>
                      <w:bCs/>
                      <w:spacing w:val="-8"/>
                      <w:szCs w:val="21"/>
                    </w:rPr>
                    <w:t>50</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25</w:t>
                  </w:r>
                  <w:r>
                    <w:rPr>
                      <w:rFonts w:hint="eastAsia"/>
                      <w:b w:val="0"/>
                      <w:bCs/>
                      <w:spacing w:val="-8"/>
                      <w:szCs w:val="21"/>
                    </w:rPr>
                    <w:t>~</w:t>
                  </w:r>
                  <w:r>
                    <w:rPr>
                      <w:rFonts w:eastAsia="等线"/>
                      <w:b w:val="0"/>
                      <w:bCs/>
                      <w:szCs w:val="21"/>
                    </w:rPr>
                    <w:t>30</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清洗机</w:t>
                  </w:r>
                </w:p>
              </w:tc>
              <w:tc>
                <w:tcPr>
                  <w:tcW w:w="426" w:type="dxa"/>
                  <w:vAlign w:val="center"/>
                </w:tcPr>
                <w:p>
                  <w:pPr>
                    <w:pStyle w:val="65"/>
                    <w:spacing w:line="240" w:lineRule="auto"/>
                    <w:rPr>
                      <w:b w:val="0"/>
                      <w:bCs/>
                      <w:spacing w:val="-8"/>
                      <w:szCs w:val="21"/>
                    </w:rPr>
                  </w:pPr>
                  <w:r>
                    <w:rPr>
                      <w:b w:val="0"/>
                      <w:bCs/>
                    </w:rPr>
                    <w:t>11</w:t>
                  </w:r>
                </w:p>
              </w:tc>
              <w:tc>
                <w:tcPr>
                  <w:tcW w:w="853" w:type="dxa"/>
                  <w:vAlign w:val="center"/>
                </w:tcPr>
                <w:p>
                  <w:pPr>
                    <w:pStyle w:val="65"/>
                    <w:spacing w:line="240" w:lineRule="auto"/>
                    <w:rPr>
                      <w:b w:val="0"/>
                      <w:bCs/>
                      <w:spacing w:val="-8"/>
                      <w:szCs w:val="21"/>
                    </w:rPr>
                  </w:pPr>
                  <w:r>
                    <w:rPr>
                      <w:b w:val="0"/>
                      <w:bCs/>
                    </w:rPr>
                    <w:t>75-80</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5</w:t>
                  </w:r>
                </w:p>
              </w:tc>
              <w:tc>
                <w:tcPr>
                  <w:tcW w:w="413" w:type="dxa"/>
                  <w:vAlign w:val="center"/>
                </w:tcPr>
                <w:p>
                  <w:pPr>
                    <w:pStyle w:val="65"/>
                    <w:spacing w:line="240" w:lineRule="auto"/>
                    <w:rPr>
                      <w:b w:val="0"/>
                      <w:bCs/>
                      <w:spacing w:val="-8"/>
                      <w:szCs w:val="21"/>
                    </w:rPr>
                  </w:pPr>
                  <w:r>
                    <w:rPr>
                      <w:b w:val="0"/>
                      <w:bCs/>
                      <w:spacing w:val="-8"/>
                      <w:szCs w:val="21"/>
                    </w:rPr>
                    <w:t>7</w:t>
                  </w:r>
                </w:p>
              </w:tc>
              <w:tc>
                <w:tcPr>
                  <w:tcW w:w="360" w:type="dxa"/>
                  <w:vAlign w:val="center"/>
                </w:tcPr>
                <w:p>
                  <w:pPr>
                    <w:pStyle w:val="65"/>
                    <w:spacing w:line="240" w:lineRule="auto"/>
                    <w:rPr>
                      <w:b w:val="0"/>
                      <w:bCs/>
                      <w:spacing w:val="-8"/>
                      <w:szCs w:val="21"/>
                    </w:rPr>
                  </w:pPr>
                  <w:r>
                    <w:rPr>
                      <w:b w:val="0"/>
                      <w:bCs/>
                      <w:spacing w:val="-8"/>
                      <w:szCs w:val="21"/>
                    </w:rPr>
                    <w:t>6</w:t>
                  </w:r>
                </w:p>
              </w:tc>
              <w:tc>
                <w:tcPr>
                  <w:tcW w:w="633" w:type="dxa"/>
                  <w:vAlign w:val="center"/>
                </w:tcPr>
                <w:p>
                  <w:pPr>
                    <w:pStyle w:val="65"/>
                    <w:spacing w:line="240" w:lineRule="auto"/>
                    <w:rPr>
                      <w:b w:val="0"/>
                      <w:bCs/>
                      <w:spacing w:val="-8"/>
                      <w:szCs w:val="21"/>
                    </w:rPr>
                  </w:pPr>
                  <w:r>
                    <w:rPr>
                      <w:b w:val="0"/>
                      <w:bCs/>
                      <w:spacing w:val="-8"/>
                      <w:szCs w:val="21"/>
                    </w:rPr>
                    <w:t>7</w:t>
                  </w:r>
                </w:p>
              </w:tc>
              <w:tc>
                <w:tcPr>
                  <w:tcW w:w="915" w:type="dxa"/>
                  <w:vAlign w:val="center"/>
                </w:tcPr>
                <w:p>
                  <w:pPr>
                    <w:pStyle w:val="65"/>
                    <w:spacing w:line="240" w:lineRule="auto"/>
                    <w:rPr>
                      <w:b w:val="0"/>
                      <w:bCs/>
                      <w:spacing w:val="-8"/>
                      <w:szCs w:val="21"/>
                    </w:rPr>
                  </w:pPr>
                  <w:r>
                    <w:rPr>
                      <w:rFonts w:hint="eastAsia"/>
                      <w:b w:val="0"/>
                      <w:bCs/>
                      <w:spacing w:val="-8"/>
                      <w:szCs w:val="21"/>
                    </w:rPr>
                    <w:t>5</w:t>
                  </w:r>
                  <w:r>
                    <w:rPr>
                      <w:b w:val="0"/>
                      <w:bCs/>
                      <w:spacing w:val="-8"/>
                      <w:szCs w:val="21"/>
                    </w:rPr>
                    <w:t>4</w:t>
                  </w:r>
                  <w:r>
                    <w:rPr>
                      <w:rFonts w:hint="eastAsia"/>
                      <w:b w:val="0"/>
                      <w:bCs/>
                      <w:spacing w:val="-8"/>
                      <w:szCs w:val="21"/>
                    </w:rPr>
                    <w:t>~</w:t>
                  </w:r>
                  <w:r>
                    <w:rPr>
                      <w:b w:val="0"/>
                      <w:bCs/>
                      <w:spacing w:val="-8"/>
                      <w:szCs w:val="21"/>
                    </w:rPr>
                    <w:t>59</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34</w:t>
                  </w:r>
                  <w:r>
                    <w:rPr>
                      <w:rFonts w:hint="eastAsia"/>
                      <w:b w:val="0"/>
                      <w:bCs/>
                      <w:spacing w:val="-8"/>
                      <w:szCs w:val="21"/>
                    </w:rPr>
                    <w:t>~</w:t>
                  </w:r>
                  <w:r>
                    <w:rPr>
                      <w:rFonts w:eastAsia="等线"/>
                      <w:b w:val="0"/>
                      <w:bCs/>
                      <w:szCs w:val="21"/>
                    </w:rPr>
                    <w:t>39</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991" w:type="dxa"/>
                  <w:vAlign w:val="center"/>
                </w:tcPr>
                <w:p>
                  <w:pPr>
                    <w:pStyle w:val="65"/>
                    <w:spacing w:line="240" w:lineRule="auto"/>
                    <w:rPr>
                      <w:b w:val="0"/>
                      <w:bCs/>
                      <w:spacing w:val="-8"/>
                      <w:szCs w:val="21"/>
                    </w:rPr>
                  </w:pPr>
                  <w:r>
                    <w:rPr>
                      <w:b w:val="0"/>
                      <w:bCs/>
                      <w:lang w:bidi="ar"/>
                    </w:rPr>
                    <w:t>CNC精雕机</w:t>
                  </w:r>
                </w:p>
              </w:tc>
              <w:tc>
                <w:tcPr>
                  <w:tcW w:w="426" w:type="dxa"/>
                  <w:vAlign w:val="center"/>
                </w:tcPr>
                <w:p>
                  <w:pPr>
                    <w:pStyle w:val="65"/>
                    <w:spacing w:line="240" w:lineRule="auto"/>
                    <w:rPr>
                      <w:b w:val="0"/>
                      <w:bCs/>
                      <w:spacing w:val="-8"/>
                      <w:szCs w:val="21"/>
                    </w:rPr>
                  </w:pPr>
                  <w:r>
                    <w:rPr>
                      <w:b w:val="0"/>
                      <w:bCs/>
                      <w:lang w:val="en-US"/>
                    </w:rPr>
                    <w:t>40</w:t>
                  </w:r>
                </w:p>
              </w:tc>
              <w:tc>
                <w:tcPr>
                  <w:tcW w:w="853" w:type="dxa"/>
                  <w:vAlign w:val="center"/>
                </w:tcPr>
                <w:p>
                  <w:pPr>
                    <w:pStyle w:val="65"/>
                    <w:spacing w:line="240" w:lineRule="auto"/>
                    <w:rPr>
                      <w:b w:val="0"/>
                      <w:bCs/>
                      <w:spacing w:val="-8"/>
                      <w:szCs w:val="21"/>
                    </w:rPr>
                  </w:pPr>
                  <w:r>
                    <w:rPr>
                      <w:b w:val="0"/>
                      <w:bCs/>
                    </w:rPr>
                    <w:t>75-80</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15</w:t>
                  </w:r>
                </w:p>
              </w:tc>
              <w:tc>
                <w:tcPr>
                  <w:tcW w:w="413" w:type="dxa"/>
                  <w:vAlign w:val="center"/>
                </w:tcPr>
                <w:p>
                  <w:pPr>
                    <w:pStyle w:val="65"/>
                    <w:spacing w:line="240" w:lineRule="auto"/>
                    <w:rPr>
                      <w:b w:val="0"/>
                      <w:bCs/>
                      <w:spacing w:val="-8"/>
                      <w:szCs w:val="21"/>
                    </w:rPr>
                  </w:pPr>
                  <w:r>
                    <w:rPr>
                      <w:b w:val="0"/>
                      <w:bCs/>
                      <w:spacing w:val="-8"/>
                      <w:szCs w:val="21"/>
                    </w:rPr>
                    <w:t>5</w:t>
                  </w:r>
                </w:p>
              </w:tc>
              <w:tc>
                <w:tcPr>
                  <w:tcW w:w="360" w:type="dxa"/>
                  <w:vAlign w:val="center"/>
                </w:tcPr>
                <w:p>
                  <w:pPr>
                    <w:pStyle w:val="65"/>
                    <w:spacing w:line="240" w:lineRule="auto"/>
                    <w:rPr>
                      <w:b w:val="0"/>
                      <w:bCs/>
                      <w:spacing w:val="-8"/>
                      <w:szCs w:val="21"/>
                    </w:rPr>
                  </w:pPr>
                  <w:r>
                    <w:rPr>
                      <w:b w:val="0"/>
                      <w:bCs/>
                      <w:spacing w:val="-8"/>
                      <w:szCs w:val="21"/>
                    </w:rPr>
                    <w:t>3</w:t>
                  </w:r>
                </w:p>
              </w:tc>
              <w:tc>
                <w:tcPr>
                  <w:tcW w:w="633" w:type="dxa"/>
                  <w:vAlign w:val="center"/>
                </w:tcPr>
                <w:p>
                  <w:pPr>
                    <w:pStyle w:val="65"/>
                    <w:spacing w:line="240" w:lineRule="auto"/>
                    <w:rPr>
                      <w:b w:val="0"/>
                      <w:bCs/>
                      <w:spacing w:val="-8"/>
                      <w:szCs w:val="21"/>
                    </w:rPr>
                  </w:pPr>
                  <w:r>
                    <w:rPr>
                      <w:b w:val="0"/>
                      <w:bCs/>
                      <w:spacing w:val="-8"/>
                      <w:szCs w:val="21"/>
                    </w:rPr>
                    <w:t>5</w:t>
                  </w:r>
                </w:p>
              </w:tc>
              <w:tc>
                <w:tcPr>
                  <w:tcW w:w="915" w:type="dxa"/>
                  <w:vAlign w:val="center"/>
                </w:tcPr>
                <w:p>
                  <w:pPr>
                    <w:pStyle w:val="65"/>
                    <w:spacing w:line="240" w:lineRule="auto"/>
                    <w:rPr>
                      <w:b w:val="0"/>
                      <w:bCs/>
                      <w:spacing w:val="-8"/>
                      <w:szCs w:val="21"/>
                    </w:rPr>
                  </w:pPr>
                  <w:r>
                    <w:rPr>
                      <w:rFonts w:hint="eastAsia"/>
                      <w:b w:val="0"/>
                      <w:bCs/>
                      <w:spacing w:val="-8"/>
                      <w:szCs w:val="21"/>
                    </w:rPr>
                    <w:t>6</w:t>
                  </w:r>
                  <w:r>
                    <w:rPr>
                      <w:b w:val="0"/>
                      <w:bCs/>
                      <w:spacing w:val="-8"/>
                      <w:szCs w:val="21"/>
                    </w:rPr>
                    <w:t>0</w:t>
                  </w:r>
                  <w:r>
                    <w:rPr>
                      <w:rFonts w:hint="eastAsia"/>
                      <w:b w:val="0"/>
                      <w:bCs/>
                      <w:spacing w:val="-8"/>
                      <w:szCs w:val="21"/>
                    </w:rPr>
                    <w:t>~</w:t>
                  </w:r>
                  <w:r>
                    <w:rPr>
                      <w:b w:val="0"/>
                      <w:bCs/>
                      <w:spacing w:val="-8"/>
                      <w:szCs w:val="21"/>
                    </w:rPr>
                    <w:t>65</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40</w:t>
                  </w:r>
                  <w:r>
                    <w:rPr>
                      <w:rFonts w:hint="eastAsia"/>
                      <w:b w:val="0"/>
                      <w:bCs/>
                      <w:spacing w:val="-8"/>
                      <w:szCs w:val="21"/>
                    </w:rPr>
                    <w:t>~</w:t>
                  </w:r>
                  <w:r>
                    <w:rPr>
                      <w:rFonts w:eastAsia="等线"/>
                      <w:b w:val="0"/>
                      <w:bCs/>
                      <w:szCs w:val="21"/>
                    </w:rPr>
                    <w:t>45</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平磨机</w:t>
                  </w:r>
                </w:p>
              </w:tc>
              <w:tc>
                <w:tcPr>
                  <w:tcW w:w="426" w:type="dxa"/>
                  <w:vAlign w:val="center"/>
                </w:tcPr>
                <w:p>
                  <w:pPr>
                    <w:pStyle w:val="65"/>
                    <w:spacing w:line="240" w:lineRule="auto"/>
                    <w:rPr>
                      <w:b w:val="0"/>
                      <w:bCs/>
                      <w:spacing w:val="-8"/>
                      <w:szCs w:val="21"/>
                    </w:rPr>
                  </w:pPr>
                  <w:r>
                    <w:rPr>
                      <w:b w:val="0"/>
                      <w:bCs/>
                    </w:rPr>
                    <w:t>10</w:t>
                  </w:r>
                </w:p>
              </w:tc>
              <w:tc>
                <w:tcPr>
                  <w:tcW w:w="853" w:type="dxa"/>
                  <w:vAlign w:val="center"/>
                </w:tcPr>
                <w:p>
                  <w:pPr>
                    <w:pStyle w:val="65"/>
                    <w:spacing w:line="240" w:lineRule="auto"/>
                    <w:rPr>
                      <w:b w:val="0"/>
                      <w:bCs/>
                      <w:spacing w:val="-8"/>
                      <w:szCs w:val="21"/>
                    </w:rPr>
                  </w:pPr>
                  <w:r>
                    <w:rPr>
                      <w:b w:val="0"/>
                      <w:bCs/>
                    </w:rPr>
                    <w:t>80-85</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5</w:t>
                  </w:r>
                </w:p>
              </w:tc>
              <w:tc>
                <w:tcPr>
                  <w:tcW w:w="413" w:type="dxa"/>
                  <w:vAlign w:val="center"/>
                </w:tcPr>
                <w:p>
                  <w:pPr>
                    <w:pStyle w:val="65"/>
                    <w:spacing w:line="240" w:lineRule="auto"/>
                    <w:rPr>
                      <w:b w:val="0"/>
                      <w:bCs/>
                      <w:spacing w:val="-8"/>
                      <w:szCs w:val="21"/>
                    </w:rPr>
                  </w:pPr>
                  <w:r>
                    <w:rPr>
                      <w:b w:val="0"/>
                      <w:bCs/>
                      <w:spacing w:val="-8"/>
                      <w:szCs w:val="21"/>
                    </w:rPr>
                    <w:t>18</w:t>
                  </w:r>
                </w:p>
              </w:tc>
              <w:tc>
                <w:tcPr>
                  <w:tcW w:w="360" w:type="dxa"/>
                  <w:vAlign w:val="center"/>
                </w:tcPr>
                <w:p>
                  <w:pPr>
                    <w:pStyle w:val="65"/>
                    <w:spacing w:line="240" w:lineRule="auto"/>
                    <w:rPr>
                      <w:b w:val="0"/>
                      <w:bCs/>
                      <w:spacing w:val="-8"/>
                      <w:szCs w:val="21"/>
                    </w:rPr>
                  </w:pPr>
                  <w:r>
                    <w:rPr>
                      <w:b w:val="0"/>
                      <w:bCs/>
                      <w:spacing w:val="-8"/>
                      <w:szCs w:val="21"/>
                    </w:rPr>
                    <w:t>9</w:t>
                  </w:r>
                </w:p>
              </w:tc>
              <w:tc>
                <w:tcPr>
                  <w:tcW w:w="633" w:type="dxa"/>
                  <w:vAlign w:val="center"/>
                </w:tcPr>
                <w:p>
                  <w:pPr>
                    <w:pStyle w:val="65"/>
                    <w:spacing w:line="240" w:lineRule="auto"/>
                    <w:rPr>
                      <w:b w:val="0"/>
                      <w:bCs/>
                      <w:spacing w:val="-8"/>
                      <w:szCs w:val="21"/>
                    </w:rPr>
                  </w:pPr>
                  <w:r>
                    <w:rPr>
                      <w:b w:val="0"/>
                      <w:bCs/>
                      <w:spacing w:val="-8"/>
                      <w:szCs w:val="21"/>
                    </w:rPr>
                    <w:t>5</w:t>
                  </w:r>
                </w:p>
              </w:tc>
              <w:tc>
                <w:tcPr>
                  <w:tcW w:w="915" w:type="dxa"/>
                  <w:vAlign w:val="center"/>
                </w:tcPr>
                <w:p>
                  <w:pPr>
                    <w:pStyle w:val="65"/>
                    <w:spacing w:line="240" w:lineRule="auto"/>
                    <w:rPr>
                      <w:b w:val="0"/>
                      <w:bCs/>
                      <w:spacing w:val="-8"/>
                      <w:szCs w:val="21"/>
                    </w:rPr>
                  </w:pPr>
                  <w:r>
                    <w:rPr>
                      <w:rFonts w:hint="eastAsia"/>
                      <w:b w:val="0"/>
                      <w:bCs/>
                      <w:spacing w:val="-8"/>
                      <w:szCs w:val="21"/>
                    </w:rPr>
                    <w:t>6</w:t>
                  </w:r>
                  <w:r>
                    <w:rPr>
                      <w:b w:val="0"/>
                      <w:bCs/>
                      <w:spacing w:val="-8"/>
                      <w:szCs w:val="21"/>
                    </w:rPr>
                    <w:t>5</w:t>
                  </w:r>
                  <w:r>
                    <w:rPr>
                      <w:rFonts w:hint="eastAsia"/>
                      <w:b w:val="0"/>
                      <w:bCs/>
                      <w:spacing w:val="-8"/>
                      <w:szCs w:val="21"/>
                    </w:rPr>
                    <w:t>~</w:t>
                  </w:r>
                  <w:r>
                    <w:rPr>
                      <w:b w:val="0"/>
                      <w:bCs/>
                      <w:spacing w:val="-8"/>
                      <w:szCs w:val="21"/>
                    </w:rPr>
                    <w:t>70</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45</w:t>
                  </w:r>
                  <w:r>
                    <w:rPr>
                      <w:rFonts w:hint="eastAsia"/>
                      <w:b w:val="0"/>
                      <w:bCs/>
                      <w:spacing w:val="-8"/>
                      <w:szCs w:val="21"/>
                    </w:rPr>
                    <w:t>~</w:t>
                  </w:r>
                  <w:r>
                    <w:rPr>
                      <w:rFonts w:eastAsia="等线"/>
                      <w:b w:val="0"/>
                      <w:bCs/>
                      <w:szCs w:val="21"/>
                    </w:rPr>
                    <w:t>50</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钢化炉</w:t>
                  </w:r>
                </w:p>
              </w:tc>
              <w:tc>
                <w:tcPr>
                  <w:tcW w:w="426" w:type="dxa"/>
                  <w:vAlign w:val="center"/>
                </w:tcPr>
                <w:p>
                  <w:pPr>
                    <w:pStyle w:val="65"/>
                    <w:spacing w:line="240" w:lineRule="auto"/>
                    <w:rPr>
                      <w:b w:val="0"/>
                      <w:bCs/>
                      <w:spacing w:val="-8"/>
                      <w:szCs w:val="21"/>
                    </w:rPr>
                  </w:pPr>
                  <w:r>
                    <w:rPr>
                      <w:b w:val="0"/>
                      <w:bCs/>
                      <w:lang w:val="en-US"/>
                    </w:rPr>
                    <w:t>5</w:t>
                  </w:r>
                </w:p>
              </w:tc>
              <w:tc>
                <w:tcPr>
                  <w:tcW w:w="853" w:type="dxa"/>
                  <w:vAlign w:val="center"/>
                </w:tcPr>
                <w:p>
                  <w:pPr>
                    <w:pStyle w:val="65"/>
                    <w:spacing w:line="240" w:lineRule="auto"/>
                    <w:rPr>
                      <w:b w:val="0"/>
                      <w:bCs/>
                      <w:spacing w:val="-8"/>
                      <w:szCs w:val="21"/>
                    </w:rPr>
                  </w:pPr>
                  <w:r>
                    <w:rPr>
                      <w:b w:val="0"/>
                      <w:bCs/>
                    </w:rPr>
                    <w:t>80-85</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10</w:t>
                  </w:r>
                </w:p>
              </w:tc>
              <w:tc>
                <w:tcPr>
                  <w:tcW w:w="413" w:type="dxa"/>
                  <w:vAlign w:val="center"/>
                </w:tcPr>
                <w:p>
                  <w:pPr>
                    <w:pStyle w:val="65"/>
                    <w:spacing w:line="240" w:lineRule="auto"/>
                    <w:rPr>
                      <w:b w:val="0"/>
                      <w:bCs/>
                      <w:spacing w:val="-8"/>
                      <w:szCs w:val="21"/>
                    </w:rPr>
                  </w:pPr>
                  <w:r>
                    <w:rPr>
                      <w:b w:val="0"/>
                      <w:bCs/>
                      <w:spacing w:val="-8"/>
                      <w:szCs w:val="21"/>
                    </w:rPr>
                    <w:t>5</w:t>
                  </w:r>
                </w:p>
              </w:tc>
              <w:tc>
                <w:tcPr>
                  <w:tcW w:w="360" w:type="dxa"/>
                  <w:vAlign w:val="center"/>
                </w:tcPr>
                <w:p>
                  <w:pPr>
                    <w:pStyle w:val="65"/>
                    <w:spacing w:line="240" w:lineRule="auto"/>
                    <w:rPr>
                      <w:b w:val="0"/>
                      <w:bCs/>
                      <w:spacing w:val="-8"/>
                      <w:szCs w:val="21"/>
                    </w:rPr>
                  </w:pPr>
                  <w:r>
                    <w:rPr>
                      <w:b w:val="0"/>
                      <w:bCs/>
                      <w:spacing w:val="-8"/>
                      <w:szCs w:val="21"/>
                    </w:rPr>
                    <w:t>3</w:t>
                  </w:r>
                </w:p>
              </w:tc>
              <w:tc>
                <w:tcPr>
                  <w:tcW w:w="633" w:type="dxa"/>
                  <w:vAlign w:val="center"/>
                </w:tcPr>
                <w:p>
                  <w:pPr>
                    <w:pStyle w:val="65"/>
                    <w:spacing w:line="240" w:lineRule="auto"/>
                    <w:rPr>
                      <w:b w:val="0"/>
                      <w:bCs/>
                      <w:spacing w:val="-8"/>
                      <w:szCs w:val="21"/>
                    </w:rPr>
                  </w:pPr>
                  <w:r>
                    <w:rPr>
                      <w:b w:val="0"/>
                      <w:bCs/>
                      <w:spacing w:val="-8"/>
                      <w:szCs w:val="21"/>
                    </w:rPr>
                    <w:t>5</w:t>
                  </w:r>
                </w:p>
              </w:tc>
              <w:tc>
                <w:tcPr>
                  <w:tcW w:w="915" w:type="dxa"/>
                  <w:vAlign w:val="center"/>
                </w:tcPr>
                <w:p>
                  <w:pPr>
                    <w:pStyle w:val="65"/>
                    <w:spacing w:line="240" w:lineRule="auto"/>
                    <w:rPr>
                      <w:b w:val="0"/>
                      <w:bCs/>
                      <w:spacing w:val="-8"/>
                      <w:szCs w:val="21"/>
                    </w:rPr>
                  </w:pPr>
                  <w:r>
                    <w:rPr>
                      <w:b w:val="0"/>
                      <w:bCs/>
                      <w:spacing w:val="-8"/>
                      <w:szCs w:val="21"/>
                    </w:rPr>
                    <w:t>65</w:t>
                  </w:r>
                  <w:r>
                    <w:rPr>
                      <w:rFonts w:hint="eastAsia"/>
                      <w:b w:val="0"/>
                      <w:bCs/>
                      <w:spacing w:val="-8"/>
                      <w:szCs w:val="21"/>
                    </w:rPr>
                    <w:t>~</w:t>
                  </w:r>
                  <w:r>
                    <w:rPr>
                      <w:b w:val="0"/>
                      <w:bCs/>
                      <w:spacing w:val="-8"/>
                      <w:szCs w:val="21"/>
                    </w:rPr>
                    <w:t>70</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45</w:t>
                  </w:r>
                  <w:r>
                    <w:rPr>
                      <w:rFonts w:hint="eastAsia"/>
                      <w:b w:val="0"/>
                      <w:bCs/>
                      <w:spacing w:val="-8"/>
                      <w:szCs w:val="21"/>
                    </w:rPr>
                    <w:t>~</w:t>
                  </w:r>
                  <w:r>
                    <w:rPr>
                      <w:rFonts w:eastAsia="等线"/>
                      <w:b w:val="0"/>
                      <w:bCs/>
                      <w:szCs w:val="21"/>
                    </w:rPr>
                    <w:t>50</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烘烤炉</w:t>
                  </w:r>
                </w:p>
              </w:tc>
              <w:tc>
                <w:tcPr>
                  <w:tcW w:w="426" w:type="dxa"/>
                  <w:vAlign w:val="center"/>
                </w:tcPr>
                <w:p>
                  <w:pPr>
                    <w:pStyle w:val="65"/>
                    <w:spacing w:line="240" w:lineRule="auto"/>
                    <w:rPr>
                      <w:b w:val="0"/>
                      <w:bCs/>
                      <w:spacing w:val="-8"/>
                      <w:szCs w:val="21"/>
                    </w:rPr>
                  </w:pPr>
                  <w:r>
                    <w:rPr>
                      <w:b w:val="0"/>
                      <w:bCs/>
                      <w:lang w:val="en-US"/>
                    </w:rPr>
                    <w:t>5</w:t>
                  </w:r>
                </w:p>
              </w:tc>
              <w:tc>
                <w:tcPr>
                  <w:tcW w:w="853" w:type="dxa"/>
                  <w:vAlign w:val="center"/>
                </w:tcPr>
                <w:p>
                  <w:pPr>
                    <w:pStyle w:val="65"/>
                    <w:spacing w:line="240" w:lineRule="auto"/>
                    <w:rPr>
                      <w:b w:val="0"/>
                      <w:bCs/>
                      <w:spacing w:val="-8"/>
                      <w:szCs w:val="21"/>
                    </w:rPr>
                  </w:pPr>
                  <w:r>
                    <w:rPr>
                      <w:b w:val="0"/>
                      <w:bCs/>
                    </w:rPr>
                    <w:t>75-80</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8</w:t>
                  </w:r>
                </w:p>
              </w:tc>
              <w:tc>
                <w:tcPr>
                  <w:tcW w:w="413" w:type="dxa"/>
                  <w:vAlign w:val="center"/>
                </w:tcPr>
                <w:p>
                  <w:pPr>
                    <w:pStyle w:val="65"/>
                    <w:spacing w:line="240" w:lineRule="auto"/>
                    <w:rPr>
                      <w:b w:val="0"/>
                      <w:bCs/>
                      <w:spacing w:val="-8"/>
                      <w:szCs w:val="21"/>
                    </w:rPr>
                  </w:pPr>
                  <w:r>
                    <w:rPr>
                      <w:b w:val="0"/>
                      <w:bCs/>
                      <w:spacing w:val="-8"/>
                      <w:szCs w:val="21"/>
                    </w:rPr>
                    <w:t>5</w:t>
                  </w:r>
                </w:p>
              </w:tc>
              <w:tc>
                <w:tcPr>
                  <w:tcW w:w="360" w:type="dxa"/>
                  <w:vAlign w:val="center"/>
                </w:tcPr>
                <w:p>
                  <w:pPr>
                    <w:pStyle w:val="65"/>
                    <w:spacing w:line="240" w:lineRule="auto"/>
                    <w:rPr>
                      <w:b w:val="0"/>
                      <w:bCs/>
                      <w:spacing w:val="-8"/>
                      <w:szCs w:val="21"/>
                    </w:rPr>
                  </w:pPr>
                  <w:r>
                    <w:rPr>
                      <w:b w:val="0"/>
                      <w:bCs/>
                      <w:spacing w:val="-8"/>
                      <w:szCs w:val="21"/>
                    </w:rPr>
                    <w:t>6</w:t>
                  </w:r>
                </w:p>
              </w:tc>
              <w:tc>
                <w:tcPr>
                  <w:tcW w:w="633" w:type="dxa"/>
                  <w:vAlign w:val="center"/>
                </w:tcPr>
                <w:p>
                  <w:pPr>
                    <w:pStyle w:val="65"/>
                    <w:spacing w:line="240" w:lineRule="auto"/>
                    <w:rPr>
                      <w:b w:val="0"/>
                      <w:bCs/>
                      <w:spacing w:val="-8"/>
                      <w:szCs w:val="21"/>
                    </w:rPr>
                  </w:pPr>
                  <w:r>
                    <w:rPr>
                      <w:b w:val="0"/>
                      <w:bCs/>
                      <w:spacing w:val="-8"/>
                      <w:szCs w:val="21"/>
                    </w:rPr>
                    <w:t>5</w:t>
                  </w:r>
                </w:p>
              </w:tc>
              <w:tc>
                <w:tcPr>
                  <w:tcW w:w="915" w:type="dxa"/>
                  <w:vAlign w:val="center"/>
                </w:tcPr>
                <w:p>
                  <w:pPr>
                    <w:pStyle w:val="65"/>
                    <w:spacing w:line="240" w:lineRule="auto"/>
                    <w:rPr>
                      <w:b w:val="0"/>
                      <w:bCs/>
                      <w:spacing w:val="-8"/>
                      <w:szCs w:val="21"/>
                    </w:rPr>
                  </w:pPr>
                  <w:r>
                    <w:rPr>
                      <w:rFonts w:hint="eastAsia"/>
                      <w:b w:val="0"/>
                      <w:bCs/>
                      <w:spacing w:val="-8"/>
                      <w:szCs w:val="21"/>
                    </w:rPr>
                    <w:t>6</w:t>
                  </w:r>
                  <w:r>
                    <w:rPr>
                      <w:b w:val="0"/>
                      <w:bCs/>
                      <w:spacing w:val="-8"/>
                      <w:szCs w:val="21"/>
                    </w:rPr>
                    <w:t>0</w:t>
                  </w:r>
                  <w:r>
                    <w:rPr>
                      <w:rFonts w:hint="eastAsia"/>
                      <w:b w:val="0"/>
                      <w:bCs/>
                      <w:spacing w:val="-8"/>
                      <w:szCs w:val="21"/>
                    </w:rPr>
                    <w:t>~</w:t>
                  </w:r>
                  <w:r>
                    <w:rPr>
                      <w:b w:val="0"/>
                      <w:bCs/>
                      <w:spacing w:val="-8"/>
                      <w:szCs w:val="21"/>
                    </w:rPr>
                    <w:t>65</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40</w:t>
                  </w:r>
                  <w:r>
                    <w:rPr>
                      <w:rFonts w:hint="eastAsia"/>
                      <w:b w:val="0"/>
                      <w:bCs/>
                      <w:spacing w:val="-8"/>
                      <w:szCs w:val="21"/>
                    </w:rPr>
                    <w:t>~</w:t>
                  </w:r>
                  <w:r>
                    <w:rPr>
                      <w:rFonts w:eastAsia="等线"/>
                      <w:b w:val="0"/>
                      <w:bCs/>
                      <w:szCs w:val="21"/>
                    </w:rPr>
                    <w:t>45</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隧道炉</w:t>
                  </w:r>
                </w:p>
              </w:tc>
              <w:tc>
                <w:tcPr>
                  <w:tcW w:w="426" w:type="dxa"/>
                  <w:vAlign w:val="center"/>
                </w:tcPr>
                <w:p>
                  <w:pPr>
                    <w:pStyle w:val="65"/>
                    <w:spacing w:line="240" w:lineRule="auto"/>
                    <w:rPr>
                      <w:b w:val="0"/>
                      <w:bCs/>
                      <w:spacing w:val="-8"/>
                      <w:szCs w:val="21"/>
                    </w:rPr>
                  </w:pPr>
                  <w:r>
                    <w:rPr>
                      <w:b w:val="0"/>
                      <w:bCs/>
                    </w:rPr>
                    <w:t>6</w:t>
                  </w:r>
                </w:p>
              </w:tc>
              <w:tc>
                <w:tcPr>
                  <w:tcW w:w="853" w:type="dxa"/>
                  <w:vAlign w:val="center"/>
                </w:tcPr>
                <w:p>
                  <w:pPr>
                    <w:pStyle w:val="65"/>
                    <w:spacing w:line="240" w:lineRule="auto"/>
                    <w:rPr>
                      <w:b w:val="0"/>
                      <w:bCs/>
                      <w:spacing w:val="-8"/>
                      <w:szCs w:val="21"/>
                    </w:rPr>
                  </w:pPr>
                  <w:r>
                    <w:rPr>
                      <w:b w:val="0"/>
                      <w:bCs/>
                    </w:rPr>
                    <w:t>80-85</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12</w:t>
                  </w:r>
                </w:p>
              </w:tc>
              <w:tc>
                <w:tcPr>
                  <w:tcW w:w="413" w:type="dxa"/>
                  <w:vAlign w:val="center"/>
                </w:tcPr>
                <w:p>
                  <w:pPr>
                    <w:pStyle w:val="65"/>
                    <w:spacing w:line="240" w:lineRule="auto"/>
                    <w:rPr>
                      <w:b w:val="0"/>
                      <w:bCs/>
                      <w:spacing w:val="-8"/>
                      <w:szCs w:val="21"/>
                    </w:rPr>
                  </w:pPr>
                  <w:r>
                    <w:rPr>
                      <w:b w:val="0"/>
                      <w:bCs/>
                      <w:spacing w:val="-8"/>
                      <w:szCs w:val="21"/>
                    </w:rPr>
                    <w:t>8</w:t>
                  </w:r>
                </w:p>
              </w:tc>
              <w:tc>
                <w:tcPr>
                  <w:tcW w:w="360" w:type="dxa"/>
                  <w:vAlign w:val="center"/>
                </w:tcPr>
                <w:p>
                  <w:pPr>
                    <w:pStyle w:val="65"/>
                    <w:spacing w:line="240" w:lineRule="auto"/>
                    <w:rPr>
                      <w:b w:val="0"/>
                      <w:bCs/>
                      <w:spacing w:val="-8"/>
                      <w:szCs w:val="21"/>
                    </w:rPr>
                  </w:pPr>
                  <w:r>
                    <w:rPr>
                      <w:b w:val="0"/>
                      <w:bCs/>
                      <w:spacing w:val="-8"/>
                      <w:szCs w:val="21"/>
                    </w:rPr>
                    <w:t>3</w:t>
                  </w:r>
                </w:p>
              </w:tc>
              <w:tc>
                <w:tcPr>
                  <w:tcW w:w="633" w:type="dxa"/>
                  <w:vAlign w:val="center"/>
                </w:tcPr>
                <w:p>
                  <w:pPr>
                    <w:pStyle w:val="65"/>
                    <w:spacing w:line="240" w:lineRule="auto"/>
                    <w:rPr>
                      <w:b w:val="0"/>
                      <w:bCs/>
                      <w:spacing w:val="-8"/>
                      <w:szCs w:val="21"/>
                    </w:rPr>
                  </w:pPr>
                  <w:r>
                    <w:rPr>
                      <w:b w:val="0"/>
                      <w:bCs/>
                      <w:spacing w:val="-8"/>
                      <w:szCs w:val="21"/>
                    </w:rPr>
                    <w:t>8</w:t>
                  </w:r>
                </w:p>
              </w:tc>
              <w:tc>
                <w:tcPr>
                  <w:tcW w:w="915" w:type="dxa"/>
                  <w:vAlign w:val="center"/>
                </w:tcPr>
                <w:p>
                  <w:pPr>
                    <w:pStyle w:val="65"/>
                    <w:spacing w:line="240" w:lineRule="auto"/>
                    <w:rPr>
                      <w:b w:val="0"/>
                      <w:bCs/>
                      <w:spacing w:val="-8"/>
                      <w:szCs w:val="21"/>
                    </w:rPr>
                  </w:pPr>
                  <w:r>
                    <w:rPr>
                      <w:rFonts w:hint="eastAsia"/>
                      <w:b w:val="0"/>
                      <w:bCs/>
                      <w:spacing w:val="-8"/>
                      <w:szCs w:val="21"/>
                    </w:rPr>
                    <w:t>5</w:t>
                  </w:r>
                  <w:r>
                    <w:rPr>
                      <w:b w:val="0"/>
                      <w:bCs/>
                      <w:spacing w:val="-8"/>
                      <w:szCs w:val="21"/>
                    </w:rPr>
                    <w:t>6</w:t>
                  </w:r>
                  <w:r>
                    <w:rPr>
                      <w:rFonts w:hint="eastAsia"/>
                      <w:b w:val="0"/>
                      <w:bCs/>
                      <w:spacing w:val="-8"/>
                      <w:szCs w:val="21"/>
                    </w:rPr>
                    <w:t>~</w:t>
                  </w:r>
                  <w:r>
                    <w:rPr>
                      <w:b w:val="0"/>
                      <w:bCs/>
                      <w:spacing w:val="-8"/>
                      <w:szCs w:val="21"/>
                    </w:rPr>
                    <w:t>61</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36</w:t>
                  </w:r>
                  <w:r>
                    <w:rPr>
                      <w:rFonts w:hint="eastAsia"/>
                      <w:b w:val="0"/>
                      <w:bCs/>
                      <w:spacing w:val="-8"/>
                      <w:szCs w:val="21"/>
                    </w:rPr>
                    <w:t>~</w:t>
                  </w:r>
                  <w:r>
                    <w:rPr>
                      <w:rFonts w:eastAsia="等线"/>
                      <w:b w:val="0"/>
                      <w:bCs/>
                      <w:szCs w:val="21"/>
                    </w:rPr>
                    <w:t>41</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等离子清洗机</w:t>
                  </w:r>
                </w:p>
              </w:tc>
              <w:tc>
                <w:tcPr>
                  <w:tcW w:w="426" w:type="dxa"/>
                  <w:vAlign w:val="center"/>
                </w:tcPr>
                <w:p>
                  <w:pPr>
                    <w:pStyle w:val="65"/>
                    <w:spacing w:line="240" w:lineRule="auto"/>
                    <w:rPr>
                      <w:b w:val="0"/>
                      <w:bCs/>
                      <w:spacing w:val="-8"/>
                      <w:szCs w:val="21"/>
                    </w:rPr>
                  </w:pPr>
                  <w:r>
                    <w:rPr>
                      <w:b w:val="0"/>
                      <w:bCs/>
                      <w:lang w:val="en-US"/>
                    </w:rPr>
                    <w:t>5</w:t>
                  </w:r>
                </w:p>
              </w:tc>
              <w:tc>
                <w:tcPr>
                  <w:tcW w:w="853" w:type="dxa"/>
                  <w:vAlign w:val="center"/>
                </w:tcPr>
                <w:p>
                  <w:pPr>
                    <w:pStyle w:val="65"/>
                    <w:spacing w:line="240" w:lineRule="auto"/>
                    <w:rPr>
                      <w:b w:val="0"/>
                      <w:bCs/>
                      <w:spacing w:val="-8"/>
                      <w:szCs w:val="21"/>
                    </w:rPr>
                  </w:pPr>
                  <w:r>
                    <w:rPr>
                      <w:b w:val="0"/>
                      <w:bCs/>
                    </w:rPr>
                    <w:t>80-85</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10</w:t>
                  </w:r>
                </w:p>
              </w:tc>
              <w:tc>
                <w:tcPr>
                  <w:tcW w:w="413" w:type="dxa"/>
                  <w:vAlign w:val="center"/>
                </w:tcPr>
                <w:p>
                  <w:pPr>
                    <w:pStyle w:val="65"/>
                    <w:spacing w:line="240" w:lineRule="auto"/>
                    <w:rPr>
                      <w:b w:val="0"/>
                      <w:bCs/>
                      <w:spacing w:val="-8"/>
                      <w:szCs w:val="21"/>
                    </w:rPr>
                  </w:pPr>
                  <w:r>
                    <w:rPr>
                      <w:b w:val="0"/>
                      <w:bCs/>
                      <w:spacing w:val="-8"/>
                      <w:szCs w:val="21"/>
                    </w:rPr>
                    <w:t>2</w:t>
                  </w:r>
                </w:p>
              </w:tc>
              <w:tc>
                <w:tcPr>
                  <w:tcW w:w="360" w:type="dxa"/>
                  <w:vAlign w:val="center"/>
                </w:tcPr>
                <w:p>
                  <w:pPr>
                    <w:pStyle w:val="65"/>
                    <w:spacing w:line="240" w:lineRule="auto"/>
                    <w:rPr>
                      <w:b w:val="0"/>
                      <w:bCs/>
                      <w:spacing w:val="-8"/>
                      <w:szCs w:val="21"/>
                    </w:rPr>
                  </w:pPr>
                  <w:r>
                    <w:rPr>
                      <w:b w:val="0"/>
                      <w:bCs/>
                      <w:spacing w:val="-8"/>
                      <w:szCs w:val="21"/>
                    </w:rPr>
                    <w:t>9</w:t>
                  </w:r>
                </w:p>
              </w:tc>
              <w:tc>
                <w:tcPr>
                  <w:tcW w:w="633" w:type="dxa"/>
                  <w:vAlign w:val="center"/>
                </w:tcPr>
                <w:p>
                  <w:pPr>
                    <w:pStyle w:val="65"/>
                    <w:spacing w:line="240" w:lineRule="auto"/>
                    <w:rPr>
                      <w:b w:val="0"/>
                      <w:bCs/>
                      <w:spacing w:val="-8"/>
                      <w:szCs w:val="21"/>
                    </w:rPr>
                  </w:pPr>
                  <w:r>
                    <w:rPr>
                      <w:b w:val="0"/>
                      <w:bCs/>
                      <w:spacing w:val="-8"/>
                      <w:szCs w:val="21"/>
                    </w:rPr>
                    <w:t>10</w:t>
                  </w:r>
                </w:p>
              </w:tc>
              <w:tc>
                <w:tcPr>
                  <w:tcW w:w="915" w:type="dxa"/>
                  <w:vAlign w:val="center"/>
                </w:tcPr>
                <w:p>
                  <w:pPr>
                    <w:pStyle w:val="65"/>
                    <w:spacing w:line="240" w:lineRule="auto"/>
                    <w:rPr>
                      <w:b w:val="0"/>
                      <w:bCs/>
                      <w:spacing w:val="-8"/>
                      <w:szCs w:val="21"/>
                    </w:rPr>
                  </w:pPr>
                  <w:r>
                    <w:rPr>
                      <w:rFonts w:hint="eastAsia"/>
                      <w:b w:val="0"/>
                      <w:bCs/>
                      <w:spacing w:val="-8"/>
                      <w:szCs w:val="21"/>
                    </w:rPr>
                    <w:t>5</w:t>
                  </w:r>
                  <w:r>
                    <w:rPr>
                      <w:b w:val="0"/>
                      <w:bCs/>
                      <w:spacing w:val="-8"/>
                      <w:szCs w:val="21"/>
                    </w:rPr>
                    <w:t>0</w:t>
                  </w:r>
                  <w:r>
                    <w:rPr>
                      <w:rFonts w:hint="eastAsia"/>
                      <w:b w:val="0"/>
                      <w:bCs/>
                      <w:spacing w:val="-8"/>
                      <w:szCs w:val="21"/>
                    </w:rPr>
                    <w:t>~</w:t>
                  </w:r>
                  <w:r>
                    <w:rPr>
                      <w:b w:val="0"/>
                      <w:bCs/>
                      <w:spacing w:val="-8"/>
                      <w:szCs w:val="21"/>
                    </w:rPr>
                    <w:t>55</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30</w:t>
                  </w:r>
                  <w:r>
                    <w:rPr>
                      <w:rFonts w:hint="eastAsia"/>
                      <w:b w:val="0"/>
                      <w:bCs/>
                      <w:spacing w:val="-8"/>
                      <w:szCs w:val="21"/>
                    </w:rPr>
                    <w:t>~</w:t>
                  </w:r>
                  <w:r>
                    <w:rPr>
                      <w:rFonts w:eastAsia="等线"/>
                      <w:b w:val="0"/>
                      <w:bCs/>
                      <w:szCs w:val="21"/>
                    </w:rPr>
                    <w:t>35</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喷涂机</w:t>
                  </w:r>
                </w:p>
              </w:tc>
              <w:tc>
                <w:tcPr>
                  <w:tcW w:w="426" w:type="dxa"/>
                  <w:vAlign w:val="center"/>
                </w:tcPr>
                <w:p>
                  <w:pPr>
                    <w:pStyle w:val="65"/>
                    <w:spacing w:line="240" w:lineRule="auto"/>
                    <w:rPr>
                      <w:b w:val="0"/>
                      <w:bCs/>
                      <w:spacing w:val="-8"/>
                      <w:szCs w:val="21"/>
                    </w:rPr>
                  </w:pPr>
                  <w:r>
                    <w:rPr>
                      <w:b w:val="0"/>
                      <w:bCs/>
                      <w:lang w:val="en-US"/>
                    </w:rPr>
                    <w:t>5</w:t>
                  </w:r>
                </w:p>
              </w:tc>
              <w:tc>
                <w:tcPr>
                  <w:tcW w:w="853" w:type="dxa"/>
                  <w:vAlign w:val="center"/>
                </w:tcPr>
                <w:p>
                  <w:pPr>
                    <w:pStyle w:val="65"/>
                    <w:spacing w:line="240" w:lineRule="auto"/>
                    <w:rPr>
                      <w:b w:val="0"/>
                      <w:bCs/>
                      <w:spacing w:val="-8"/>
                      <w:szCs w:val="21"/>
                    </w:rPr>
                  </w:pPr>
                  <w:r>
                    <w:rPr>
                      <w:b w:val="0"/>
                      <w:bCs/>
                    </w:rPr>
                    <w:t>80-85</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7</w:t>
                  </w:r>
                </w:p>
              </w:tc>
              <w:tc>
                <w:tcPr>
                  <w:tcW w:w="413" w:type="dxa"/>
                  <w:vAlign w:val="center"/>
                </w:tcPr>
                <w:p>
                  <w:pPr>
                    <w:pStyle w:val="65"/>
                    <w:spacing w:line="240" w:lineRule="auto"/>
                    <w:rPr>
                      <w:b w:val="0"/>
                      <w:bCs/>
                      <w:spacing w:val="-8"/>
                      <w:szCs w:val="21"/>
                    </w:rPr>
                  </w:pPr>
                  <w:r>
                    <w:rPr>
                      <w:b w:val="0"/>
                      <w:bCs/>
                      <w:spacing w:val="-8"/>
                      <w:szCs w:val="21"/>
                    </w:rPr>
                    <w:t>9</w:t>
                  </w:r>
                </w:p>
              </w:tc>
              <w:tc>
                <w:tcPr>
                  <w:tcW w:w="360" w:type="dxa"/>
                  <w:vAlign w:val="center"/>
                </w:tcPr>
                <w:p>
                  <w:pPr>
                    <w:pStyle w:val="65"/>
                    <w:spacing w:line="240" w:lineRule="auto"/>
                    <w:rPr>
                      <w:b w:val="0"/>
                      <w:bCs/>
                      <w:spacing w:val="-8"/>
                      <w:szCs w:val="21"/>
                    </w:rPr>
                  </w:pPr>
                  <w:r>
                    <w:rPr>
                      <w:b w:val="0"/>
                      <w:bCs/>
                      <w:spacing w:val="-8"/>
                      <w:szCs w:val="21"/>
                    </w:rPr>
                    <w:t>3</w:t>
                  </w:r>
                </w:p>
              </w:tc>
              <w:tc>
                <w:tcPr>
                  <w:tcW w:w="633" w:type="dxa"/>
                  <w:vAlign w:val="center"/>
                </w:tcPr>
                <w:p>
                  <w:pPr>
                    <w:pStyle w:val="65"/>
                    <w:spacing w:line="240" w:lineRule="auto"/>
                    <w:rPr>
                      <w:b w:val="0"/>
                      <w:bCs/>
                      <w:spacing w:val="-8"/>
                      <w:szCs w:val="21"/>
                    </w:rPr>
                  </w:pPr>
                  <w:r>
                    <w:rPr>
                      <w:b w:val="0"/>
                      <w:bCs/>
                      <w:spacing w:val="-8"/>
                      <w:szCs w:val="21"/>
                    </w:rPr>
                    <w:t>7</w:t>
                  </w:r>
                </w:p>
              </w:tc>
              <w:tc>
                <w:tcPr>
                  <w:tcW w:w="915" w:type="dxa"/>
                  <w:vAlign w:val="center"/>
                </w:tcPr>
                <w:p>
                  <w:pPr>
                    <w:pStyle w:val="65"/>
                    <w:spacing w:line="240" w:lineRule="auto"/>
                    <w:rPr>
                      <w:b w:val="0"/>
                      <w:bCs/>
                      <w:spacing w:val="-8"/>
                      <w:szCs w:val="21"/>
                    </w:rPr>
                  </w:pPr>
                  <w:r>
                    <w:rPr>
                      <w:rFonts w:hint="eastAsia"/>
                      <w:b w:val="0"/>
                      <w:bCs/>
                      <w:spacing w:val="-8"/>
                      <w:szCs w:val="21"/>
                    </w:rPr>
                    <w:t>5</w:t>
                  </w:r>
                  <w:r>
                    <w:rPr>
                      <w:b w:val="0"/>
                      <w:bCs/>
                      <w:spacing w:val="-8"/>
                      <w:szCs w:val="21"/>
                    </w:rPr>
                    <w:t>9</w:t>
                  </w:r>
                  <w:r>
                    <w:rPr>
                      <w:rFonts w:hint="eastAsia"/>
                      <w:b w:val="0"/>
                      <w:bCs/>
                      <w:spacing w:val="-8"/>
                      <w:szCs w:val="21"/>
                    </w:rPr>
                    <w:t>~</w:t>
                  </w:r>
                  <w:r>
                    <w:rPr>
                      <w:b w:val="0"/>
                      <w:bCs/>
                      <w:spacing w:val="-8"/>
                      <w:szCs w:val="21"/>
                    </w:rPr>
                    <w:t>64</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39</w:t>
                  </w:r>
                  <w:r>
                    <w:rPr>
                      <w:rFonts w:hint="eastAsia"/>
                      <w:b w:val="0"/>
                      <w:bCs/>
                      <w:spacing w:val="-8"/>
                      <w:szCs w:val="21"/>
                    </w:rPr>
                    <w:t>~</w:t>
                  </w:r>
                  <w:r>
                    <w:rPr>
                      <w:rFonts w:eastAsia="等线"/>
                      <w:b w:val="0"/>
                      <w:bCs/>
                      <w:szCs w:val="21"/>
                    </w:rPr>
                    <w:t>44</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spacing w:val="-8"/>
                      <w:szCs w:val="21"/>
                    </w:rPr>
                  </w:pPr>
                  <w:r>
                    <w:rPr>
                      <w:b w:val="0"/>
                      <w:bCs/>
                    </w:rPr>
                    <w:t>印刷机</w:t>
                  </w:r>
                </w:p>
              </w:tc>
              <w:tc>
                <w:tcPr>
                  <w:tcW w:w="426" w:type="dxa"/>
                  <w:vAlign w:val="center"/>
                </w:tcPr>
                <w:p>
                  <w:pPr>
                    <w:pStyle w:val="65"/>
                    <w:spacing w:line="240" w:lineRule="auto"/>
                    <w:rPr>
                      <w:b w:val="0"/>
                      <w:bCs/>
                      <w:spacing w:val="-8"/>
                      <w:szCs w:val="21"/>
                    </w:rPr>
                  </w:pPr>
                  <w:r>
                    <w:rPr>
                      <w:b w:val="0"/>
                      <w:bCs/>
                      <w:lang w:val="en-US"/>
                    </w:rPr>
                    <w:t>2</w:t>
                  </w:r>
                  <w:r>
                    <w:rPr>
                      <w:b w:val="0"/>
                      <w:bCs/>
                    </w:rPr>
                    <w:t>0</w:t>
                  </w:r>
                </w:p>
              </w:tc>
              <w:tc>
                <w:tcPr>
                  <w:tcW w:w="853" w:type="dxa"/>
                  <w:vAlign w:val="center"/>
                </w:tcPr>
                <w:p>
                  <w:pPr>
                    <w:pStyle w:val="65"/>
                    <w:spacing w:line="240" w:lineRule="auto"/>
                    <w:rPr>
                      <w:b w:val="0"/>
                      <w:bCs/>
                      <w:spacing w:val="-8"/>
                      <w:szCs w:val="21"/>
                    </w:rPr>
                  </w:pPr>
                  <w:r>
                    <w:rPr>
                      <w:b w:val="0"/>
                      <w:bCs/>
                    </w:rPr>
                    <w:t>80-85</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6</w:t>
                  </w:r>
                </w:p>
              </w:tc>
              <w:tc>
                <w:tcPr>
                  <w:tcW w:w="413" w:type="dxa"/>
                  <w:vAlign w:val="center"/>
                </w:tcPr>
                <w:p>
                  <w:pPr>
                    <w:pStyle w:val="65"/>
                    <w:spacing w:line="240" w:lineRule="auto"/>
                    <w:rPr>
                      <w:b w:val="0"/>
                      <w:bCs/>
                      <w:spacing w:val="-8"/>
                      <w:szCs w:val="21"/>
                    </w:rPr>
                  </w:pPr>
                  <w:r>
                    <w:rPr>
                      <w:b w:val="0"/>
                      <w:bCs/>
                      <w:spacing w:val="-8"/>
                      <w:szCs w:val="21"/>
                    </w:rPr>
                    <w:t>15</w:t>
                  </w:r>
                </w:p>
              </w:tc>
              <w:tc>
                <w:tcPr>
                  <w:tcW w:w="360" w:type="dxa"/>
                  <w:vAlign w:val="center"/>
                </w:tcPr>
                <w:p>
                  <w:pPr>
                    <w:pStyle w:val="65"/>
                    <w:spacing w:line="240" w:lineRule="auto"/>
                    <w:rPr>
                      <w:b w:val="0"/>
                      <w:bCs/>
                      <w:spacing w:val="-8"/>
                      <w:szCs w:val="21"/>
                    </w:rPr>
                  </w:pPr>
                  <w:r>
                    <w:rPr>
                      <w:b w:val="0"/>
                      <w:bCs/>
                      <w:spacing w:val="-8"/>
                      <w:szCs w:val="21"/>
                    </w:rPr>
                    <w:t>9</w:t>
                  </w:r>
                </w:p>
              </w:tc>
              <w:tc>
                <w:tcPr>
                  <w:tcW w:w="633" w:type="dxa"/>
                  <w:vAlign w:val="center"/>
                </w:tcPr>
                <w:p>
                  <w:pPr>
                    <w:pStyle w:val="65"/>
                    <w:spacing w:line="240" w:lineRule="auto"/>
                    <w:rPr>
                      <w:b w:val="0"/>
                      <w:bCs/>
                      <w:spacing w:val="-8"/>
                      <w:szCs w:val="21"/>
                    </w:rPr>
                  </w:pPr>
                  <w:r>
                    <w:rPr>
                      <w:b w:val="0"/>
                      <w:bCs/>
                      <w:spacing w:val="-8"/>
                      <w:szCs w:val="21"/>
                    </w:rPr>
                    <w:t>6</w:t>
                  </w:r>
                </w:p>
              </w:tc>
              <w:tc>
                <w:tcPr>
                  <w:tcW w:w="915" w:type="dxa"/>
                  <w:vAlign w:val="center"/>
                </w:tcPr>
                <w:p>
                  <w:pPr>
                    <w:pStyle w:val="65"/>
                    <w:spacing w:line="240" w:lineRule="auto"/>
                    <w:rPr>
                      <w:b w:val="0"/>
                      <w:bCs/>
                      <w:spacing w:val="-8"/>
                      <w:szCs w:val="21"/>
                    </w:rPr>
                  </w:pPr>
                  <w:r>
                    <w:rPr>
                      <w:rFonts w:hint="eastAsia"/>
                      <w:b w:val="0"/>
                      <w:bCs/>
                      <w:spacing w:val="-8"/>
                      <w:szCs w:val="21"/>
                    </w:rPr>
                    <w:t>6</w:t>
                  </w:r>
                  <w:r>
                    <w:rPr>
                      <w:b w:val="0"/>
                      <w:bCs/>
                      <w:spacing w:val="-8"/>
                      <w:szCs w:val="21"/>
                    </w:rPr>
                    <w:t>2</w:t>
                  </w:r>
                  <w:r>
                    <w:rPr>
                      <w:rFonts w:hint="eastAsia"/>
                      <w:b w:val="0"/>
                      <w:bCs/>
                      <w:spacing w:val="-8"/>
                      <w:szCs w:val="21"/>
                    </w:rPr>
                    <w:t>~</w:t>
                  </w:r>
                  <w:r>
                    <w:rPr>
                      <w:b w:val="0"/>
                      <w:bCs/>
                      <w:spacing w:val="-8"/>
                      <w:szCs w:val="21"/>
                    </w:rPr>
                    <w:t>67</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42</w:t>
                  </w:r>
                  <w:r>
                    <w:rPr>
                      <w:rFonts w:hint="eastAsia"/>
                      <w:b w:val="0"/>
                      <w:bCs/>
                      <w:spacing w:val="-8"/>
                      <w:szCs w:val="21"/>
                    </w:rPr>
                    <w:t>~</w:t>
                  </w:r>
                  <w:r>
                    <w:rPr>
                      <w:rFonts w:eastAsia="等线"/>
                      <w:b w:val="0"/>
                      <w:bCs/>
                      <w:szCs w:val="21"/>
                    </w:rPr>
                    <w:t>47</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rPr>
                  </w:pPr>
                  <w:r>
                    <w:rPr>
                      <w:b w:val="0"/>
                      <w:bCs/>
                    </w:rPr>
                    <w:t>镀膜机</w:t>
                  </w:r>
                </w:p>
              </w:tc>
              <w:tc>
                <w:tcPr>
                  <w:tcW w:w="426" w:type="dxa"/>
                  <w:vAlign w:val="center"/>
                </w:tcPr>
                <w:p>
                  <w:pPr>
                    <w:pStyle w:val="65"/>
                    <w:spacing w:line="240" w:lineRule="auto"/>
                    <w:rPr>
                      <w:b w:val="0"/>
                      <w:bCs/>
                      <w:spacing w:val="-8"/>
                      <w:szCs w:val="21"/>
                    </w:rPr>
                  </w:pPr>
                  <w:r>
                    <w:rPr>
                      <w:b w:val="0"/>
                      <w:bCs/>
                    </w:rPr>
                    <w:t>8</w:t>
                  </w:r>
                </w:p>
              </w:tc>
              <w:tc>
                <w:tcPr>
                  <w:tcW w:w="853" w:type="dxa"/>
                  <w:vAlign w:val="center"/>
                </w:tcPr>
                <w:p>
                  <w:pPr>
                    <w:pStyle w:val="65"/>
                    <w:spacing w:line="240" w:lineRule="auto"/>
                    <w:rPr>
                      <w:b w:val="0"/>
                      <w:bCs/>
                      <w:spacing w:val="-8"/>
                      <w:szCs w:val="21"/>
                    </w:rPr>
                  </w:pPr>
                  <w:r>
                    <w:rPr>
                      <w:b w:val="0"/>
                      <w:bCs/>
                    </w:rPr>
                    <w:t>75-80</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rFonts w:hint="eastAsia"/>
                      <w:b w:val="0"/>
                      <w:bCs/>
                      <w:spacing w:val="-8"/>
                      <w:szCs w:val="21"/>
                    </w:rPr>
                    <w:t>7</w:t>
                  </w:r>
                </w:p>
              </w:tc>
              <w:tc>
                <w:tcPr>
                  <w:tcW w:w="413" w:type="dxa"/>
                  <w:vAlign w:val="center"/>
                </w:tcPr>
                <w:p>
                  <w:pPr>
                    <w:pStyle w:val="65"/>
                    <w:spacing w:line="240" w:lineRule="auto"/>
                    <w:rPr>
                      <w:b w:val="0"/>
                      <w:bCs/>
                      <w:spacing w:val="-8"/>
                      <w:szCs w:val="21"/>
                    </w:rPr>
                  </w:pPr>
                  <w:r>
                    <w:rPr>
                      <w:rFonts w:hint="eastAsia"/>
                      <w:b w:val="0"/>
                      <w:bCs/>
                      <w:spacing w:val="-8"/>
                      <w:szCs w:val="21"/>
                    </w:rPr>
                    <w:t>4</w:t>
                  </w:r>
                </w:p>
              </w:tc>
              <w:tc>
                <w:tcPr>
                  <w:tcW w:w="360" w:type="dxa"/>
                  <w:vAlign w:val="center"/>
                </w:tcPr>
                <w:p>
                  <w:pPr>
                    <w:pStyle w:val="65"/>
                    <w:spacing w:line="240" w:lineRule="auto"/>
                    <w:rPr>
                      <w:b w:val="0"/>
                      <w:bCs/>
                      <w:spacing w:val="-8"/>
                      <w:szCs w:val="21"/>
                    </w:rPr>
                  </w:pPr>
                </w:p>
              </w:tc>
              <w:tc>
                <w:tcPr>
                  <w:tcW w:w="633" w:type="dxa"/>
                  <w:vAlign w:val="center"/>
                </w:tcPr>
                <w:p>
                  <w:pPr>
                    <w:pStyle w:val="65"/>
                    <w:spacing w:line="240" w:lineRule="auto"/>
                    <w:rPr>
                      <w:b w:val="0"/>
                      <w:bCs/>
                      <w:spacing w:val="-8"/>
                      <w:szCs w:val="21"/>
                    </w:rPr>
                  </w:pPr>
                  <w:r>
                    <w:rPr>
                      <w:rFonts w:hint="eastAsia"/>
                      <w:b w:val="0"/>
                      <w:bCs/>
                      <w:spacing w:val="-8"/>
                      <w:szCs w:val="21"/>
                    </w:rPr>
                    <w:t>4</w:t>
                  </w:r>
                </w:p>
              </w:tc>
              <w:tc>
                <w:tcPr>
                  <w:tcW w:w="915" w:type="dxa"/>
                  <w:vAlign w:val="center"/>
                </w:tcPr>
                <w:p>
                  <w:pPr>
                    <w:pStyle w:val="65"/>
                    <w:spacing w:line="240" w:lineRule="auto"/>
                    <w:rPr>
                      <w:b w:val="0"/>
                      <w:bCs/>
                      <w:spacing w:val="-8"/>
                      <w:szCs w:val="21"/>
                    </w:rPr>
                  </w:pPr>
                  <w:r>
                    <w:rPr>
                      <w:rFonts w:hint="eastAsia"/>
                      <w:b w:val="0"/>
                      <w:bCs/>
                      <w:spacing w:val="-8"/>
                      <w:szCs w:val="21"/>
                    </w:rPr>
                    <w:t>6</w:t>
                  </w:r>
                  <w:r>
                    <w:rPr>
                      <w:b w:val="0"/>
                      <w:bCs/>
                      <w:spacing w:val="-8"/>
                      <w:szCs w:val="21"/>
                    </w:rPr>
                    <w:t>3</w:t>
                  </w:r>
                  <w:r>
                    <w:rPr>
                      <w:rFonts w:hint="eastAsia"/>
                      <w:b w:val="0"/>
                      <w:bCs/>
                      <w:spacing w:val="-8"/>
                      <w:szCs w:val="21"/>
                    </w:rPr>
                    <w:t>~</w:t>
                  </w:r>
                  <w:r>
                    <w:rPr>
                      <w:b w:val="0"/>
                      <w:bCs/>
                      <w:spacing w:val="-8"/>
                      <w:szCs w:val="21"/>
                    </w:rPr>
                    <w:t>68</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43</w:t>
                  </w:r>
                  <w:r>
                    <w:rPr>
                      <w:rFonts w:hint="eastAsia"/>
                      <w:b w:val="0"/>
                      <w:bCs/>
                      <w:spacing w:val="-8"/>
                      <w:szCs w:val="21"/>
                    </w:rPr>
                    <w:t>~</w:t>
                  </w:r>
                  <w:r>
                    <w:rPr>
                      <w:rFonts w:eastAsia="等线"/>
                      <w:b w:val="0"/>
                      <w:bCs/>
                      <w:szCs w:val="21"/>
                    </w:rPr>
                    <w:t>48</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rPr>
                  </w:pPr>
                  <w:r>
                    <w:rPr>
                      <w:b w:val="0"/>
                      <w:bCs/>
                    </w:rPr>
                    <w:t>贴膜机</w:t>
                  </w:r>
                </w:p>
              </w:tc>
              <w:tc>
                <w:tcPr>
                  <w:tcW w:w="426" w:type="dxa"/>
                  <w:vAlign w:val="center"/>
                </w:tcPr>
                <w:p>
                  <w:pPr>
                    <w:pStyle w:val="65"/>
                    <w:spacing w:line="240" w:lineRule="auto"/>
                    <w:rPr>
                      <w:b w:val="0"/>
                      <w:bCs/>
                      <w:spacing w:val="-8"/>
                      <w:szCs w:val="21"/>
                    </w:rPr>
                  </w:pPr>
                  <w:r>
                    <w:rPr>
                      <w:b w:val="0"/>
                      <w:bCs/>
                    </w:rPr>
                    <w:t>11</w:t>
                  </w:r>
                </w:p>
              </w:tc>
              <w:tc>
                <w:tcPr>
                  <w:tcW w:w="853" w:type="dxa"/>
                  <w:vAlign w:val="center"/>
                </w:tcPr>
                <w:p>
                  <w:pPr>
                    <w:pStyle w:val="65"/>
                    <w:spacing w:line="240" w:lineRule="auto"/>
                    <w:rPr>
                      <w:b w:val="0"/>
                      <w:bCs/>
                      <w:spacing w:val="-8"/>
                      <w:szCs w:val="21"/>
                    </w:rPr>
                  </w:pPr>
                  <w:r>
                    <w:rPr>
                      <w:b w:val="0"/>
                      <w:bCs/>
                    </w:rPr>
                    <w:t>75-80</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5</w:t>
                  </w:r>
                </w:p>
              </w:tc>
              <w:tc>
                <w:tcPr>
                  <w:tcW w:w="413" w:type="dxa"/>
                  <w:vAlign w:val="center"/>
                </w:tcPr>
                <w:p>
                  <w:pPr>
                    <w:pStyle w:val="65"/>
                    <w:spacing w:line="240" w:lineRule="auto"/>
                    <w:rPr>
                      <w:b w:val="0"/>
                      <w:bCs/>
                      <w:spacing w:val="-8"/>
                      <w:szCs w:val="21"/>
                    </w:rPr>
                  </w:pPr>
                  <w:r>
                    <w:rPr>
                      <w:b w:val="0"/>
                      <w:bCs/>
                      <w:spacing w:val="-8"/>
                      <w:szCs w:val="21"/>
                    </w:rPr>
                    <w:t>8</w:t>
                  </w:r>
                </w:p>
              </w:tc>
              <w:tc>
                <w:tcPr>
                  <w:tcW w:w="360" w:type="dxa"/>
                  <w:vAlign w:val="center"/>
                </w:tcPr>
                <w:p>
                  <w:pPr>
                    <w:pStyle w:val="65"/>
                    <w:spacing w:line="240" w:lineRule="auto"/>
                    <w:rPr>
                      <w:b w:val="0"/>
                      <w:bCs/>
                      <w:spacing w:val="-8"/>
                      <w:szCs w:val="21"/>
                    </w:rPr>
                  </w:pPr>
                  <w:r>
                    <w:rPr>
                      <w:b w:val="0"/>
                      <w:bCs/>
                      <w:spacing w:val="-8"/>
                      <w:szCs w:val="21"/>
                    </w:rPr>
                    <w:t>6</w:t>
                  </w:r>
                </w:p>
              </w:tc>
              <w:tc>
                <w:tcPr>
                  <w:tcW w:w="633" w:type="dxa"/>
                  <w:vAlign w:val="center"/>
                </w:tcPr>
                <w:p>
                  <w:pPr>
                    <w:pStyle w:val="65"/>
                    <w:spacing w:line="240" w:lineRule="auto"/>
                    <w:rPr>
                      <w:b w:val="0"/>
                      <w:bCs/>
                      <w:spacing w:val="-8"/>
                      <w:szCs w:val="21"/>
                    </w:rPr>
                  </w:pPr>
                  <w:r>
                    <w:rPr>
                      <w:rFonts w:hint="eastAsia"/>
                      <w:b w:val="0"/>
                      <w:bCs/>
                      <w:spacing w:val="-8"/>
                      <w:szCs w:val="21"/>
                    </w:rPr>
                    <w:t>5</w:t>
                  </w:r>
                </w:p>
              </w:tc>
              <w:tc>
                <w:tcPr>
                  <w:tcW w:w="915" w:type="dxa"/>
                  <w:vAlign w:val="center"/>
                </w:tcPr>
                <w:p>
                  <w:pPr>
                    <w:pStyle w:val="65"/>
                    <w:spacing w:line="240" w:lineRule="auto"/>
                    <w:rPr>
                      <w:b w:val="0"/>
                      <w:bCs/>
                      <w:spacing w:val="-8"/>
                      <w:szCs w:val="21"/>
                    </w:rPr>
                  </w:pPr>
                  <w:r>
                    <w:rPr>
                      <w:rFonts w:hint="eastAsia"/>
                      <w:b w:val="0"/>
                      <w:bCs/>
                      <w:spacing w:val="-8"/>
                      <w:szCs w:val="21"/>
                    </w:rPr>
                    <w:t>7</w:t>
                  </w:r>
                  <w:r>
                    <w:rPr>
                      <w:b w:val="0"/>
                      <w:bCs/>
                      <w:spacing w:val="-8"/>
                      <w:szCs w:val="21"/>
                    </w:rPr>
                    <w:t>5</w:t>
                  </w:r>
                  <w:r>
                    <w:rPr>
                      <w:rFonts w:hint="eastAsia"/>
                      <w:b w:val="0"/>
                      <w:bCs/>
                      <w:spacing w:val="-8"/>
                      <w:szCs w:val="21"/>
                    </w:rPr>
                    <w:t>~</w:t>
                  </w:r>
                  <w:r>
                    <w:rPr>
                      <w:b w:val="0"/>
                      <w:bCs/>
                      <w:spacing w:val="-8"/>
                      <w:szCs w:val="21"/>
                    </w:rPr>
                    <w:t>80</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40</w:t>
                  </w:r>
                  <w:r>
                    <w:rPr>
                      <w:rFonts w:hint="eastAsia"/>
                      <w:b w:val="0"/>
                      <w:bCs/>
                      <w:spacing w:val="-8"/>
                      <w:szCs w:val="21"/>
                    </w:rPr>
                    <w:t>~</w:t>
                  </w:r>
                  <w:r>
                    <w:rPr>
                      <w:rFonts w:eastAsia="等线"/>
                      <w:b w:val="0"/>
                      <w:bCs/>
                      <w:szCs w:val="21"/>
                    </w:rPr>
                    <w:t>45</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rPr>
                  </w:pPr>
                  <w:r>
                    <w:rPr>
                      <w:b w:val="0"/>
                      <w:bCs/>
                    </w:rPr>
                    <w:t>冷干机</w:t>
                  </w:r>
                </w:p>
              </w:tc>
              <w:tc>
                <w:tcPr>
                  <w:tcW w:w="426" w:type="dxa"/>
                  <w:vAlign w:val="center"/>
                </w:tcPr>
                <w:p>
                  <w:pPr>
                    <w:pStyle w:val="65"/>
                    <w:spacing w:line="240" w:lineRule="auto"/>
                    <w:rPr>
                      <w:b w:val="0"/>
                      <w:bCs/>
                      <w:spacing w:val="-8"/>
                      <w:szCs w:val="21"/>
                    </w:rPr>
                  </w:pPr>
                  <w:r>
                    <w:rPr>
                      <w:b w:val="0"/>
                      <w:bCs/>
                      <w:lang w:val="en-US"/>
                    </w:rPr>
                    <w:t>2</w:t>
                  </w:r>
                </w:p>
              </w:tc>
              <w:tc>
                <w:tcPr>
                  <w:tcW w:w="853" w:type="dxa"/>
                  <w:vAlign w:val="center"/>
                </w:tcPr>
                <w:p>
                  <w:pPr>
                    <w:pStyle w:val="65"/>
                    <w:spacing w:line="240" w:lineRule="auto"/>
                    <w:rPr>
                      <w:b w:val="0"/>
                      <w:bCs/>
                      <w:spacing w:val="-8"/>
                      <w:szCs w:val="21"/>
                    </w:rPr>
                  </w:pPr>
                  <w:r>
                    <w:rPr>
                      <w:b w:val="0"/>
                      <w:bCs/>
                    </w:rPr>
                    <w:t>75-80</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6</w:t>
                  </w:r>
                </w:p>
              </w:tc>
              <w:tc>
                <w:tcPr>
                  <w:tcW w:w="413" w:type="dxa"/>
                  <w:vAlign w:val="center"/>
                </w:tcPr>
                <w:p>
                  <w:pPr>
                    <w:pStyle w:val="65"/>
                    <w:spacing w:line="240" w:lineRule="auto"/>
                    <w:rPr>
                      <w:b w:val="0"/>
                      <w:bCs/>
                      <w:spacing w:val="-8"/>
                      <w:szCs w:val="21"/>
                    </w:rPr>
                  </w:pPr>
                  <w:r>
                    <w:rPr>
                      <w:b w:val="0"/>
                      <w:bCs/>
                      <w:spacing w:val="-8"/>
                      <w:szCs w:val="21"/>
                    </w:rPr>
                    <w:t>6</w:t>
                  </w:r>
                </w:p>
              </w:tc>
              <w:tc>
                <w:tcPr>
                  <w:tcW w:w="360" w:type="dxa"/>
                  <w:vAlign w:val="center"/>
                </w:tcPr>
                <w:p>
                  <w:pPr>
                    <w:pStyle w:val="65"/>
                    <w:spacing w:line="240" w:lineRule="auto"/>
                    <w:rPr>
                      <w:b w:val="0"/>
                      <w:bCs/>
                      <w:spacing w:val="-8"/>
                      <w:szCs w:val="21"/>
                    </w:rPr>
                  </w:pPr>
                  <w:r>
                    <w:rPr>
                      <w:b w:val="0"/>
                      <w:bCs/>
                      <w:spacing w:val="-8"/>
                      <w:szCs w:val="21"/>
                    </w:rPr>
                    <w:t>3</w:t>
                  </w:r>
                </w:p>
              </w:tc>
              <w:tc>
                <w:tcPr>
                  <w:tcW w:w="633" w:type="dxa"/>
                  <w:vAlign w:val="center"/>
                </w:tcPr>
                <w:p>
                  <w:pPr>
                    <w:pStyle w:val="65"/>
                    <w:spacing w:line="240" w:lineRule="auto"/>
                    <w:rPr>
                      <w:b w:val="0"/>
                      <w:bCs/>
                      <w:spacing w:val="-8"/>
                      <w:szCs w:val="21"/>
                    </w:rPr>
                  </w:pPr>
                  <w:r>
                    <w:rPr>
                      <w:rFonts w:hint="eastAsia"/>
                      <w:b w:val="0"/>
                      <w:bCs/>
                      <w:spacing w:val="-8"/>
                      <w:szCs w:val="21"/>
                    </w:rPr>
                    <w:t>6</w:t>
                  </w:r>
                </w:p>
              </w:tc>
              <w:tc>
                <w:tcPr>
                  <w:tcW w:w="915" w:type="dxa"/>
                  <w:vAlign w:val="center"/>
                </w:tcPr>
                <w:p>
                  <w:pPr>
                    <w:pStyle w:val="65"/>
                    <w:spacing w:line="240" w:lineRule="auto"/>
                    <w:rPr>
                      <w:b w:val="0"/>
                      <w:bCs/>
                      <w:spacing w:val="-8"/>
                      <w:szCs w:val="21"/>
                    </w:rPr>
                  </w:pPr>
                  <w:r>
                    <w:rPr>
                      <w:rFonts w:hint="eastAsia"/>
                      <w:b w:val="0"/>
                      <w:bCs/>
                      <w:spacing w:val="-8"/>
                      <w:szCs w:val="21"/>
                    </w:rPr>
                    <w:t>5</w:t>
                  </w:r>
                  <w:r>
                    <w:rPr>
                      <w:b w:val="0"/>
                      <w:bCs/>
                      <w:spacing w:val="-8"/>
                      <w:szCs w:val="21"/>
                    </w:rPr>
                    <w:t>7</w:t>
                  </w:r>
                  <w:r>
                    <w:rPr>
                      <w:rFonts w:hint="eastAsia"/>
                      <w:b w:val="0"/>
                      <w:bCs/>
                      <w:spacing w:val="-8"/>
                      <w:szCs w:val="21"/>
                    </w:rPr>
                    <w:t>~</w:t>
                  </w:r>
                  <w:r>
                    <w:rPr>
                      <w:b w:val="0"/>
                      <w:bCs/>
                      <w:spacing w:val="-8"/>
                      <w:szCs w:val="21"/>
                    </w:rPr>
                    <w:t>62</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37</w:t>
                  </w:r>
                  <w:r>
                    <w:rPr>
                      <w:rFonts w:hint="eastAsia"/>
                      <w:b w:val="0"/>
                      <w:bCs/>
                      <w:spacing w:val="-8"/>
                      <w:szCs w:val="21"/>
                    </w:rPr>
                    <w:t>~</w:t>
                  </w:r>
                  <w:r>
                    <w:rPr>
                      <w:rFonts w:eastAsia="等线"/>
                      <w:b w:val="0"/>
                      <w:bCs/>
                      <w:szCs w:val="21"/>
                    </w:rPr>
                    <w:t>42</w:t>
                  </w:r>
                </w:p>
              </w:tc>
              <w:tc>
                <w:tcPr>
                  <w:tcW w:w="551" w:type="dxa"/>
                  <w:vAlign w:val="center"/>
                </w:tcPr>
                <w:p>
                  <w:pPr>
                    <w:pStyle w:val="65"/>
                    <w:spacing w:line="240" w:lineRule="auto"/>
                    <w:rPr>
                      <w:b w:val="0"/>
                      <w:bCs/>
                      <w:spacing w:val="-8"/>
                      <w:szCs w:val="21"/>
                    </w:rPr>
                  </w:pPr>
                  <w:r>
                    <w:rPr>
                      <w:b w:val="0"/>
                      <w:bCs/>
                      <w:spacing w:val="-8"/>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Align w:val="center"/>
                </w:tcPr>
                <w:p>
                  <w:pPr>
                    <w:pStyle w:val="65"/>
                    <w:spacing w:line="240" w:lineRule="auto"/>
                    <w:rPr>
                      <w:b w:val="0"/>
                      <w:bCs/>
                    </w:rPr>
                  </w:pPr>
                  <w:r>
                    <w:rPr>
                      <w:b w:val="0"/>
                      <w:bCs/>
                    </w:rPr>
                    <w:t>纯水机</w:t>
                  </w:r>
                </w:p>
              </w:tc>
              <w:tc>
                <w:tcPr>
                  <w:tcW w:w="426" w:type="dxa"/>
                  <w:vAlign w:val="center"/>
                </w:tcPr>
                <w:p>
                  <w:pPr>
                    <w:pStyle w:val="65"/>
                    <w:spacing w:line="240" w:lineRule="auto"/>
                    <w:rPr>
                      <w:b w:val="0"/>
                      <w:bCs/>
                      <w:spacing w:val="-8"/>
                      <w:szCs w:val="21"/>
                    </w:rPr>
                  </w:pPr>
                  <w:r>
                    <w:rPr>
                      <w:b w:val="0"/>
                      <w:bCs/>
                    </w:rPr>
                    <w:t>1</w:t>
                  </w:r>
                </w:p>
              </w:tc>
              <w:tc>
                <w:tcPr>
                  <w:tcW w:w="853" w:type="dxa"/>
                  <w:vAlign w:val="center"/>
                </w:tcPr>
                <w:p>
                  <w:pPr>
                    <w:pStyle w:val="65"/>
                    <w:spacing w:line="240" w:lineRule="auto"/>
                    <w:rPr>
                      <w:b w:val="0"/>
                      <w:bCs/>
                      <w:spacing w:val="-8"/>
                      <w:szCs w:val="21"/>
                    </w:rPr>
                  </w:pPr>
                  <w:r>
                    <w:rPr>
                      <w:b w:val="0"/>
                      <w:bCs/>
                    </w:rPr>
                    <w:t>80-85</w:t>
                  </w:r>
                </w:p>
              </w:tc>
              <w:tc>
                <w:tcPr>
                  <w:tcW w:w="775" w:type="dxa"/>
                  <w:vMerge w:val="continue"/>
                  <w:vAlign w:val="center"/>
                </w:tcPr>
                <w:p>
                  <w:pPr>
                    <w:pStyle w:val="65"/>
                    <w:spacing w:line="240" w:lineRule="auto"/>
                    <w:rPr>
                      <w:b w:val="0"/>
                      <w:bCs/>
                      <w:spacing w:val="-8"/>
                      <w:szCs w:val="21"/>
                    </w:rPr>
                  </w:pPr>
                </w:p>
              </w:tc>
              <w:tc>
                <w:tcPr>
                  <w:tcW w:w="413" w:type="dxa"/>
                  <w:vAlign w:val="center"/>
                </w:tcPr>
                <w:p>
                  <w:pPr>
                    <w:pStyle w:val="65"/>
                    <w:spacing w:line="240" w:lineRule="auto"/>
                    <w:rPr>
                      <w:b w:val="0"/>
                      <w:bCs/>
                      <w:spacing w:val="-8"/>
                      <w:szCs w:val="21"/>
                    </w:rPr>
                  </w:pPr>
                  <w:r>
                    <w:rPr>
                      <w:b w:val="0"/>
                      <w:bCs/>
                      <w:spacing w:val="-8"/>
                      <w:szCs w:val="21"/>
                    </w:rPr>
                    <w:t>5</w:t>
                  </w:r>
                </w:p>
              </w:tc>
              <w:tc>
                <w:tcPr>
                  <w:tcW w:w="413" w:type="dxa"/>
                  <w:vAlign w:val="center"/>
                </w:tcPr>
                <w:p>
                  <w:pPr>
                    <w:pStyle w:val="65"/>
                    <w:spacing w:line="240" w:lineRule="auto"/>
                    <w:rPr>
                      <w:b w:val="0"/>
                      <w:bCs/>
                      <w:spacing w:val="-8"/>
                      <w:szCs w:val="21"/>
                    </w:rPr>
                  </w:pPr>
                  <w:r>
                    <w:rPr>
                      <w:b w:val="0"/>
                      <w:bCs/>
                      <w:spacing w:val="-8"/>
                      <w:szCs w:val="21"/>
                    </w:rPr>
                    <w:t>14</w:t>
                  </w:r>
                </w:p>
              </w:tc>
              <w:tc>
                <w:tcPr>
                  <w:tcW w:w="360" w:type="dxa"/>
                  <w:vAlign w:val="center"/>
                </w:tcPr>
                <w:p>
                  <w:pPr>
                    <w:pStyle w:val="65"/>
                    <w:spacing w:line="240" w:lineRule="auto"/>
                    <w:rPr>
                      <w:b w:val="0"/>
                      <w:bCs/>
                      <w:spacing w:val="-8"/>
                      <w:szCs w:val="21"/>
                    </w:rPr>
                  </w:pPr>
                  <w:r>
                    <w:rPr>
                      <w:b w:val="0"/>
                      <w:bCs/>
                      <w:spacing w:val="-8"/>
                      <w:szCs w:val="21"/>
                    </w:rPr>
                    <w:t>9</w:t>
                  </w:r>
                </w:p>
              </w:tc>
              <w:tc>
                <w:tcPr>
                  <w:tcW w:w="633" w:type="dxa"/>
                  <w:vAlign w:val="center"/>
                </w:tcPr>
                <w:p>
                  <w:pPr>
                    <w:pStyle w:val="65"/>
                    <w:spacing w:line="240" w:lineRule="auto"/>
                    <w:rPr>
                      <w:b w:val="0"/>
                      <w:bCs/>
                      <w:spacing w:val="-8"/>
                      <w:szCs w:val="21"/>
                    </w:rPr>
                  </w:pPr>
                  <w:r>
                    <w:rPr>
                      <w:rFonts w:hint="eastAsia"/>
                      <w:b w:val="0"/>
                      <w:bCs/>
                      <w:spacing w:val="-8"/>
                      <w:szCs w:val="21"/>
                    </w:rPr>
                    <w:t>5</w:t>
                  </w:r>
                </w:p>
              </w:tc>
              <w:tc>
                <w:tcPr>
                  <w:tcW w:w="915" w:type="dxa"/>
                  <w:vAlign w:val="center"/>
                </w:tcPr>
                <w:p>
                  <w:pPr>
                    <w:pStyle w:val="65"/>
                    <w:spacing w:line="240" w:lineRule="auto"/>
                    <w:rPr>
                      <w:b w:val="0"/>
                      <w:bCs/>
                      <w:spacing w:val="-8"/>
                      <w:szCs w:val="21"/>
                    </w:rPr>
                  </w:pPr>
                  <w:r>
                    <w:rPr>
                      <w:rFonts w:hint="eastAsia"/>
                      <w:b w:val="0"/>
                      <w:bCs/>
                      <w:spacing w:val="-8"/>
                      <w:szCs w:val="21"/>
                    </w:rPr>
                    <w:t>6</w:t>
                  </w:r>
                  <w:r>
                    <w:rPr>
                      <w:b w:val="0"/>
                      <w:bCs/>
                      <w:spacing w:val="-8"/>
                      <w:szCs w:val="21"/>
                    </w:rPr>
                    <w:t>5</w:t>
                  </w:r>
                  <w:r>
                    <w:rPr>
                      <w:rFonts w:hint="eastAsia"/>
                      <w:b w:val="0"/>
                      <w:bCs/>
                      <w:spacing w:val="-8"/>
                      <w:szCs w:val="21"/>
                    </w:rPr>
                    <w:t>~</w:t>
                  </w:r>
                  <w:r>
                    <w:rPr>
                      <w:b w:val="0"/>
                      <w:bCs/>
                      <w:spacing w:val="-8"/>
                      <w:szCs w:val="21"/>
                    </w:rPr>
                    <w:t>70</w:t>
                  </w:r>
                </w:p>
              </w:tc>
              <w:tc>
                <w:tcPr>
                  <w:tcW w:w="693" w:type="dxa"/>
                  <w:vAlign w:val="center"/>
                </w:tcPr>
                <w:p>
                  <w:pPr>
                    <w:jc w:val="center"/>
                    <w:rPr>
                      <w:rFonts w:ascii="Times New Roman" w:hAnsi="Times New Roman"/>
                      <w:bCs/>
                      <w:spacing w:val="-8"/>
                    </w:rPr>
                  </w:pPr>
                  <w:r>
                    <w:rPr>
                      <w:rFonts w:ascii="Times New Roman" w:hAnsi="Times New Roman"/>
                      <w:bCs/>
                      <w:spacing w:val="-8"/>
                    </w:rPr>
                    <w:t>10小时</w:t>
                  </w:r>
                </w:p>
              </w:tc>
              <w:tc>
                <w:tcPr>
                  <w:tcW w:w="742" w:type="dxa"/>
                  <w:vAlign w:val="center"/>
                </w:tcPr>
                <w:p>
                  <w:pPr>
                    <w:pStyle w:val="65"/>
                    <w:spacing w:line="240" w:lineRule="auto"/>
                    <w:rPr>
                      <w:b w:val="0"/>
                      <w:bCs/>
                      <w:spacing w:val="-8"/>
                      <w:szCs w:val="21"/>
                    </w:rPr>
                  </w:pPr>
                  <w:r>
                    <w:rPr>
                      <w:b w:val="0"/>
                      <w:bCs/>
                      <w:spacing w:val="-8"/>
                      <w:szCs w:val="21"/>
                    </w:rPr>
                    <w:t>20</w:t>
                  </w:r>
                </w:p>
              </w:tc>
              <w:tc>
                <w:tcPr>
                  <w:tcW w:w="822" w:type="dxa"/>
                  <w:vAlign w:val="center"/>
                </w:tcPr>
                <w:p>
                  <w:pPr>
                    <w:pStyle w:val="65"/>
                    <w:spacing w:line="240" w:lineRule="auto"/>
                    <w:rPr>
                      <w:b w:val="0"/>
                      <w:bCs/>
                      <w:spacing w:val="-8"/>
                      <w:szCs w:val="21"/>
                    </w:rPr>
                  </w:pPr>
                  <w:r>
                    <w:rPr>
                      <w:rFonts w:eastAsia="等线"/>
                      <w:b w:val="0"/>
                      <w:bCs/>
                      <w:szCs w:val="21"/>
                    </w:rPr>
                    <w:t>45</w:t>
                  </w:r>
                  <w:r>
                    <w:rPr>
                      <w:rFonts w:hint="eastAsia"/>
                      <w:b w:val="0"/>
                      <w:bCs/>
                      <w:spacing w:val="-8"/>
                      <w:szCs w:val="21"/>
                    </w:rPr>
                    <w:t>~</w:t>
                  </w:r>
                  <w:r>
                    <w:rPr>
                      <w:rFonts w:eastAsia="等线"/>
                      <w:b w:val="0"/>
                      <w:bCs/>
                      <w:szCs w:val="21"/>
                    </w:rPr>
                    <w:t>50</w:t>
                  </w:r>
                </w:p>
              </w:tc>
              <w:tc>
                <w:tcPr>
                  <w:tcW w:w="551" w:type="dxa"/>
                  <w:vAlign w:val="center"/>
                </w:tcPr>
                <w:p>
                  <w:pPr>
                    <w:pStyle w:val="65"/>
                    <w:spacing w:line="240" w:lineRule="auto"/>
                    <w:rPr>
                      <w:b w:val="0"/>
                      <w:bCs/>
                      <w:spacing w:val="-8"/>
                      <w:szCs w:val="21"/>
                    </w:rPr>
                  </w:pPr>
                  <w:r>
                    <w:rPr>
                      <w:b w:val="0"/>
                      <w:bCs/>
                      <w:spacing w:val="-8"/>
                      <w:szCs w:val="21"/>
                    </w:rPr>
                    <w:t>1</w:t>
                  </w:r>
                </w:p>
              </w:tc>
            </w:tr>
          </w:tbl>
          <w:p>
            <w:pPr>
              <w:spacing w:line="440" w:lineRule="exact"/>
              <w:ind w:firstLine="482" w:firstLineChars="200"/>
              <w:jc w:val="both"/>
              <w:rPr>
                <w:rFonts w:ascii="Times New Roman" w:hAnsi="Times New Roman"/>
                <w:b/>
                <w:bCs/>
                <w:sz w:val="24"/>
                <w:lang w:val="en-US"/>
              </w:rPr>
            </w:pPr>
            <w:r>
              <w:rPr>
                <w:rFonts w:ascii="Times New Roman" w:hAnsi="Times New Roman"/>
                <w:b/>
                <w:bCs/>
                <w:sz w:val="24"/>
                <w:lang w:val="en-US"/>
              </w:rPr>
              <w:t>2、噪声预测</w:t>
            </w:r>
          </w:p>
          <w:p>
            <w:pPr>
              <w:spacing w:line="440" w:lineRule="exact"/>
              <w:ind w:firstLine="480" w:firstLineChars="200"/>
              <w:jc w:val="both"/>
              <w:rPr>
                <w:rFonts w:ascii="Times New Roman" w:hAnsi="Times New Roman"/>
                <w:sz w:val="24"/>
                <w:szCs w:val="24"/>
              </w:rPr>
            </w:pPr>
            <w:r>
              <w:rPr>
                <w:rFonts w:ascii="Times New Roman" w:hAnsi="Times New Roman"/>
                <w:sz w:val="24"/>
                <w:szCs w:val="24"/>
              </w:rPr>
              <w:t>根据《环境影响评价技术导则声环境（HJ2.4-2021）》的规定，选用预测模式，应用过程中将根据具体情况作必要简化。</w:t>
            </w:r>
          </w:p>
          <w:p>
            <w:pPr>
              <w:pStyle w:val="2"/>
              <w:spacing w:after="0" w:line="360" w:lineRule="auto"/>
              <w:ind w:left="0" w:leftChars="0" w:firstLine="482"/>
              <w:jc w:val="both"/>
              <w:rPr>
                <w:b/>
                <w:bCs/>
                <w:sz w:val="24"/>
              </w:rPr>
            </w:pPr>
            <w:r>
              <w:rPr>
                <w:rFonts w:hint="eastAsia"/>
                <w:b/>
                <w:bCs/>
                <w:sz w:val="24"/>
              </w:rPr>
              <w:t>（1）室外声源在预测点产生的声级计算模型</w:t>
            </w:r>
          </w:p>
          <w:p>
            <w:pPr>
              <w:spacing w:line="360" w:lineRule="auto"/>
              <w:ind w:firstLine="480" w:firstLineChars="200"/>
              <w:jc w:val="both"/>
              <w:rPr>
                <w:rFonts w:ascii="Times New Roman" w:hAnsi="Times New Roman"/>
                <w:sz w:val="24"/>
                <w:szCs w:val="24"/>
              </w:rPr>
            </w:pPr>
            <w:r>
              <w:rPr>
                <w:rFonts w:hint="eastAsia" w:ascii="Times New Roman" w:hAnsi="Times New Roman"/>
                <w:sz w:val="24"/>
                <w:szCs w:val="24"/>
              </w:rPr>
              <w:t>①</w:t>
            </w:r>
            <w:r>
              <w:rPr>
                <w:rFonts w:ascii="Times New Roman" w:hAnsi="Times New Roman"/>
                <w:sz w:val="24"/>
                <w:szCs w:val="24"/>
              </w:rPr>
              <w:t>面声源的几何发散衰减：</w:t>
            </w:r>
          </w:p>
          <w:p>
            <w:pPr>
              <w:pStyle w:val="2"/>
              <w:spacing w:after="0" w:line="360" w:lineRule="auto"/>
              <w:ind w:left="0" w:leftChars="0" w:firstLine="480"/>
              <w:jc w:val="both"/>
              <w:rPr>
                <w:rFonts w:ascii="Times New Roman" w:hAnsi="Times New Roman"/>
                <w:sz w:val="24"/>
              </w:rPr>
            </w:pPr>
            <w:r>
              <w:rPr>
                <w:rFonts w:ascii="Times New Roman" w:hAnsi="Times New Roman"/>
                <w:sz w:val="24"/>
              </w:rPr>
              <w:t>一个大型机器设备的振动表面，车间透声的墙壁，均可以认为是面声源。如果已知面声源单位面积的声功率为W，各面积元噪声的位相是随机的，面声源可看做由无数点声源连续分布组合而成，其合成声级可按能量叠加法求出。</w:t>
            </w:r>
          </w:p>
          <w:p>
            <w:pPr>
              <w:pStyle w:val="2"/>
              <w:spacing w:after="0" w:line="360" w:lineRule="auto"/>
              <w:ind w:left="0" w:leftChars="0" w:firstLine="480"/>
              <w:jc w:val="both"/>
              <w:rPr>
                <w:rFonts w:ascii="Times New Roman" w:hAnsi="Times New Roman"/>
                <w:sz w:val="24"/>
              </w:rPr>
            </w:pPr>
            <w:r>
              <w:rPr>
                <w:rFonts w:ascii="Times New Roman" w:hAnsi="Times New Roman"/>
                <w:sz w:val="24"/>
              </w:rPr>
              <w:t>图A.3给出了长方形面声源中心轴线上的声衰减曲线。当预测点和面声源中心距离r处于以下条件时，可按下述方法近似计算：r＜a/π时，几乎不衰减（A</w:t>
            </w:r>
            <w:r>
              <w:rPr>
                <w:rFonts w:ascii="Times New Roman" w:hAnsi="Times New Roman"/>
                <w:sz w:val="24"/>
                <w:vertAlign w:val="subscript"/>
              </w:rPr>
              <w:t>div</w:t>
            </w:r>
            <w:r>
              <w:rPr>
                <w:rFonts w:ascii="Times New Roman" w:hAnsi="Times New Roman"/>
                <w:sz w:val="24"/>
              </w:rPr>
              <w:t>≈0）；当a/π＜r＜b/π，距离加倍衰减3dB左右，类似线声源衰减特性</w:t>
            </w:r>
          </w:p>
          <w:p>
            <w:pPr>
              <w:pStyle w:val="2"/>
              <w:spacing w:after="0" w:line="360" w:lineRule="auto"/>
              <w:ind w:left="0" w:leftChars="0" w:firstLine="480"/>
              <w:jc w:val="both"/>
              <w:rPr>
                <w:rFonts w:ascii="Times New Roman" w:hAnsi="Times New Roman"/>
                <w:sz w:val="24"/>
              </w:rPr>
            </w:pPr>
            <w:r>
              <w:rPr>
                <w:rFonts w:ascii="Times New Roman" w:hAnsi="Times New Roman"/>
                <w:sz w:val="24"/>
              </w:rPr>
              <w:t>[A</w:t>
            </w:r>
            <w:r>
              <w:rPr>
                <w:rFonts w:ascii="Times New Roman" w:hAnsi="Times New Roman"/>
                <w:sz w:val="24"/>
                <w:vertAlign w:val="subscript"/>
              </w:rPr>
              <w:t>div</w:t>
            </w:r>
            <w:r>
              <w:rPr>
                <w:rFonts w:ascii="Times New Roman" w:hAnsi="Times New Roman"/>
                <w:sz w:val="24"/>
              </w:rPr>
              <w:t>≈10lg（r/r</w:t>
            </w:r>
            <w:r>
              <w:rPr>
                <w:rFonts w:ascii="Times New Roman" w:hAnsi="Times New Roman"/>
                <w:sz w:val="24"/>
                <w:vertAlign w:val="subscript"/>
              </w:rPr>
              <w:t>0</w:t>
            </w:r>
            <w:r>
              <w:rPr>
                <w:rFonts w:ascii="Times New Roman" w:hAnsi="Times New Roman"/>
                <w:sz w:val="24"/>
              </w:rPr>
              <w:t>）]；当r＞b/π时，距离加倍衰减趋近于6dB，类似点声源衰减特性[A</w:t>
            </w:r>
            <w:r>
              <w:rPr>
                <w:rFonts w:ascii="Times New Roman" w:hAnsi="Times New Roman"/>
                <w:sz w:val="24"/>
                <w:vertAlign w:val="subscript"/>
              </w:rPr>
              <w:t>div</w:t>
            </w:r>
            <w:r>
              <w:rPr>
                <w:rFonts w:ascii="Times New Roman" w:hAnsi="Times New Roman"/>
                <w:sz w:val="24"/>
              </w:rPr>
              <w:t>≈20lg（r/r</w:t>
            </w:r>
            <w:r>
              <w:rPr>
                <w:rFonts w:ascii="Times New Roman" w:hAnsi="Times New Roman"/>
                <w:sz w:val="24"/>
                <w:vertAlign w:val="subscript"/>
              </w:rPr>
              <w:t>0</w:t>
            </w:r>
            <w:r>
              <w:rPr>
                <w:rFonts w:ascii="Times New Roman" w:hAnsi="Times New Roman"/>
                <w:sz w:val="24"/>
              </w:rPr>
              <w:t>）]。其中面声源的b＞a。图A.3中虚线为实际衰减量。</w:t>
            </w:r>
          </w:p>
          <w:p>
            <w:pPr>
              <w:spacing w:line="360" w:lineRule="auto"/>
              <w:ind w:firstLine="480" w:firstLineChars="200"/>
              <w:jc w:val="center"/>
              <w:rPr>
                <w:rFonts w:ascii="Times New Roman" w:hAnsi="Times New Roman"/>
                <w:b/>
                <w:bCs/>
                <w:sz w:val="24"/>
                <w:szCs w:val="24"/>
              </w:rPr>
            </w:pPr>
            <w:r>
              <w:rPr>
                <w:rFonts w:ascii="Times New Roman" w:hAnsi="Times New Roman"/>
                <w:sz w:val="24"/>
                <w:szCs w:val="24"/>
                <w:lang w:val="en-US" w:bidi="ar-SA"/>
              </w:rPr>
              <w:drawing>
                <wp:inline distT="0" distB="0" distL="0" distR="0">
                  <wp:extent cx="3016250" cy="21844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3032730" cy="2196407"/>
                          </a:xfrm>
                          <a:prstGeom prst="rect">
                            <a:avLst/>
                          </a:prstGeom>
                        </pic:spPr>
                      </pic:pic>
                    </a:graphicData>
                  </a:graphic>
                </wp:inline>
              </w:drawing>
            </w:r>
          </w:p>
          <w:p>
            <w:pPr>
              <w:spacing w:line="360" w:lineRule="auto"/>
              <w:jc w:val="center"/>
              <w:rPr>
                <w:rFonts w:ascii="Times New Roman" w:hAnsi="Times New Roman"/>
                <w:b/>
                <w:bCs/>
              </w:rPr>
            </w:pPr>
            <w:r>
              <w:rPr>
                <w:rFonts w:ascii="Times New Roman" w:hAnsi="Times New Roman"/>
                <w:b/>
                <w:bCs/>
              </w:rPr>
              <w:t>图A.3长方形面声源中心轴线上的衰减特性</w:t>
            </w:r>
          </w:p>
          <w:p>
            <w:pPr>
              <w:spacing w:line="360" w:lineRule="auto"/>
              <w:ind w:firstLine="482" w:firstLineChars="200"/>
              <w:jc w:val="both"/>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2</w:t>
            </w:r>
            <w:r>
              <w:rPr>
                <w:rFonts w:hint="eastAsia" w:ascii="Times New Roman" w:hAnsi="Times New Roman"/>
                <w:b/>
                <w:bCs/>
                <w:sz w:val="24"/>
                <w:szCs w:val="24"/>
              </w:rPr>
              <w:t>）</w:t>
            </w:r>
            <w:r>
              <w:rPr>
                <w:rFonts w:ascii="Times New Roman" w:hAnsi="Times New Roman"/>
                <w:b/>
                <w:bCs/>
                <w:sz w:val="24"/>
                <w:szCs w:val="24"/>
              </w:rPr>
              <w:t>室内声源等效室外声源声功率级计算方法</w:t>
            </w:r>
          </w:p>
          <w:p>
            <w:pPr>
              <w:spacing w:line="360" w:lineRule="auto"/>
              <w:ind w:firstLine="480" w:firstLineChars="200"/>
              <w:jc w:val="both"/>
              <w:rPr>
                <w:rFonts w:ascii="Times New Roman" w:hAnsi="Times New Roman"/>
                <w:sz w:val="24"/>
                <w:szCs w:val="24"/>
              </w:rPr>
            </w:pPr>
            <w:r>
              <w:rPr>
                <w:rFonts w:hint="eastAsia" w:ascii="Times New Roman" w:hAnsi="Times New Roman"/>
                <w:sz w:val="24"/>
                <w:szCs w:val="24"/>
              </w:rPr>
              <w:t>①</w:t>
            </w:r>
            <w:r>
              <w:rPr>
                <w:rFonts w:ascii="Times New Roman" w:hAnsi="Times New Roman"/>
                <w:sz w:val="24"/>
                <w:szCs w:val="24"/>
              </w:rPr>
              <w:t>如图B.1所示，声源位于室内，室内声源可采用等效室外声源声功率级法进行计算。设靠近开口处（或窗户）室内、室外某倍频带的声压级或A声级分别为L</w:t>
            </w:r>
            <w:r>
              <w:rPr>
                <w:rFonts w:ascii="Times New Roman" w:hAnsi="Times New Roman"/>
                <w:sz w:val="24"/>
                <w:szCs w:val="24"/>
                <w:vertAlign w:val="subscript"/>
              </w:rPr>
              <w:t>p1</w:t>
            </w:r>
            <w:r>
              <w:rPr>
                <w:rFonts w:ascii="Times New Roman" w:hAnsi="Times New Roman"/>
                <w:sz w:val="24"/>
                <w:szCs w:val="24"/>
              </w:rPr>
              <w:t>和L</w:t>
            </w:r>
            <w:r>
              <w:rPr>
                <w:rFonts w:ascii="Times New Roman" w:hAnsi="Times New Roman"/>
                <w:sz w:val="24"/>
                <w:szCs w:val="24"/>
                <w:vertAlign w:val="subscript"/>
              </w:rPr>
              <w:t>p2</w:t>
            </w:r>
            <w:r>
              <w:rPr>
                <w:rFonts w:ascii="Times New Roman" w:hAnsi="Times New Roman"/>
                <w:sz w:val="24"/>
                <w:szCs w:val="24"/>
              </w:rPr>
              <w:t>。若声源所在室内声场为近似扩散声场，则室外的倍频带声压级可按式（B.1）近似求出：</w:t>
            </w:r>
          </w:p>
          <w:p>
            <w:pPr>
              <w:jc w:val="center"/>
              <w:rPr>
                <w:rFonts w:ascii="Times New Roman" w:hAnsi="Times New Roman"/>
                <w:sz w:val="24"/>
                <w:szCs w:val="24"/>
              </w:rPr>
            </w:pPr>
            <w:r>
              <w:rPr>
                <w:rFonts w:ascii="Times New Roman" w:hAnsi="Times New Roman"/>
                <w:sz w:val="24"/>
                <w:szCs w:val="24"/>
                <w:lang w:val="en-US" w:bidi="ar-SA"/>
              </w:rPr>
              <w:drawing>
                <wp:inline distT="0" distB="0" distL="0" distR="0">
                  <wp:extent cx="1955165" cy="36957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1995954" cy="377345"/>
                          </a:xfrm>
                          <a:prstGeom prst="rect">
                            <a:avLst/>
                          </a:prstGeom>
                        </pic:spPr>
                      </pic:pic>
                    </a:graphicData>
                  </a:graphic>
                </wp:inline>
              </w:drawing>
            </w:r>
          </w:p>
          <w:p>
            <w:pPr>
              <w:pStyle w:val="2"/>
              <w:ind w:left="0" w:leftChars="0" w:firstLine="0" w:firstLineChars="0"/>
              <w:rPr>
                <w:rFonts w:ascii="Times New Roman" w:hAnsi="Times New Roman"/>
                <w:sz w:val="24"/>
              </w:rPr>
            </w:pPr>
            <w:r>
              <w:rPr>
                <w:rFonts w:ascii="Times New Roman" w:hAnsi="Times New Roman"/>
                <w:sz w:val="24"/>
              </w:rPr>
              <w:t>式中：L</w:t>
            </w:r>
            <w:r>
              <w:rPr>
                <w:rFonts w:ascii="Times New Roman" w:hAnsi="Times New Roman"/>
                <w:sz w:val="24"/>
                <w:vertAlign w:val="subscript"/>
              </w:rPr>
              <w:t>p1</w:t>
            </w:r>
            <w:r>
              <w:rPr>
                <w:rFonts w:ascii="Times New Roman" w:hAnsi="Times New Roman"/>
                <w:sz w:val="24"/>
              </w:rPr>
              <w:t>——靠近开口处（或窗户）室内某倍频带的声压级或A声级，dB；</w:t>
            </w:r>
          </w:p>
          <w:p>
            <w:pPr>
              <w:pStyle w:val="2"/>
              <w:ind w:left="0" w:leftChars="0" w:firstLine="720" w:firstLineChars="300"/>
              <w:rPr>
                <w:rFonts w:ascii="Times New Roman" w:hAnsi="Times New Roman"/>
                <w:sz w:val="24"/>
              </w:rPr>
            </w:pPr>
            <w:r>
              <w:rPr>
                <w:rFonts w:ascii="Times New Roman" w:hAnsi="Times New Roman"/>
                <w:sz w:val="24"/>
              </w:rPr>
              <w:t>L</w:t>
            </w:r>
            <w:r>
              <w:rPr>
                <w:rFonts w:ascii="Times New Roman" w:hAnsi="Times New Roman"/>
                <w:sz w:val="24"/>
                <w:vertAlign w:val="subscript"/>
              </w:rPr>
              <w:t>p2</w:t>
            </w:r>
            <w:r>
              <w:rPr>
                <w:rFonts w:ascii="Times New Roman" w:hAnsi="Times New Roman"/>
                <w:sz w:val="24"/>
              </w:rPr>
              <w:t>——靠近开口处（或窗户）室外某倍频带的声压级或A声级，dB；</w:t>
            </w:r>
          </w:p>
          <w:p>
            <w:pPr>
              <w:pStyle w:val="2"/>
              <w:ind w:left="0" w:leftChars="0" w:firstLine="720" w:firstLineChars="300"/>
              <w:rPr>
                <w:rFonts w:ascii="Times New Roman" w:hAnsi="Times New Roman"/>
                <w:sz w:val="24"/>
              </w:rPr>
            </w:pPr>
            <w:r>
              <w:rPr>
                <w:rFonts w:ascii="Times New Roman" w:hAnsi="Times New Roman"/>
                <w:sz w:val="24"/>
              </w:rPr>
              <w:t>TL——隔墙（或窗户）倍频带或A声级的隔声量，dB。</w:t>
            </w:r>
          </w:p>
          <w:p>
            <w:pPr>
              <w:jc w:val="center"/>
              <w:rPr>
                <w:rFonts w:ascii="Times New Roman" w:hAnsi="Times New Roman"/>
                <w:sz w:val="24"/>
                <w:szCs w:val="24"/>
              </w:rPr>
            </w:pPr>
            <w:r>
              <w:rPr>
                <w:rFonts w:ascii="Times New Roman" w:hAnsi="Times New Roman"/>
                <w:sz w:val="24"/>
                <w:szCs w:val="24"/>
                <w:lang w:val="en-US" w:bidi="ar-SA"/>
              </w:rPr>
              <w:drawing>
                <wp:inline distT="0" distB="0" distL="0" distR="0">
                  <wp:extent cx="2628900" cy="1390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2628900" cy="1390650"/>
                          </a:xfrm>
                          <a:prstGeom prst="rect">
                            <a:avLst/>
                          </a:prstGeom>
                        </pic:spPr>
                      </pic:pic>
                    </a:graphicData>
                  </a:graphic>
                </wp:inline>
              </w:drawing>
            </w:r>
          </w:p>
          <w:p>
            <w:pPr>
              <w:pStyle w:val="2"/>
              <w:spacing w:after="0" w:line="360" w:lineRule="auto"/>
              <w:ind w:left="0" w:leftChars="0" w:firstLine="0" w:firstLineChars="0"/>
              <w:jc w:val="center"/>
              <w:rPr>
                <w:rFonts w:ascii="Times New Roman" w:hAnsi="Times New Roman"/>
                <w:b/>
                <w:bCs/>
                <w:szCs w:val="21"/>
              </w:rPr>
            </w:pPr>
            <w:r>
              <w:rPr>
                <w:rFonts w:ascii="Times New Roman" w:hAnsi="Times New Roman"/>
                <w:b/>
                <w:bCs/>
                <w:szCs w:val="21"/>
              </w:rPr>
              <w:t>图B.1室内声源等效为室外声源图例</w:t>
            </w:r>
          </w:p>
          <w:p>
            <w:pPr>
              <w:pStyle w:val="2"/>
              <w:ind w:left="0" w:leftChars="0" w:firstLine="480"/>
              <w:rPr>
                <w:rFonts w:ascii="Times New Roman" w:hAnsi="Times New Roman"/>
                <w:sz w:val="24"/>
              </w:rPr>
            </w:pPr>
            <w:r>
              <w:rPr>
                <w:rFonts w:hint="eastAsia" w:ascii="Times New Roman" w:hAnsi="Times New Roman"/>
                <w:sz w:val="24"/>
              </w:rPr>
              <w:t>②</w:t>
            </w:r>
            <w:r>
              <w:rPr>
                <w:rFonts w:ascii="Times New Roman" w:hAnsi="Times New Roman"/>
                <w:sz w:val="24"/>
              </w:rPr>
              <w:t>也可按式（B.2）计算某一室内声源靠近围护结构处产生的倍频带声压级或A声级：</w:t>
            </w:r>
          </w:p>
          <w:p>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bidi="ar-SA"/>
              </w:rPr>
              <w:drawing>
                <wp:inline distT="0" distB="0" distL="0" distR="0">
                  <wp:extent cx="2209800" cy="60579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2230271" cy="611732"/>
                          </a:xfrm>
                          <a:prstGeom prst="rect">
                            <a:avLst/>
                          </a:prstGeom>
                        </pic:spPr>
                      </pic:pic>
                    </a:graphicData>
                  </a:graphic>
                </wp:inline>
              </w:drawing>
            </w:r>
            <w:r>
              <w:rPr>
                <w:rFonts w:ascii="Times New Roman" w:hAnsi="Times New Roman"/>
                <w:sz w:val="24"/>
                <w:szCs w:val="24"/>
              </w:rPr>
              <w:t xml:space="preserve">                  （B.2）</w:t>
            </w:r>
          </w:p>
          <w:p>
            <w:pPr>
              <w:pStyle w:val="2"/>
              <w:spacing w:after="0" w:line="360" w:lineRule="auto"/>
              <w:ind w:left="0" w:leftChars="0" w:firstLine="480"/>
              <w:rPr>
                <w:rFonts w:ascii="Times New Roman" w:hAnsi="Times New Roman"/>
                <w:sz w:val="24"/>
              </w:rPr>
            </w:pPr>
            <w:r>
              <w:rPr>
                <w:rFonts w:ascii="Times New Roman" w:hAnsi="Times New Roman"/>
                <w:sz w:val="24"/>
              </w:rPr>
              <w:t>式中：</w:t>
            </w:r>
          </w:p>
          <w:p>
            <w:pPr>
              <w:pStyle w:val="2"/>
              <w:spacing w:after="0" w:line="360" w:lineRule="auto"/>
              <w:ind w:left="0" w:leftChars="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p1</w:t>
            </w:r>
            <w:r>
              <w:rPr>
                <w:rFonts w:ascii="Times New Roman" w:hAnsi="Times New Roman"/>
                <w:sz w:val="24"/>
              </w:rPr>
              <w:t>——靠近开口处（或窗户）室内某倍频带的声压级或A声级，dB；</w:t>
            </w:r>
          </w:p>
          <w:p>
            <w:pPr>
              <w:pStyle w:val="2"/>
              <w:spacing w:after="0" w:line="360" w:lineRule="auto"/>
              <w:ind w:left="0" w:leftChars="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w</w:t>
            </w:r>
            <w:r>
              <w:rPr>
                <w:rFonts w:ascii="Times New Roman" w:hAnsi="Times New Roman"/>
                <w:sz w:val="24"/>
              </w:rPr>
              <w:t>——点声源声功率级（A计权或倍频带），dB；</w:t>
            </w:r>
          </w:p>
          <w:p>
            <w:pPr>
              <w:pStyle w:val="2"/>
              <w:spacing w:after="0" w:line="360" w:lineRule="auto"/>
              <w:ind w:left="0" w:leftChars="0" w:firstLine="480"/>
              <w:rPr>
                <w:rFonts w:ascii="Times New Roman" w:hAnsi="Times New Roman"/>
                <w:sz w:val="24"/>
              </w:rPr>
            </w:pPr>
            <w:r>
              <w:rPr>
                <w:rFonts w:ascii="Times New Roman" w:hAnsi="Times New Roman"/>
                <w:sz w:val="24"/>
              </w:rPr>
              <w:t>Q——指向性因数；通常对无指向性声源，当声源放在房间中心时，Q=1；当放在一面墙的中心时，Q=2；当放在两面墙夹角处时，Q=4；当放在三面墙夹角处时，Q=8；</w:t>
            </w:r>
          </w:p>
          <w:p>
            <w:pPr>
              <w:pStyle w:val="2"/>
              <w:spacing w:after="0" w:line="360" w:lineRule="auto"/>
              <w:ind w:left="0" w:leftChars="0" w:firstLine="480"/>
              <w:rPr>
                <w:rFonts w:ascii="Times New Roman" w:hAnsi="Times New Roman"/>
                <w:sz w:val="24"/>
              </w:rPr>
            </w:pPr>
            <w:r>
              <w:rPr>
                <w:rFonts w:ascii="Times New Roman" w:hAnsi="Times New Roman"/>
                <w:sz w:val="24"/>
              </w:rPr>
              <w:t>R——房间常数：R=Sα/（1-α），S为房间内表面面积，m</w:t>
            </w:r>
            <w:r>
              <w:rPr>
                <w:rFonts w:ascii="Times New Roman" w:hAnsi="Times New Roman"/>
                <w:sz w:val="24"/>
                <w:vertAlign w:val="superscript"/>
              </w:rPr>
              <w:t>2</w:t>
            </w:r>
            <w:r>
              <w:rPr>
                <w:rFonts w:ascii="Times New Roman" w:hAnsi="Times New Roman"/>
                <w:sz w:val="24"/>
              </w:rPr>
              <w:t>；α为平均吸声系数；</w:t>
            </w:r>
          </w:p>
          <w:p>
            <w:pPr>
              <w:pStyle w:val="2"/>
              <w:spacing w:after="0" w:line="360" w:lineRule="auto"/>
              <w:ind w:left="0" w:leftChars="0" w:firstLine="480"/>
              <w:rPr>
                <w:rFonts w:ascii="Times New Roman" w:hAnsi="Times New Roman"/>
                <w:sz w:val="24"/>
              </w:rPr>
            </w:pPr>
            <w:r>
              <w:rPr>
                <w:rFonts w:ascii="Times New Roman" w:hAnsi="Times New Roman"/>
                <w:sz w:val="24"/>
              </w:rPr>
              <w:t>r——声源到靠近围护结构某点处的距离，m。</w:t>
            </w:r>
          </w:p>
          <w:p>
            <w:pPr>
              <w:pStyle w:val="2"/>
              <w:spacing w:after="0" w:line="360" w:lineRule="auto"/>
              <w:ind w:left="0" w:leftChars="0" w:firstLine="480"/>
              <w:rPr>
                <w:rFonts w:ascii="Times New Roman" w:hAnsi="Times New Roman"/>
                <w:sz w:val="24"/>
              </w:rPr>
            </w:pPr>
            <w:r>
              <w:rPr>
                <w:rFonts w:ascii="Times New Roman" w:hAnsi="Times New Roman"/>
                <w:sz w:val="24"/>
              </w:rPr>
              <w:t>然后按式（B.3）计算出所有室内声源在围护结构处产生的 i 倍频带叠加声压级：</w:t>
            </w:r>
          </w:p>
          <w:p>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bidi="ar-SA"/>
              </w:rPr>
              <w:drawing>
                <wp:inline distT="0" distB="0" distL="0" distR="0">
                  <wp:extent cx="1771650" cy="5314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1778444" cy="533533"/>
                          </a:xfrm>
                          <a:prstGeom prst="rect">
                            <a:avLst/>
                          </a:prstGeom>
                        </pic:spPr>
                      </pic:pic>
                    </a:graphicData>
                  </a:graphic>
                </wp:inline>
              </w:drawing>
            </w:r>
            <w:r>
              <w:rPr>
                <w:rFonts w:ascii="Times New Roman" w:hAnsi="Times New Roman"/>
                <w:sz w:val="24"/>
                <w:szCs w:val="24"/>
              </w:rPr>
              <w:t xml:space="preserve">                     （B.3）</w:t>
            </w:r>
          </w:p>
          <w:p>
            <w:pPr>
              <w:pStyle w:val="2"/>
              <w:ind w:firstLine="480"/>
              <w:rPr>
                <w:rFonts w:ascii="Times New Roman" w:hAnsi="Times New Roman"/>
                <w:sz w:val="24"/>
              </w:rPr>
            </w:pPr>
            <w:r>
              <w:rPr>
                <w:rFonts w:ascii="Times New Roman" w:hAnsi="Times New Roman"/>
                <w:sz w:val="24"/>
              </w:rPr>
              <w:t>式中：</w:t>
            </w:r>
          </w:p>
          <w:p>
            <w:pPr>
              <w:pStyle w:val="2"/>
              <w:ind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pli</w:t>
            </w:r>
            <w:r>
              <w:rPr>
                <w:rFonts w:ascii="Times New Roman" w:hAnsi="Times New Roman"/>
                <w:sz w:val="24"/>
              </w:rPr>
              <w:t>（T）——靠近围护结构处室内 N 个声源 i 倍频带的叠加声压级，dB；</w:t>
            </w:r>
          </w:p>
          <w:p>
            <w:pPr>
              <w:pStyle w:val="2"/>
              <w:ind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plij</w:t>
            </w:r>
            <w:r>
              <w:rPr>
                <w:rFonts w:ascii="Times New Roman" w:hAnsi="Times New Roman"/>
                <w:sz w:val="24"/>
              </w:rPr>
              <w:t>（T）——室内 j 声源 i 倍频带的声压级，dB；</w:t>
            </w:r>
          </w:p>
          <w:p>
            <w:pPr>
              <w:pStyle w:val="2"/>
              <w:ind w:firstLine="480"/>
              <w:rPr>
                <w:rFonts w:ascii="Times New Roman" w:hAnsi="Times New Roman"/>
                <w:sz w:val="24"/>
              </w:rPr>
            </w:pPr>
            <w:r>
              <w:rPr>
                <w:rFonts w:ascii="Times New Roman" w:hAnsi="Times New Roman"/>
                <w:sz w:val="24"/>
              </w:rPr>
              <w:t>N——室内声源总数。</w:t>
            </w:r>
          </w:p>
          <w:p>
            <w:pPr>
              <w:pStyle w:val="2"/>
              <w:ind w:firstLine="480"/>
              <w:rPr>
                <w:rFonts w:ascii="Times New Roman" w:hAnsi="Times New Roman"/>
                <w:sz w:val="24"/>
              </w:rPr>
            </w:pPr>
            <w:r>
              <w:rPr>
                <w:rFonts w:ascii="Times New Roman" w:hAnsi="Times New Roman"/>
                <w:sz w:val="24"/>
              </w:rPr>
              <w:t>在室内近似为扩散声场时，按式（B.4）计算出靠近室外围护结构处的声压级：</w:t>
            </w:r>
          </w:p>
          <w:p>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bidi="ar-SA"/>
              </w:rPr>
              <w:drawing>
                <wp:inline distT="0" distB="0" distL="0" distR="0">
                  <wp:extent cx="2209800" cy="3371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2267171" cy="346373"/>
                          </a:xfrm>
                          <a:prstGeom prst="rect">
                            <a:avLst/>
                          </a:prstGeom>
                        </pic:spPr>
                      </pic:pic>
                    </a:graphicData>
                  </a:graphic>
                </wp:inline>
              </w:drawing>
            </w:r>
            <w:r>
              <w:rPr>
                <w:rFonts w:ascii="Times New Roman" w:hAnsi="Times New Roman"/>
                <w:sz w:val="24"/>
                <w:szCs w:val="24"/>
              </w:rPr>
              <w:t xml:space="preserve">                   （B.4）</w:t>
            </w:r>
          </w:p>
          <w:p>
            <w:pPr>
              <w:pStyle w:val="2"/>
              <w:spacing w:after="0" w:line="360" w:lineRule="auto"/>
              <w:ind w:left="0" w:leftChars="0" w:firstLine="480"/>
              <w:rPr>
                <w:rFonts w:ascii="Times New Roman" w:hAnsi="Times New Roman"/>
                <w:sz w:val="24"/>
              </w:rPr>
            </w:pPr>
            <w:r>
              <w:rPr>
                <w:rFonts w:ascii="Times New Roman" w:hAnsi="Times New Roman"/>
                <w:sz w:val="24"/>
              </w:rPr>
              <w:t>式中：</w:t>
            </w:r>
          </w:p>
          <w:p>
            <w:pPr>
              <w:pStyle w:val="2"/>
              <w:spacing w:after="0" w:line="360" w:lineRule="auto"/>
              <w:ind w:left="0" w:leftChars="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p2i</w:t>
            </w:r>
            <w:r>
              <w:rPr>
                <w:rFonts w:ascii="Times New Roman" w:hAnsi="Times New Roman"/>
                <w:sz w:val="24"/>
              </w:rPr>
              <w:t>（T）——靠近围护结构处室外N个声源i倍频带的叠加声压级，dB；</w:t>
            </w:r>
          </w:p>
          <w:p>
            <w:pPr>
              <w:pStyle w:val="2"/>
              <w:spacing w:after="0" w:line="360" w:lineRule="auto"/>
              <w:ind w:left="0" w:leftChars="0" w:firstLine="480"/>
              <w:rPr>
                <w:rFonts w:ascii="Times New Roman" w:hAnsi="Times New Roman"/>
                <w:sz w:val="24"/>
              </w:rPr>
            </w:pPr>
            <w:r>
              <w:rPr>
                <w:rFonts w:ascii="Times New Roman" w:hAnsi="Times New Roman"/>
                <w:sz w:val="24"/>
              </w:rPr>
              <w:t>L</w:t>
            </w:r>
            <w:r>
              <w:rPr>
                <w:rFonts w:ascii="Times New Roman" w:hAnsi="Times New Roman"/>
                <w:sz w:val="24"/>
                <w:vertAlign w:val="subscript"/>
              </w:rPr>
              <w:t>pli</w:t>
            </w:r>
            <w:r>
              <w:rPr>
                <w:rFonts w:ascii="Times New Roman" w:hAnsi="Times New Roman"/>
                <w:sz w:val="24"/>
              </w:rPr>
              <w:t>（T）——靠近围护结构处室内N个声源i倍频带的叠加声压级，dB；</w:t>
            </w:r>
          </w:p>
          <w:p>
            <w:pPr>
              <w:pStyle w:val="2"/>
              <w:spacing w:after="0" w:line="360" w:lineRule="auto"/>
              <w:ind w:left="0" w:leftChars="0" w:firstLine="480"/>
              <w:rPr>
                <w:rFonts w:ascii="Times New Roman" w:hAnsi="Times New Roman"/>
                <w:sz w:val="24"/>
              </w:rPr>
            </w:pPr>
            <w:r>
              <w:rPr>
                <w:rFonts w:ascii="Times New Roman" w:hAnsi="Times New Roman"/>
                <w:sz w:val="24"/>
              </w:rPr>
              <w:t>TL</w:t>
            </w:r>
            <w:r>
              <w:rPr>
                <w:rFonts w:ascii="Times New Roman" w:hAnsi="Times New Roman"/>
                <w:sz w:val="24"/>
                <w:vertAlign w:val="subscript"/>
              </w:rPr>
              <w:t>i</w:t>
            </w:r>
            <w:r>
              <w:rPr>
                <w:rFonts w:ascii="Times New Roman" w:hAnsi="Times New Roman"/>
                <w:sz w:val="24"/>
              </w:rPr>
              <w:t>——围护结构i倍频带的隔声量，dB。</w:t>
            </w:r>
          </w:p>
          <w:p>
            <w:pPr>
              <w:pStyle w:val="2"/>
              <w:spacing w:after="0" w:line="360" w:lineRule="auto"/>
              <w:ind w:left="0" w:leftChars="0" w:firstLine="480"/>
              <w:rPr>
                <w:rFonts w:ascii="Times New Roman" w:hAnsi="Times New Roman"/>
                <w:sz w:val="24"/>
              </w:rPr>
            </w:pPr>
            <w:r>
              <w:rPr>
                <w:rFonts w:ascii="Times New Roman" w:hAnsi="Times New Roman"/>
                <w:sz w:val="24"/>
              </w:rPr>
              <w:t>然后按式（B.5）将室外声源的声压级和透过面积换算成等效的室外声源，计算出中心位置位于透声面积（S）处的等效声源的倍频带声功率级。</w:t>
            </w:r>
          </w:p>
          <w:p>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bidi="ar-SA"/>
              </w:rPr>
              <w:drawing>
                <wp:inline distT="0" distB="0" distL="0" distR="0">
                  <wp:extent cx="1755140" cy="32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1789885" cy="333002"/>
                          </a:xfrm>
                          <a:prstGeom prst="rect">
                            <a:avLst/>
                          </a:prstGeom>
                        </pic:spPr>
                      </pic:pic>
                    </a:graphicData>
                  </a:graphic>
                </wp:inline>
              </w:drawing>
            </w:r>
            <w:r>
              <w:rPr>
                <w:rFonts w:hint="eastAsia" w:ascii="Times New Roman" w:hAnsi="Times New Roman"/>
                <w:sz w:val="24"/>
                <w:szCs w:val="24"/>
              </w:rPr>
              <w:t xml:space="preserve"> </w:t>
            </w:r>
            <w:r>
              <w:rPr>
                <w:rFonts w:ascii="Times New Roman" w:hAnsi="Times New Roman"/>
                <w:sz w:val="24"/>
                <w:szCs w:val="24"/>
              </w:rPr>
              <w:t xml:space="preserve">                         （B.5）</w:t>
            </w:r>
          </w:p>
          <w:p>
            <w:pPr>
              <w:spacing w:line="360" w:lineRule="auto"/>
              <w:ind w:firstLine="480" w:firstLineChars="200"/>
              <w:rPr>
                <w:rFonts w:ascii="Times New Roman" w:hAnsi="Times New Roman"/>
                <w:sz w:val="24"/>
                <w:szCs w:val="24"/>
              </w:rPr>
            </w:pPr>
            <w:r>
              <w:rPr>
                <w:rFonts w:ascii="Times New Roman" w:hAnsi="Times New Roman"/>
                <w:sz w:val="24"/>
                <w:szCs w:val="24"/>
              </w:rPr>
              <w:t>式中：</w:t>
            </w:r>
          </w:p>
          <w:p>
            <w:pPr>
              <w:spacing w:line="360" w:lineRule="auto"/>
              <w:ind w:firstLine="480" w:firstLineChars="200"/>
              <w:rPr>
                <w:rFonts w:ascii="Times New Roman" w:hAnsi="Times New Roman"/>
                <w:sz w:val="24"/>
                <w:szCs w:val="24"/>
              </w:rPr>
            </w:pPr>
            <w:r>
              <w:rPr>
                <w:rFonts w:ascii="Times New Roman" w:hAnsi="Times New Roman"/>
                <w:sz w:val="24"/>
                <w:szCs w:val="24"/>
              </w:rPr>
              <w:t>L</w:t>
            </w:r>
            <w:r>
              <w:rPr>
                <w:rFonts w:ascii="Times New Roman" w:hAnsi="Times New Roman"/>
                <w:sz w:val="24"/>
                <w:szCs w:val="24"/>
                <w:vertAlign w:val="subscript"/>
              </w:rPr>
              <w:t>w</w:t>
            </w:r>
            <w:r>
              <w:rPr>
                <w:rFonts w:ascii="Times New Roman" w:hAnsi="Times New Roman"/>
                <w:sz w:val="24"/>
                <w:szCs w:val="24"/>
              </w:rPr>
              <w:t>——中心位置位于透声面积（S）处的等效声源的倍频带声功率级，dB；</w:t>
            </w:r>
          </w:p>
          <w:p>
            <w:pPr>
              <w:spacing w:line="360" w:lineRule="auto"/>
              <w:ind w:firstLine="480" w:firstLineChars="200"/>
              <w:rPr>
                <w:rFonts w:ascii="Times New Roman" w:hAnsi="Times New Roman"/>
                <w:sz w:val="24"/>
                <w:szCs w:val="24"/>
              </w:rPr>
            </w:pPr>
            <w:r>
              <w:rPr>
                <w:rFonts w:ascii="Times New Roman" w:hAnsi="Times New Roman"/>
                <w:sz w:val="24"/>
                <w:szCs w:val="24"/>
              </w:rPr>
              <w:t>L</w:t>
            </w:r>
            <w:r>
              <w:rPr>
                <w:rFonts w:ascii="Times New Roman" w:hAnsi="Times New Roman"/>
                <w:sz w:val="24"/>
                <w:szCs w:val="24"/>
                <w:vertAlign w:val="subscript"/>
              </w:rPr>
              <w:t>p2</w:t>
            </w:r>
            <w:r>
              <w:rPr>
                <w:rFonts w:ascii="Times New Roman" w:hAnsi="Times New Roman"/>
                <w:sz w:val="24"/>
                <w:szCs w:val="24"/>
              </w:rPr>
              <w:t>（T）——靠近围护结构处室外声源的声压级，dB；</w:t>
            </w:r>
          </w:p>
          <w:p>
            <w:pPr>
              <w:spacing w:line="360" w:lineRule="auto"/>
              <w:ind w:firstLine="480" w:firstLineChars="200"/>
              <w:rPr>
                <w:rFonts w:ascii="Times New Roman" w:hAnsi="Times New Roman"/>
                <w:sz w:val="24"/>
                <w:szCs w:val="24"/>
              </w:rPr>
            </w:pPr>
            <w:r>
              <w:rPr>
                <w:rFonts w:ascii="Times New Roman" w:hAnsi="Times New Roman"/>
                <w:sz w:val="24"/>
                <w:szCs w:val="24"/>
              </w:rPr>
              <w:t>S——透声面积，m</w:t>
            </w:r>
            <w:r>
              <w:rPr>
                <w:rFonts w:ascii="Times New Roman" w:hAnsi="Times New Roman"/>
                <w:sz w:val="24"/>
                <w:szCs w:val="24"/>
                <w:vertAlign w:val="superscript"/>
              </w:rPr>
              <w:t>2</w:t>
            </w:r>
            <w:r>
              <w:rPr>
                <w:rFonts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然后按室外声源预测方法计算预测点处的A声级。</w:t>
            </w:r>
          </w:p>
          <w:p>
            <w:pPr>
              <w:spacing w:line="440" w:lineRule="exact"/>
              <w:ind w:firstLine="480"/>
              <w:jc w:val="both"/>
              <w:rPr>
                <w:rFonts w:ascii="Times New Roman" w:hAnsi="Times New Roman"/>
                <w:b/>
                <w:bCs/>
                <w:sz w:val="24"/>
                <w:szCs w:val="24"/>
              </w:rPr>
            </w:pPr>
            <w:r>
              <w:rPr>
                <w:rFonts w:hint="eastAsia" w:cs="宋体"/>
                <w:b/>
                <w:bCs/>
                <w:sz w:val="24"/>
                <w:szCs w:val="24"/>
              </w:rPr>
              <w:t>（3）</w:t>
            </w:r>
            <w:r>
              <w:rPr>
                <w:rFonts w:ascii="Times New Roman" w:hAnsi="Times New Roman"/>
                <w:b/>
                <w:bCs/>
                <w:sz w:val="24"/>
                <w:szCs w:val="24"/>
              </w:rPr>
              <w:t>预测结果</w:t>
            </w:r>
          </w:p>
          <w:p>
            <w:pPr>
              <w:spacing w:line="440" w:lineRule="exact"/>
              <w:ind w:firstLine="480"/>
              <w:jc w:val="both"/>
              <w:rPr>
                <w:rFonts w:ascii="Times New Roman" w:hAnsi="Times New Roman"/>
                <w:sz w:val="24"/>
                <w:szCs w:val="24"/>
                <w:lang w:val="en-GB"/>
              </w:rPr>
            </w:pPr>
            <w:r>
              <w:rPr>
                <w:rFonts w:ascii="Times New Roman" w:hAnsi="Times New Roman"/>
                <w:sz w:val="24"/>
                <w:szCs w:val="24"/>
                <w:lang w:val="en-GB"/>
              </w:rPr>
              <w:t>在考虑采取设备</w:t>
            </w:r>
            <w:r>
              <w:rPr>
                <w:rFonts w:ascii="Times New Roman" w:hAnsi="Times New Roman"/>
                <w:sz w:val="24"/>
                <w:szCs w:val="24"/>
              </w:rPr>
              <w:t>安装减振基座</w:t>
            </w:r>
            <w:r>
              <w:rPr>
                <w:rFonts w:ascii="Times New Roman" w:hAnsi="Times New Roman"/>
                <w:sz w:val="24"/>
                <w:szCs w:val="24"/>
                <w:lang w:val="en-GB"/>
              </w:rPr>
              <w:t>、</w:t>
            </w:r>
            <w:r>
              <w:rPr>
                <w:rFonts w:ascii="Times New Roman" w:hAnsi="Times New Roman"/>
                <w:sz w:val="24"/>
                <w:szCs w:val="24"/>
              </w:rPr>
              <w:t>厂房</w:t>
            </w:r>
            <w:r>
              <w:rPr>
                <w:rFonts w:ascii="Times New Roman" w:hAnsi="Times New Roman"/>
                <w:sz w:val="24"/>
                <w:szCs w:val="24"/>
                <w:lang w:val="en-GB"/>
              </w:rPr>
              <w:t>隔声和距离衰减</w:t>
            </w:r>
            <w:r>
              <w:rPr>
                <w:rFonts w:ascii="Times New Roman" w:hAnsi="Times New Roman"/>
                <w:sz w:val="24"/>
                <w:szCs w:val="24"/>
              </w:rPr>
              <w:t>等</w:t>
            </w:r>
            <w:r>
              <w:rPr>
                <w:rFonts w:ascii="Times New Roman" w:hAnsi="Times New Roman"/>
                <w:sz w:val="24"/>
                <w:szCs w:val="24"/>
                <w:lang w:val="en-GB"/>
              </w:rPr>
              <w:t>情况下</w:t>
            </w:r>
            <w:r>
              <w:rPr>
                <w:rFonts w:ascii="Times New Roman" w:hAnsi="Times New Roman"/>
                <w:sz w:val="24"/>
                <w:szCs w:val="24"/>
              </w:rPr>
              <w:t>，</w:t>
            </w:r>
            <w:r>
              <w:rPr>
                <w:rFonts w:ascii="Times New Roman" w:hAnsi="Times New Roman"/>
                <w:sz w:val="24"/>
                <w:szCs w:val="24"/>
                <w:lang w:val="en-GB"/>
              </w:rPr>
              <w:t>项目厂界噪声影响预测结果如下表所示。</w:t>
            </w:r>
          </w:p>
          <w:p>
            <w:pPr>
              <w:pStyle w:val="96"/>
              <w:spacing w:line="240" w:lineRule="auto"/>
              <w:ind w:firstLine="0" w:firstLineChars="0"/>
              <w:jc w:val="center"/>
              <w:rPr>
                <w:b/>
                <w:sz w:val="21"/>
              </w:rPr>
            </w:pPr>
            <w:r>
              <w:rPr>
                <w:b/>
                <w:sz w:val="21"/>
                <w:lang w:val="en-GB"/>
              </w:rPr>
              <w:t>表</w:t>
            </w:r>
            <w:r>
              <w:rPr>
                <w:b/>
                <w:sz w:val="21"/>
              </w:rPr>
              <w:t>4-15</w:t>
            </w:r>
            <w:r>
              <w:rPr>
                <w:b/>
                <w:sz w:val="21"/>
                <w:lang w:val="en-GB"/>
              </w:rPr>
              <w:t>项目</w:t>
            </w:r>
            <w:r>
              <w:rPr>
                <w:b/>
                <w:sz w:val="21"/>
              </w:rPr>
              <w:t>厂界噪声影响预测结果单位：dB（A）</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2600"/>
              <w:gridCol w:w="2385"/>
              <w:gridCol w:w="1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vMerge w:val="restart"/>
                  <w:vAlign w:val="center"/>
                </w:tcPr>
                <w:p>
                  <w:pPr>
                    <w:adjustRightInd w:val="0"/>
                    <w:snapToGrid w:val="0"/>
                    <w:spacing w:line="440" w:lineRule="exact"/>
                    <w:jc w:val="center"/>
                    <w:rPr>
                      <w:rFonts w:ascii="Times New Roman" w:hAnsi="Times New Roman"/>
                      <w:b/>
                      <w:bCs/>
                    </w:rPr>
                  </w:pPr>
                  <w:r>
                    <w:rPr>
                      <w:rFonts w:ascii="Times New Roman" w:hAnsi="Times New Roman"/>
                      <w:b/>
                      <w:bCs/>
                    </w:rPr>
                    <w:t>位点</w:t>
                  </w:r>
                </w:p>
              </w:tc>
              <w:tc>
                <w:tcPr>
                  <w:tcW w:w="1514" w:type="pct"/>
                  <w:vAlign w:val="center"/>
                </w:tcPr>
                <w:p>
                  <w:pPr>
                    <w:pStyle w:val="10"/>
                    <w:spacing w:line="440" w:lineRule="exact"/>
                    <w:jc w:val="center"/>
                    <w:rPr>
                      <w:rFonts w:ascii="Times New Roman" w:hAnsi="Times New Roman"/>
                      <w:b/>
                      <w:bCs/>
                      <w:sz w:val="21"/>
                    </w:rPr>
                  </w:pPr>
                  <w:r>
                    <w:rPr>
                      <w:rFonts w:ascii="Times New Roman" w:hAnsi="Times New Roman"/>
                      <w:b/>
                      <w:bCs/>
                      <w:sz w:val="21"/>
                    </w:rPr>
                    <w:t>贡献值</w:t>
                  </w:r>
                </w:p>
              </w:tc>
              <w:tc>
                <w:tcPr>
                  <w:tcW w:w="1389" w:type="pct"/>
                  <w:vAlign w:val="center"/>
                </w:tcPr>
                <w:p>
                  <w:pPr>
                    <w:adjustRightInd w:val="0"/>
                    <w:snapToGrid w:val="0"/>
                    <w:spacing w:line="440" w:lineRule="exact"/>
                    <w:jc w:val="center"/>
                    <w:rPr>
                      <w:rFonts w:ascii="Times New Roman" w:hAnsi="Times New Roman"/>
                      <w:b/>
                      <w:bCs/>
                    </w:rPr>
                  </w:pPr>
                  <w:r>
                    <w:rPr>
                      <w:rFonts w:ascii="Times New Roman" w:hAnsi="Times New Roman"/>
                      <w:b/>
                      <w:bCs/>
                    </w:rPr>
                    <w:t>标准值</w:t>
                  </w:r>
                </w:p>
              </w:tc>
              <w:tc>
                <w:tcPr>
                  <w:tcW w:w="1025" w:type="pct"/>
                  <w:vMerge w:val="restart"/>
                  <w:vAlign w:val="center"/>
                </w:tcPr>
                <w:p>
                  <w:pPr>
                    <w:adjustRightInd w:val="0"/>
                    <w:snapToGrid w:val="0"/>
                    <w:spacing w:line="440" w:lineRule="exact"/>
                    <w:jc w:val="center"/>
                    <w:rPr>
                      <w:rFonts w:ascii="Times New Roman" w:hAnsi="Times New Roman"/>
                      <w:b/>
                      <w:bCs/>
                    </w:rPr>
                  </w:pPr>
                  <w:r>
                    <w:rPr>
                      <w:rFonts w:ascii="Times New Roman" w:hAnsi="Times New Roman"/>
                      <w:b/>
                      <w:bCs/>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72" w:type="pct"/>
                  <w:vMerge w:val="continue"/>
                  <w:vAlign w:val="center"/>
                </w:tcPr>
                <w:p>
                  <w:pPr>
                    <w:adjustRightInd w:val="0"/>
                    <w:snapToGrid w:val="0"/>
                    <w:spacing w:line="440" w:lineRule="exact"/>
                    <w:jc w:val="center"/>
                    <w:rPr>
                      <w:rFonts w:ascii="Times New Roman" w:hAnsi="Times New Roman"/>
                    </w:rPr>
                  </w:pPr>
                </w:p>
              </w:tc>
              <w:tc>
                <w:tcPr>
                  <w:tcW w:w="1514" w:type="pct"/>
                  <w:vAlign w:val="center"/>
                </w:tcPr>
                <w:p>
                  <w:pPr>
                    <w:adjustRightInd w:val="0"/>
                    <w:snapToGrid w:val="0"/>
                    <w:spacing w:line="440" w:lineRule="exact"/>
                    <w:jc w:val="center"/>
                    <w:rPr>
                      <w:rFonts w:ascii="Times New Roman" w:hAnsi="Times New Roman"/>
                      <w:b/>
                      <w:bCs/>
                    </w:rPr>
                  </w:pPr>
                  <w:r>
                    <w:rPr>
                      <w:rFonts w:ascii="Times New Roman" w:hAnsi="Times New Roman"/>
                      <w:b/>
                      <w:bCs/>
                    </w:rPr>
                    <w:t>昼间</w:t>
                  </w:r>
                </w:p>
              </w:tc>
              <w:tc>
                <w:tcPr>
                  <w:tcW w:w="1389" w:type="pct"/>
                  <w:vAlign w:val="center"/>
                </w:tcPr>
                <w:p>
                  <w:pPr>
                    <w:adjustRightInd w:val="0"/>
                    <w:snapToGrid w:val="0"/>
                    <w:spacing w:line="440" w:lineRule="exact"/>
                    <w:jc w:val="center"/>
                    <w:rPr>
                      <w:rFonts w:ascii="Times New Roman" w:hAnsi="Times New Roman"/>
                      <w:b/>
                      <w:bCs/>
                    </w:rPr>
                  </w:pPr>
                  <w:r>
                    <w:rPr>
                      <w:rFonts w:ascii="Times New Roman" w:hAnsi="Times New Roman"/>
                      <w:b/>
                      <w:bCs/>
                    </w:rPr>
                    <w:t>昼间</w:t>
                  </w:r>
                </w:p>
              </w:tc>
              <w:tc>
                <w:tcPr>
                  <w:tcW w:w="1025" w:type="pct"/>
                  <w:vMerge w:val="continue"/>
                  <w:vAlign w:val="center"/>
                </w:tcPr>
                <w:p>
                  <w:pPr>
                    <w:adjustRightInd w:val="0"/>
                    <w:snapToGrid w:val="0"/>
                    <w:spacing w:line="440" w:lineRule="exact"/>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东厂界</w:t>
                  </w:r>
                </w:p>
              </w:tc>
              <w:tc>
                <w:tcPr>
                  <w:tcW w:w="1514" w:type="pct"/>
                  <w:vAlign w:val="center"/>
                </w:tcPr>
                <w:p>
                  <w:pPr>
                    <w:adjustRightInd w:val="0"/>
                    <w:snapToGrid w:val="0"/>
                    <w:spacing w:line="440" w:lineRule="exact"/>
                    <w:jc w:val="center"/>
                    <w:rPr>
                      <w:rFonts w:ascii="Times New Roman" w:hAnsi="Times New Roman"/>
                    </w:rPr>
                  </w:pPr>
                  <w:r>
                    <w:rPr>
                      <w:rFonts w:ascii="Times New Roman" w:hAnsi="Times New Roman"/>
                    </w:rPr>
                    <w:t>52</w:t>
                  </w:r>
                </w:p>
              </w:tc>
              <w:tc>
                <w:tcPr>
                  <w:tcW w:w="1389" w:type="pct"/>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65</w:t>
                  </w:r>
                </w:p>
              </w:tc>
              <w:tc>
                <w:tcPr>
                  <w:tcW w:w="1025" w:type="pct"/>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南厂界</w:t>
                  </w:r>
                </w:p>
              </w:tc>
              <w:tc>
                <w:tcPr>
                  <w:tcW w:w="1514" w:type="pct"/>
                  <w:vAlign w:val="center"/>
                </w:tcPr>
                <w:p>
                  <w:pPr>
                    <w:adjustRightInd w:val="0"/>
                    <w:snapToGrid w:val="0"/>
                    <w:spacing w:line="440" w:lineRule="exact"/>
                    <w:jc w:val="center"/>
                    <w:rPr>
                      <w:rFonts w:ascii="Times New Roman" w:hAnsi="Times New Roman"/>
                    </w:rPr>
                  </w:pPr>
                  <w:r>
                    <w:rPr>
                      <w:rFonts w:ascii="Times New Roman" w:hAnsi="Times New Roman"/>
                    </w:rPr>
                    <w:t>57</w:t>
                  </w:r>
                </w:p>
              </w:tc>
              <w:tc>
                <w:tcPr>
                  <w:tcW w:w="1389" w:type="pct"/>
                  <w:vAlign w:val="center"/>
                </w:tcPr>
                <w:p>
                  <w:pPr>
                    <w:adjustRightInd w:val="0"/>
                    <w:snapToGrid w:val="0"/>
                    <w:spacing w:line="440" w:lineRule="exact"/>
                    <w:jc w:val="center"/>
                    <w:rPr>
                      <w:rFonts w:ascii="Times New Roman" w:hAnsi="Times New Roman"/>
                    </w:rPr>
                  </w:pPr>
                  <w:r>
                    <w:rPr>
                      <w:rFonts w:ascii="Times New Roman" w:hAnsi="Times New Roman"/>
                    </w:rPr>
                    <w:t>65</w:t>
                  </w:r>
                </w:p>
              </w:tc>
              <w:tc>
                <w:tcPr>
                  <w:tcW w:w="1025" w:type="pct"/>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西厂界</w:t>
                  </w:r>
                </w:p>
              </w:tc>
              <w:tc>
                <w:tcPr>
                  <w:tcW w:w="1514" w:type="pct"/>
                  <w:vAlign w:val="center"/>
                </w:tcPr>
                <w:p>
                  <w:pPr>
                    <w:adjustRightInd w:val="0"/>
                    <w:snapToGrid w:val="0"/>
                    <w:spacing w:line="440" w:lineRule="exact"/>
                    <w:jc w:val="center"/>
                    <w:rPr>
                      <w:rFonts w:ascii="Times New Roman" w:hAnsi="Times New Roman"/>
                    </w:rPr>
                  </w:pPr>
                  <w:r>
                    <w:rPr>
                      <w:rFonts w:ascii="Times New Roman" w:hAnsi="Times New Roman"/>
                    </w:rPr>
                    <w:t>57</w:t>
                  </w:r>
                </w:p>
              </w:tc>
              <w:tc>
                <w:tcPr>
                  <w:tcW w:w="1389" w:type="pct"/>
                  <w:vAlign w:val="center"/>
                </w:tcPr>
                <w:p>
                  <w:pPr>
                    <w:adjustRightInd w:val="0"/>
                    <w:snapToGrid w:val="0"/>
                    <w:spacing w:line="440" w:lineRule="exact"/>
                    <w:jc w:val="center"/>
                    <w:rPr>
                      <w:rFonts w:ascii="Times New Roman" w:hAnsi="Times New Roman"/>
                    </w:rPr>
                  </w:pPr>
                  <w:r>
                    <w:rPr>
                      <w:rFonts w:ascii="Times New Roman" w:hAnsi="Times New Roman"/>
                    </w:rPr>
                    <w:t>65</w:t>
                  </w:r>
                </w:p>
              </w:tc>
              <w:tc>
                <w:tcPr>
                  <w:tcW w:w="1025" w:type="pct"/>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北厂界</w:t>
                  </w:r>
                </w:p>
              </w:tc>
              <w:tc>
                <w:tcPr>
                  <w:tcW w:w="1514" w:type="pct"/>
                  <w:vAlign w:val="center"/>
                </w:tcPr>
                <w:p>
                  <w:pPr>
                    <w:adjustRightInd w:val="0"/>
                    <w:snapToGrid w:val="0"/>
                    <w:spacing w:line="440" w:lineRule="exact"/>
                    <w:jc w:val="center"/>
                    <w:rPr>
                      <w:rFonts w:ascii="Times New Roman" w:hAnsi="Times New Roman"/>
                    </w:rPr>
                  </w:pPr>
                  <w:r>
                    <w:rPr>
                      <w:rFonts w:ascii="Times New Roman" w:hAnsi="Times New Roman"/>
                    </w:rPr>
                    <w:t>54</w:t>
                  </w:r>
                </w:p>
              </w:tc>
              <w:tc>
                <w:tcPr>
                  <w:tcW w:w="1389" w:type="pct"/>
                  <w:vAlign w:val="center"/>
                </w:tcPr>
                <w:p>
                  <w:pPr>
                    <w:adjustRightInd w:val="0"/>
                    <w:snapToGrid w:val="0"/>
                    <w:spacing w:line="440" w:lineRule="exact"/>
                    <w:jc w:val="center"/>
                    <w:rPr>
                      <w:rFonts w:ascii="Times New Roman" w:hAnsi="Times New Roman"/>
                    </w:rPr>
                  </w:pPr>
                  <w:r>
                    <w:rPr>
                      <w:rFonts w:ascii="Times New Roman" w:hAnsi="Times New Roman"/>
                    </w:rPr>
                    <w:t>65</w:t>
                  </w:r>
                </w:p>
              </w:tc>
              <w:tc>
                <w:tcPr>
                  <w:tcW w:w="1025" w:type="pct"/>
                  <w:vAlign w:val="center"/>
                </w:tcPr>
                <w:p>
                  <w:pPr>
                    <w:pStyle w:val="98"/>
                    <w:adjustRightInd w:val="0"/>
                    <w:snapToGrid w:val="0"/>
                    <w:spacing w:line="440" w:lineRule="exact"/>
                    <w:ind w:firstLine="0" w:firstLineChars="0"/>
                    <w:rPr>
                      <w:rFonts w:cs="Times New Roman"/>
                      <w:color w:val="auto"/>
                      <w:sz w:val="21"/>
                      <w:szCs w:val="21"/>
                    </w:rPr>
                  </w:pPr>
                  <w:r>
                    <w:rPr>
                      <w:rFonts w:cs="Times New Roman"/>
                      <w:color w:val="auto"/>
                      <w:sz w:val="21"/>
                      <w:szCs w:val="21"/>
                    </w:rPr>
                    <w:t>达标</w:t>
                  </w:r>
                </w:p>
              </w:tc>
            </w:tr>
          </w:tbl>
          <w:p>
            <w:pPr>
              <w:spacing w:line="440" w:lineRule="exact"/>
              <w:ind w:firstLine="482"/>
              <w:jc w:val="both"/>
              <w:rPr>
                <w:rFonts w:ascii="Times New Roman" w:hAnsi="Times New Roman"/>
                <w:sz w:val="24"/>
                <w:szCs w:val="24"/>
                <w:lang w:val="en-GB"/>
              </w:rPr>
            </w:pPr>
            <w:r>
              <w:rPr>
                <w:rFonts w:ascii="Times New Roman" w:hAnsi="Times New Roman"/>
                <w:sz w:val="24"/>
                <w:szCs w:val="24"/>
                <w:lang w:val="en-GB"/>
              </w:rPr>
              <w:t>项目各厂界噪声</w:t>
            </w:r>
            <w:r>
              <w:rPr>
                <w:rFonts w:ascii="Times New Roman" w:hAnsi="Times New Roman"/>
                <w:sz w:val="24"/>
                <w:szCs w:val="24"/>
              </w:rPr>
              <w:t>贡献值</w:t>
            </w:r>
            <w:r>
              <w:rPr>
                <w:rFonts w:ascii="Times New Roman" w:hAnsi="Times New Roman"/>
                <w:sz w:val="24"/>
                <w:szCs w:val="24"/>
                <w:lang w:val="en-GB"/>
              </w:rPr>
              <w:t>满足《工业企业厂界环境噪声排放标准》（GB12348-2008）中3类标准的要求</w:t>
            </w:r>
            <w:r>
              <w:rPr>
                <w:rFonts w:ascii="Times New Roman" w:hAnsi="Times New Roman"/>
                <w:sz w:val="24"/>
                <w:szCs w:val="24"/>
              </w:rPr>
              <w:t>。</w:t>
            </w:r>
          </w:p>
          <w:p>
            <w:pPr>
              <w:widowControl/>
              <w:spacing w:line="440" w:lineRule="exact"/>
              <w:ind w:firstLine="482"/>
              <w:jc w:val="both"/>
              <w:rPr>
                <w:rFonts w:ascii="Times New Roman" w:hAnsi="Times New Roman"/>
                <w:sz w:val="24"/>
              </w:rPr>
            </w:pPr>
            <w:r>
              <w:rPr>
                <w:rFonts w:ascii="Times New Roman" w:hAnsi="Times New Roman"/>
                <w:b/>
                <w:bCs/>
                <w:sz w:val="24"/>
                <w:lang w:val="en-US"/>
              </w:rPr>
              <w:t>3、噪声治理措施</w:t>
            </w:r>
          </w:p>
          <w:p>
            <w:pPr>
              <w:widowControl/>
              <w:spacing w:line="440" w:lineRule="exact"/>
              <w:ind w:firstLine="482"/>
              <w:jc w:val="both"/>
              <w:rPr>
                <w:rFonts w:ascii="Times New Roman" w:hAnsi="Times New Roman"/>
                <w:sz w:val="24"/>
              </w:rPr>
            </w:pPr>
            <w:r>
              <w:rPr>
                <w:rFonts w:ascii="Times New Roman" w:hAnsi="Times New Roman"/>
                <w:sz w:val="24"/>
                <w:lang w:bidi="ar"/>
              </w:rPr>
              <w:t>噪声控制的途径有降低声源噪声、控制传播途径、保护接收者；方法有吸声、隔声、消声等。为进一步降低噪声的环境影响，环评建议采取以下防治措施：</w:t>
            </w:r>
          </w:p>
          <w:p>
            <w:pPr>
              <w:widowControl/>
              <w:spacing w:line="440" w:lineRule="exact"/>
              <w:ind w:firstLine="482"/>
              <w:jc w:val="both"/>
              <w:rPr>
                <w:rFonts w:ascii="Times New Roman" w:hAnsi="Times New Roman"/>
                <w:sz w:val="24"/>
              </w:rPr>
            </w:pPr>
            <w:r>
              <w:rPr>
                <w:rFonts w:hint="eastAsia" w:cs="宋体"/>
                <w:sz w:val="24"/>
                <w:lang w:bidi="ar"/>
              </w:rPr>
              <w:t>①</w:t>
            </w:r>
            <w:r>
              <w:rPr>
                <w:rFonts w:ascii="Times New Roman" w:hAnsi="Times New Roman"/>
                <w:sz w:val="24"/>
                <w:lang w:bidi="ar"/>
              </w:rPr>
              <w:t>购买的设备必须是高性能、低噪声产品，另外可于厂界四周种植树木，可起到降低噪声的效果；</w:t>
            </w:r>
          </w:p>
          <w:p>
            <w:pPr>
              <w:widowControl/>
              <w:spacing w:line="440" w:lineRule="exact"/>
              <w:ind w:firstLine="482"/>
              <w:jc w:val="both"/>
              <w:rPr>
                <w:rFonts w:ascii="Times New Roman" w:hAnsi="Times New Roman"/>
                <w:sz w:val="24"/>
              </w:rPr>
            </w:pPr>
            <w:r>
              <w:rPr>
                <w:rFonts w:hint="eastAsia" w:cs="宋体"/>
                <w:sz w:val="24"/>
                <w:lang w:bidi="ar"/>
              </w:rPr>
              <w:t>②</w:t>
            </w:r>
            <w:r>
              <w:rPr>
                <w:rFonts w:ascii="Times New Roman" w:hAnsi="Times New Roman"/>
                <w:sz w:val="24"/>
                <w:lang w:bidi="ar"/>
              </w:rPr>
              <w:t>对噪声相对较大的设备，应加强减震降噪措施，如加装隔振垫、减震器、消声器等；</w:t>
            </w:r>
          </w:p>
          <w:p>
            <w:pPr>
              <w:widowControl/>
              <w:spacing w:line="440" w:lineRule="exact"/>
              <w:ind w:firstLine="482"/>
              <w:jc w:val="both"/>
              <w:rPr>
                <w:rFonts w:ascii="Times New Roman" w:hAnsi="Times New Roman"/>
                <w:sz w:val="24"/>
              </w:rPr>
            </w:pPr>
            <w:r>
              <w:rPr>
                <w:rFonts w:hint="eastAsia" w:cs="宋体"/>
                <w:sz w:val="24"/>
                <w:lang w:bidi="ar"/>
              </w:rPr>
              <w:t>③</w:t>
            </w:r>
            <w:r>
              <w:rPr>
                <w:rFonts w:ascii="Times New Roman" w:hAnsi="Times New Roman"/>
                <w:sz w:val="24"/>
                <w:lang w:bidi="ar"/>
              </w:rPr>
              <w:t>加强设备的维护，确保设备处于良好的运转状态，杜绝因设备不正常运转时产生的高噪声现象。</w:t>
            </w:r>
          </w:p>
          <w:p>
            <w:pPr>
              <w:widowControl/>
              <w:spacing w:line="440" w:lineRule="exact"/>
              <w:ind w:firstLine="482"/>
              <w:jc w:val="both"/>
              <w:rPr>
                <w:rFonts w:ascii="Times New Roman" w:hAnsi="Times New Roman"/>
                <w:sz w:val="24"/>
                <w:lang w:bidi="ar"/>
              </w:rPr>
            </w:pPr>
            <w:r>
              <w:rPr>
                <w:rFonts w:ascii="Times New Roman" w:hAnsi="Times New Roman"/>
                <w:sz w:val="24"/>
                <w:lang w:bidi="ar"/>
              </w:rPr>
              <w:t>噪声经减振、隔声后，企业厂界噪声可满足《工业企业厂界环境噪声排放标准》（GB12348-2008）3类标准。项目厂区设备噪声对周围声环境影响较小。</w:t>
            </w:r>
          </w:p>
          <w:p>
            <w:pPr>
              <w:adjustRightInd w:val="0"/>
              <w:snapToGrid w:val="0"/>
              <w:spacing w:line="440" w:lineRule="exact"/>
              <w:ind w:firstLine="482"/>
              <w:jc w:val="both"/>
              <w:rPr>
                <w:rFonts w:ascii="Times New Roman" w:hAnsi="Times New Roman"/>
                <w:b/>
                <w:bCs/>
                <w:sz w:val="24"/>
                <w:lang w:val="en-US"/>
              </w:rPr>
            </w:pPr>
            <w:r>
              <w:rPr>
                <w:rFonts w:ascii="Times New Roman" w:hAnsi="Times New Roman"/>
                <w:b/>
                <w:bCs/>
                <w:sz w:val="24"/>
                <w:lang w:val="en-US"/>
              </w:rPr>
              <w:t>4、监测计划</w:t>
            </w:r>
          </w:p>
          <w:p>
            <w:pPr>
              <w:widowControl/>
              <w:spacing w:line="440" w:lineRule="exact"/>
              <w:ind w:firstLine="480"/>
              <w:jc w:val="both"/>
              <w:rPr>
                <w:rFonts w:ascii="Times New Roman" w:hAnsi="Times New Roman"/>
                <w:sz w:val="24"/>
              </w:rPr>
            </w:pPr>
            <w:r>
              <w:rPr>
                <w:rFonts w:ascii="Times New Roman" w:hAnsi="Times New Roman"/>
                <w:sz w:val="24"/>
              </w:rPr>
              <w:t>根据《排污许可证申请与核发技术规范总则》（HJ942-2018）和</w:t>
            </w:r>
            <w:r>
              <w:rPr>
                <w:rFonts w:ascii="Times New Roman" w:hAnsi="Times New Roman"/>
                <w:sz w:val="24"/>
                <w:lang w:bidi="ar"/>
              </w:rPr>
              <w:t>《排污单位自行监测技术指南总则》（HJ819-2017）</w:t>
            </w:r>
            <w:r>
              <w:rPr>
                <w:rFonts w:ascii="Times New Roman" w:hAnsi="Times New Roman"/>
                <w:sz w:val="24"/>
              </w:rPr>
              <w:t>，本项目监测计划见</w:t>
            </w:r>
            <w:r>
              <w:rPr>
                <w:rFonts w:hint="eastAsia" w:ascii="Times New Roman" w:hAnsi="Times New Roman"/>
                <w:sz w:val="24"/>
              </w:rPr>
              <w:t>下</w:t>
            </w:r>
            <w:r>
              <w:rPr>
                <w:rFonts w:ascii="Times New Roman" w:hAnsi="Times New Roman"/>
                <w:sz w:val="24"/>
              </w:rPr>
              <w:t>表。</w:t>
            </w:r>
          </w:p>
          <w:p>
            <w:pPr>
              <w:pStyle w:val="96"/>
              <w:spacing w:line="240" w:lineRule="auto"/>
              <w:ind w:firstLine="0" w:firstLineChars="0"/>
              <w:jc w:val="center"/>
              <w:rPr>
                <w:b/>
                <w:sz w:val="21"/>
                <w:lang w:val="en-GB"/>
              </w:rPr>
            </w:pPr>
            <w:r>
              <w:rPr>
                <w:b/>
                <w:sz w:val="21"/>
                <w:lang w:val="en-GB"/>
              </w:rPr>
              <w:t>表4-16噪声监测一览表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9"/>
              <w:gridCol w:w="3175"/>
              <w:gridCol w:w="1700"/>
              <w:gridCol w:w="1419"/>
              <w:gridCol w:w="13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5" w:hRule="atLeast"/>
                <w:jc w:val="center"/>
              </w:trPr>
              <w:tc>
                <w:tcPr>
                  <w:tcW w:w="564" w:type="pct"/>
                  <w:vAlign w:val="center"/>
                </w:tcPr>
                <w:p>
                  <w:pPr>
                    <w:adjustRightInd w:val="0"/>
                    <w:snapToGrid w:val="0"/>
                    <w:spacing w:line="440" w:lineRule="exact"/>
                    <w:jc w:val="center"/>
                    <w:rPr>
                      <w:rFonts w:ascii="Times New Roman" w:hAnsi="Times New Roman"/>
                      <w:b/>
                      <w:bCs/>
                    </w:rPr>
                  </w:pPr>
                  <w:r>
                    <w:rPr>
                      <w:rFonts w:ascii="Times New Roman" w:hAnsi="Times New Roman"/>
                      <w:b/>
                      <w:bCs/>
                    </w:rPr>
                    <w:t>类别</w:t>
                  </w:r>
                </w:p>
              </w:tc>
              <w:tc>
                <w:tcPr>
                  <w:tcW w:w="1849" w:type="pct"/>
                  <w:vAlign w:val="center"/>
                </w:tcPr>
                <w:p>
                  <w:pPr>
                    <w:adjustRightInd w:val="0"/>
                    <w:snapToGrid w:val="0"/>
                    <w:spacing w:line="440" w:lineRule="exact"/>
                    <w:jc w:val="center"/>
                    <w:rPr>
                      <w:rFonts w:ascii="Times New Roman" w:hAnsi="Times New Roman"/>
                      <w:b/>
                      <w:bCs/>
                    </w:rPr>
                  </w:pPr>
                  <w:r>
                    <w:rPr>
                      <w:rFonts w:ascii="Times New Roman" w:hAnsi="Times New Roman"/>
                      <w:b/>
                      <w:bCs/>
                    </w:rPr>
                    <w:t>监测点位</w:t>
                  </w:r>
                </w:p>
              </w:tc>
              <w:tc>
                <w:tcPr>
                  <w:tcW w:w="990" w:type="pct"/>
                  <w:vAlign w:val="center"/>
                </w:tcPr>
                <w:p>
                  <w:pPr>
                    <w:adjustRightInd w:val="0"/>
                    <w:snapToGrid w:val="0"/>
                    <w:spacing w:line="440" w:lineRule="exact"/>
                    <w:jc w:val="center"/>
                    <w:rPr>
                      <w:rFonts w:ascii="Times New Roman" w:hAnsi="Times New Roman"/>
                      <w:b/>
                      <w:bCs/>
                    </w:rPr>
                  </w:pPr>
                  <w:r>
                    <w:rPr>
                      <w:rFonts w:ascii="Times New Roman" w:hAnsi="Times New Roman"/>
                      <w:b/>
                      <w:bCs/>
                    </w:rPr>
                    <w:t>监测项目</w:t>
                  </w:r>
                </w:p>
              </w:tc>
              <w:tc>
                <w:tcPr>
                  <w:tcW w:w="826" w:type="pct"/>
                  <w:vAlign w:val="center"/>
                </w:tcPr>
                <w:p>
                  <w:pPr>
                    <w:adjustRightInd w:val="0"/>
                    <w:snapToGrid w:val="0"/>
                    <w:spacing w:line="440" w:lineRule="exact"/>
                    <w:jc w:val="center"/>
                    <w:rPr>
                      <w:rFonts w:ascii="Times New Roman" w:hAnsi="Times New Roman"/>
                      <w:b/>
                      <w:bCs/>
                    </w:rPr>
                  </w:pPr>
                  <w:r>
                    <w:rPr>
                      <w:rFonts w:ascii="Times New Roman" w:hAnsi="Times New Roman"/>
                      <w:b/>
                      <w:bCs/>
                    </w:rPr>
                    <w:t>监测频率</w:t>
                  </w:r>
                </w:p>
              </w:tc>
              <w:tc>
                <w:tcPr>
                  <w:tcW w:w="771" w:type="pct"/>
                  <w:vAlign w:val="center"/>
                </w:tcPr>
                <w:p>
                  <w:pPr>
                    <w:adjustRightInd w:val="0"/>
                    <w:snapToGrid w:val="0"/>
                    <w:spacing w:line="440" w:lineRule="exact"/>
                    <w:jc w:val="center"/>
                    <w:rPr>
                      <w:rFonts w:ascii="Times New Roman" w:hAnsi="Times New Roman"/>
                      <w:b/>
                      <w:bCs/>
                    </w:rPr>
                  </w:pPr>
                  <w:r>
                    <w:rPr>
                      <w:rFonts w:ascii="Times New Roman" w:hAnsi="Times New Roman"/>
                      <w:b/>
                      <w:bCs/>
                    </w:rPr>
                    <w:t>监测方式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64" w:type="pct"/>
                  <w:vAlign w:val="center"/>
                </w:tcPr>
                <w:p>
                  <w:pPr>
                    <w:adjustRightInd w:val="0"/>
                    <w:snapToGrid w:val="0"/>
                    <w:spacing w:line="440" w:lineRule="exact"/>
                    <w:jc w:val="center"/>
                    <w:rPr>
                      <w:rFonts w:ascii="Times New Roman" w:hAnsi="Times New Roman"/>
                    </w:rPr>
                  </w:pPr>
                  <w:r>
                    <w:rPr>
                      <w:rFonts w:ascii="Times New Roman" w:hAnsi="Times New Roman"/>
                    </w:rPr>
                    <w:t>噪声</w:t>
                  </w:r>
                </w:p>
              </w:tc>
              <w:tc>
                <w:tcPr>
                  <w:tcW w:w="1849" w:type="pct"/>
                  <w:vAlign w:val="center"/>
                </w:tcPr>
                <w:p>
                  <w:pPr>
                    <w:adjustRightInd w:val="0"/>
                    <w:snapToGrid w:val="0"/>
                    <w:spacing w:line="440" w:lineRule="exact"/>
                    <w:jc w:val="center"/>
                    <w:rPr>
                      <w:rFonts w:ascii="Times New Roman" w:hAnsi="Times New Roman"/>
                    </w:rPr>
                  </w:pPr>
                  <w:r>
                    <w:rPr>
                      <w:rFonts w:ascii="Times New Roman" w:hAnsi="Times New Roman"/>
                    </w:rPr>
                    <w:t>项目四周，东南西北各一个监测点（厂界外1米处）</w:t>
                  </w:r>
                </w:p>
              </w:tc>
              <w:tc>
                <w:tcPr>
                  <w:tcW w:w="990" w:type="pct"/>
                  <w:vAlign w:val="center"/>
                </w:tcPr>
                <w:p>
                  <w:pPr>
                    <w:adjustRightInd w:val="0"/>
                    <w:snapToGrid w:val="0"/>
                    <w:spacing w:line="440" w:lineRule="exact"/>
                    <w:jc w:val="center"/>
                    <w:rPr>
                      <w:rFonts w:ascii="Times New Roman" w:hAnsi="Times New Roman"/>
                    </w:rPr>
                  </w:pPr>
                  <w:r>
                    <w:rPr>
                      <w:rFonts w:ascii="Times New Roman" w:hAnsi="Times New Roman"/>
                    </w:rPr>
                    <w:t>等效连续A声级</w:t>
                  </w:r>
                </w:p>
              </w:tc>
              <w:tc>
                <w:tcPr>
                  <w:tcW w:w="826" w:type="pct"/>
                  <w:vAlign w:val="center"/>
                </w:tcPr>
                <w:p>
                  <w:pPr>
                    <w:adjustRightInd w:val="0"/>
                    <w:snapToGrid w:val="0"/>
                    <w:spacing w:line="440" w:lineRule="exact"/>
                    <w:jc w:val="center"/>
                    <w:rPr>
                      <w:rFonts w:ascii="Times New Roman" w:hAnsi="Times New Roman"/>
                    </w:rPr>
                  </w:pPr>
                  <w:r>
                    <w:rPr>
                      <w:rFonts w:ascii="Times New Roman" w:hAnsi="Times New Roman"/>
                    </w:rPr>
                    <w:t>每季一次</w:t>
                  </w:r>
                </w:p>
              </w:tc>
              <w:tc>
                <w:tcPr>
                  <w:tcW w:w="771" w:type="pct"/>
                  <w:vAlign w:val="center"/>
                </w:tcPr>
                <w:p>
                  <w:pPr>
                    <w:adjustRightInd w:val="0"/>
                    <w:snapToGrid w:val="0"/>
                    <w:spacing w:line="440" w:lineRule="exact"/>
                    <w:jc w:val="center"/>
                    <w:rPr>
                      <w:rFonts w:ascii="Times New Roman" w:hAnsi="Times New Roman"/>
                    </w:rPr>
                  </w:pPr>
                  <w:r>
                    <w:rPr>
                      <w:rFonts w:ascii="Times New Roman" w:hAnsi="Times New Roman"/>
                    </w:rPr>
                    <w:t>委托监测</w:t>
                  </w:r>
                </w:p>
              </w:tc>
            </w:tr>
          </w:tbl>
          <w:p>
            <w:pPr>
              <w:autoSpaceDE/>
              <w:autoSpaceDN/>
              <w:spacing w:line="440" w:lineRule="exact"/>
              <w:ind w:firstLine="482" w:firstLineChars="200"/>
              <w:jc w:val="both"/>
              <w:rPr>
                <w:rFonts w:ascii="Times New Roman" w:hAnsi="Times New Roman"/>
                <w:b/>
                <w:bCs/>
                <w:sz w:val="24"/>
                <w:lang w:val="en-US"/>
              </w:rPr>
            </w:pPr>
            <w:r>
              <w:rPr>
                <w:rFonts w:ascii="Times New Roman" w:hAnsi="Times New Roman"/>
                <w:b/>
                <w:bCs/>
                <w:sz w:val="24"/>
                <w:lang w:val="en-US"/>
              </w:rPr>
              <w:t>四、固体废物</w:t>
            </w:r>
          </w:p>
          <w:p>
            <w:pPr>
              <w:spacing w:line="440" w:lineRule="exact"/>
              <w:ind w:firstLine="480" w:firstLineChars="200"/>
              <w:jc w:val="both"/>
              <w:rPr>
                <w:rFonts w:ascii="Times New Roman" w:hAnsi="Times New Roman"/>
                <w:bCs/>
                <w:sz w:val="24"/>
              </w:rPr>
            </w:pPr>
            <w:r>
              <w:rPr>
                <w:rFonts w:ascii="Times New Roman" w:hAnsi="Times New Roman"/>
                <w:sz w:val="24"/>
              </w:rPr>
              <w:t>本项目营运期固体废物主要为玻璃碎屑、边角料、次品、废包装材料、</w:t>
            </w:r>
            <w:r>
              <w:rPr>
                <w:rFonts w:ascii="Times New Roman" w:hAnsi="Times New Roman"/>
                <w:bCs/>
                <w:sz w:val="24"/>
              </w:rPr>
              <w:t>员工生活垃圾、</w:t>
            </w:r>
            <w:r>
              <w:rPr>
                <w:rFonts w:ascii="Times New Roman" w:hAnsi="Times New Roman"/>
                <w:sz w:val="24"/>
              </w:rPr>
              <w:t>废树脂、废活性炭、废润滑油、废洗网水、废硝酸钾、废AF药水、废包装瓶（桶）、废水处理站污泥、废切削液</w:t>
            </w:r>
            <w:r>
              <w:rPr>
                <w:rFonts w:hint="eastAsia" w:ascii="Times New Roman" w:hAnsi="Times New Roman"/>
                <w:sz w:val="24"/>
              </w:rPr>
              <w:t>、</w:t>
            </w:r>
            <w:r>
              <w:rPr>
                <w:rFonts w:ascii="Times New Roman" w:hAnsi="Times New Roman"/>
                <w:sz w:val="24"/>
              </w:rPr>
              <w:t>废显影液</w:t>
            </w:r>
            <w:r>
              <w:rPr>
                <w:rFonts w:hint="eastAsia" w:ascii="Times New Roman" w:hAnsi="Times New Roman"/>
                <w:sz w:val="24"/>
              </w:rPr>
              <w:t>、废网版、</w:t>
            </w:r>
            <w:r>
              <w:rPr>
                <w:rFonts w:ascii="Times New Roman" w:hAnsi="Times New Roman"/>
                <w:sz w:val="24"/>
              </w:rPr>
              <w:t>含油</w:t>
            </w:r>
            <w:r>
              <w:rPr>
                <w:rFonts w:hint="eastAsia" w:ascii="Times New Roman" w:hAnsi="Times New Roman"/>
                <w:sz w:val="24"/>
              </w:rPr>
              <w:t>抹布</w:t>
            </w:r>
            <w:r>
              <w:rPr>
                <w:rFonts w:ascii="Times New Roman" w:hAnsi="Times New Roman"/>
                <w:sz w:val="24"/>
              </w:rPr>
              <w:t>、手套、等</w:t>
            </w:r>
            <w:r>
              <w:rPr>
                <w:rFonts w:ascii="Times New Roman" w:hAnsi="Times New Roman"/>
                <w:bCs/>
                <w:sz w:val="24"/>
              </w:rPr>
              <w:t>。</w:t>
            </w:r>
          </w:p>
          <w:p>
            <w:pPr>
              <w:spacing w:line="440" w:lineRule="exact"/>
              <w:ind w:firstLine="482" w:firstLineChars="200"/>
              <w:rPr>
                <w:rFonts w:ascii="Times New Roman" w:hAnsi="Times New Roman"/>
                <w:b/>
                <w:sz w:val="24"/>
              </w:rPr>
            </w:pPr>
            <w:r>
              <w:rPr>
                <w:rFonts w:ascii="Times New Roman" w:hAnsi="Times New Roman"/>
                <w:b/>
                <w:sz w:val="24"/>
              </w:rPr>
              <w:t>（1）一般固体废物</w:t>
            </w:r>
          </w:p>
          <w:p>
            <w:pPr>
              <w:spacing w:line="440" w:lineRule="exact"/>
              <w:ind w:firstLine="482" w:firstLineChars="200"/>
              <w:jc w:val="both"/>
              <w:rPr>
                <w:rFonts w:ascii="Times New Roman" w:hAnsi="Times New Roman"/>
                <w:sz w:val="24"/>
              </w:rPr>
            </w:pPr>
            <w:r>
              <w:rPr>
                <w:rFonts w:hint="eastAsia" w:cs="宋体"/>
                <w:b/>
                <w:bCs/>
                <w:sz w:val="24"/>
              </w:rPr>
              <w:t>①</w:t>
            </w:r>
            <w:r>
              <w:rPr>
                <w:rFonts w:ascii="Times New Roman" w:hAnsi="Times New Roman"/>
                <w:b/>
                <w:bCs/>
                <w:sz w:val="24"/>
              </w:rPr>
              <w:t>玻璃碎屑、边角料、次品：</w:t>
            </w:r>
            <w:r>
              <w:rPr>
                <w:rFonts w:ascii="Times New Roman" w:hAnsi="Times New Roman"/>
                <w:sz w:val="24"/>
              </w:rPr>
              <w:t>根据建设单位提供的相关资料，本项目玻璃开料、CNC精雕、抛光、钢化、丝印过程中中会产生玻璃碎屑、边角料和次品，产生量约20t/a，经集中收集，外售至玻璃生产商。</w:t>
            </w:r>
          </w:p>
          <w:p>
            <w:pPr>
              <w:pStyle w:val="15"/>
              <w:spacing w:line="440" w:lineRule="exact"/>
              <w:ind w:firstLine="482" w:firstLineChars="200"/>
              <w:jc w:val="both"/>
              <w:rPr>
                <w:rFonts w:ascii="Times New Roman" w:hAnsi="Times New Roman" w:cs="Times New Roman"/>
              </w:rPr>
            </w:pPr>
            <w:r>
              <w:rPr>
                <w:rFonts w:hint="eastAsia"/>
                <w:b/>
                <w:bCs/>
              </w:rPr>
              <w:t>②</w:t>
            </w:r>
            <w:r>
              <w:rPr>
                <w:rFonts w:ascii="Times New Roman" w:hAnsi="Times New Roman" w:cs="Times New Roman"/>
                <w:b/>
              </w:rPr>
              <w:t>废包装材料：</w:t>
            </w:r>
            <w:r>
              <w:rPr>
                <w:rFonts w:ascii="Times New Roman" w:hAnsi="Times New Roman" w:cs="Times New Roman"/>
              </w:rPr>
              <w:t>本项目原辅材料使用和成品打包过程中会产生一定的废包装材料，根据建设单位提供的资料，本项目废包装材料产生量为1.6t/a，统一收集后，外售至废品收购站。</w:t>
            </w:r>
          </w:p>
          <w:p>
            <w:pPr>
              <w:spacing w:line="440" w:lineRule="exact"/>
              <w:ind w:firstLine="482" w:firstLineChars="200"/>
              <w:rPr>
                <w:rFonts w:ascii="Times New Roman" w:hAnsi="Times New Roman"/>
                <w:sz w:val="24"/>
              </w:rPr>
            </w:pPr>
            <w:r>
              <w:rPr>
                <w:rFonts w:hint="eastAsia" w:cs="宋体"/>
                <w:b/>
                <w:bCs/>
                <w:sz w:val="24"/>
              </w:rPr>
              <w:t>③</w:t>
            </w:r>
            <w:r>
              <w:rPr>
                <w:rFonts w:ascii="Times New Roman" w:hAnsi="Times New Roman"/>
                <w:b/>
                <w:sz w:val="24"/>
              </w:rPr>
              <w:t>生活垃圾：</w:t>
            </w:r>
            <w:r>
              <w:rPr>
                <w:rFonts w:ascii="Times New Roman" w:hAnsi="Times New Roman"/>
                <w:sz w:val="24"/>
              </w:rPr>
              <w:t>本项目营运期劳动定员500人，平均每人每天生活垃圾产生量约0.5kg，则生活垃圾产生量为75t/a（250kg/d），委托当地环卫部门进行清运处理。</w:t>
            </w:r>
          </w:p>
          <w:p>
            <w:pPr>
              <w:pStyle w:val="15"/>
              <w:spacing w:line="440" w:lineRule="exact"/>
              <w:ind w:firstLine="482" w:firstLineChars="200"/>
              <w:jc w:val="both"/>
              <w:rPr>
                <w:rFonts w:ascii="Times New Roman" w:hAnsi="Times New Roman" w:cs="Times New Roman"/>
              </w:rPr>
            </w:pPr>
            <w:r>
              <w:rPr>
                <w:rFonts w:hint="eastAsia"/>
                <w:b/>
              </w:rPr>
              <w:t>④</w:t>
            </w:r>
            <w:r>
              <w:rPr>
                <w:rFonts w:ascii="Times New Roman" w:hAnsi="Times New Roman"/>
                <w:b/>
                <w:bCs/>
              </w:rPr>
              <w:t>废树脂：</w:t>
            </w:r>
            <w:r>
              <w:rPr>
                <w:rFonts w:ascii="Times New Roman" w:hAnsi="Times New Roman"/>
              </w:rPr>
              <w:t>本项目在生产过程中需要使用纯水，纯水制备工艺为“过滤器+RO反渗透+EDI电除盐”，纯水制备过程中饱和离子交换树脂的产生量约为2t/a，属于</w:t>
            </w:r>
            <w:r>
              <w:rPr>
                <w:rFonts w:hint="eastAsia" w:ascii="Times New Roman" w:hAnsi="Times New Roman"/>
              </w:rPr>
              <w:t>一般固废，</w:t>
            </w:r>
            <w:r>
              <w:rPr>
                <w:rFonts w:ascii="Times New Roman" w:hAnsi="Times New Roman" w:cs="Times New Roman"/>
              </w:rPr>
              <w:t>统一收集后，</w:t>
            </w:r>
            <w:r>
              <w:rPr>
                <w:rFonts w:hint="eastAsia" w:ascii="Times New Roman" w:hAnsi="Times New Roman" w:cs="Times New Roman"/>
              </w:rPr>
              <w:t>由厂家回收处理</w:t>
            </w:r>
            <w:r>
              <w:rPr>
                <w:rFonts w:ascii="Times New Roman" w:hAnsi="Times New Roman" w:cs="Times New Roman"/>
              </w:rPr>
              <w:t>。</w:t>
            </w:r>
          </w:p>
          <w:p>
            <w:pPr>
              <w:spacing w:line="440" w:lineRule="exact"/>
              <w:ind w:firstLine="482" w:firstLineChars="200"/>
              <w:rPr>
                <w:rFonts w:ascii="Times New Roman" w:hAnsi="Times New Roman"/>
                <w:b/>
                <w:sz w:val="24"/>
              </w:rPr>
            </w:pPr>
            <w:r>
              <w:rPr>
                <w:rFonts w:ascii="Times New Roman" w:hAnsi="Times New Roman"/>
                <w:b/>
                <w:sz w:val="24"/>
              </w:rPr>
              <w:t>（2）危险固废</w:t>
            </w:r>
          </w:p>
          <w:p>
            <w:pPr>
              <w:widowControl/>
              <w:spacing w:line="440" w:lineRule="exact"/>
              <w:ind w:firstLine="472" w:firstLineChars="196"/>
              <w:jc w:val="both"/>
              <w:rPr>
                <w:rFonts w:ascii="Times New Roman" w:hAnsi="Times New Roman"/>
                <w:sz w:val="24"/>
              </w:rPr>
            </w:pPr>
            <w:r>
              <w:rPr>
                <w:rFonts w:hint="eastAsia" w:cs="宋体"/>
                <w:b/>
                <w:bCs/>
                <w:sz w:val="24"/>
              </w:rPr>
              <w:t>①</w:t>
            </w:r>
            <w:r>
              <w:rPr>
                <w:rFonts w:ascii="Times New Roman" w:hAnsi="Times New Roman"/>
                <w:b/>
                <w:bCs/>
                <w:sz w:val="24"/>
              </w:rPr>
              <w:t>废活性炭：</w:t>
            </w:r>
            <w:r>
              <w:rPr>
                <w:rFonts w:ascii="Times New Roman" w:hAnsi="Times New Roman"/>
                <w:sz w:val="24"/>
              </w:rPr>
              <w:t>本项目非甲烷总烃废气采用活性炭吸附装置处理，活性炭吸附装置因吸附有机废气会产生废活性炭，项目采用的是颗粒状活性炭，根据《简明通风设计手册》，活性炭：有机废气=1：0.3，即1kg的活性炭可以吸附0.3kg的有机废气。根据前文计算，DA001有机废气去除量为0.38t/a，DA002有机废气去除量为1.08t/a，故本项目净化系统有机废气去除总量为1.46t/a，则需要活性炭4.87t/a，废活性炭产生总量为6.33t/a。属于《国家危险废物名录》中编号为HW49其他废物，危废代码900-039-49化工厂废活性炭，须按危险废物管理有关规定送至有资质的单位进行无害化处理。</w:t>
            </w:r>
          </w:p>
          <w:p>
            <w:pPr>
              <w:pStyle w:val="42"/>
              <w:spacing w:line="440" w:lineRule="exact"/>
              <w:ind w:firstLine="482" w:firstLineChars="200"/>
              <w:rPr>
                <w:rFonts w:ascii="Times New Roman" w:hAnsi="Times New Roman"/>
                <w:sz w:val="24"/>
              </w:rPr>
            </w:pPr>
            <w:r>
              <w:rPr>
                <w:rFonts w:hint="eastAsia" w:cs="宋体"/>
                <w:b/>
                <w:bCs/>
                <w:sz w:val="24"/>
              </w:rPr>
              <w:t>②</w:t>
            </w:r>
            <w:r>
              <w:rPr>
                <w:rFonts w:ascii="Times New Roman" w:hAnsi="Times New Roman"/>
                <w:b/>
                <w:sz w:val="24"/>
              </w:rPr>
              <w:t>废润滑油：</w:t>
            </w:r>
            <w:r>
              <w:rPr>
                <w:rFonts w:ascii="Times New Roman" w:hAnsi="Times New Roman"/>
                <w:sz w:val="24"/>
              </w:rPr>
              <w:t>本项目生产设备需要使用润滑油，将会产生约0.01t/a的废润滑油，属于《国家危险废物名录》中编号为</w:t>
            </w:r>
            <w:bookmarkStart w:id="58" w:name="_Hlk112344584"/>
            <w:r>
              <w:rPr>
                <w:rFonts w:ascii="Times New Roman" w:hAnsi="Times New Roman"/>
                <w:sz w:val="24"/>
              </w:rPr>
              <w:t>HW08废矿物油，危废代码900-217-08机械设备的废润滑油</w:t>
            </w:r>
            <w:bookmarkEnd w:id="58"/>
            <w:r>
              <w:rPr>
                <w:rFonts w:ascii="Times New Roman" w:hAnsi="Times New Roman"/>
                <w:sz w:val="24"/>
              </w:rPr>
              <w:t>，须按危险废物管理有关规定送至有资质的单位进行无害化处理。</w:t>
            </w:r>
          </w:p>
          <w:p>
            <w:pPr>
              <w:pStyle w:val="42"/>
              <w:spacing w:line="440" w:lineRule="exact"/>
              <w:ind w:firstLine="482" w:firstLineChars="200"/>
              <w:jc w:val="both"/>
              <w:rPr>
                <w:rFonts w:ascii="Times New Roman" w:hAnsi="Times New Roman"/>
                <w:sz w:val="24"/>
              </w:rPr>
            </w:pPr>
            <w:r>
              <w:rPr>
                <w:rFonts w:hint="eastAsia" w:cs="宋体"/>
                <w:b/>
                <w:bCs/>
                <w:sz w:val="24"/>
              </w:rPr>
              <w:t>③</w:t>
            </w:r>
            <w:r>
              <w:rPr>
                <w:rFonts w:ascii="Times New Roman" w:hAnsi="Times New Roman"/>
                <w:b/>
                <w:bCs/>
                <w:sz w:val="24"/>
              </w:rPr>
              <w:t>废洗网水：</w:t>
            </w:r>
            <w:r>
              <w:rPr>
                <w:rFonts w:ascii="Times New Roman" w:hAnsi="Times New Roman"/>
                <w:sz w:val="24"/>
              </w:rPr>
              <w:t>产品在印刷工序中有废洗网水，废洗网水产生量约0.1t/a。废洗网水属于危险废物，危废类别为HW12染料、涂料废物中非特定行业，危废代码为（900-253-12）-02，使用有机溶剂进行丝网印刷过程中产生的废物，收集后存放至危废暂存间，定期交有资质单位处置。</w:t>
            </w:r>
          </w:p>
          <w:p>
            <w:pPr>
              <w:pStyle w:val="42"/>
              <w:spacing w:line="440" w:lineRule="exact"/>
              <w:ind w:firstLine="482" w:firstLineChars="200"/>
              <w:rPr>
                <w:rFonts w:ascii="Times New Roman" w:hAnsi="Times New Roman"/>
                <w:sz w:val="24"/>
              </w:rPr>
            </w:pPr>
            <w:bookmarkStart w:id="59" w:name="_Hlk112344607"/>
            <w:r>
              <w:rPr>
                <w:rFonts w:ascii="Times New Roman" w:hAnsi="Times New Roman"/>
                <w:b/>
                <w:bCs/>
                <w:sz w:val="24"/>
              </w:rPr>
              <w:t>废油墨渣：</w:t>
            </w:r>
            <w:r>
              <w:rPr>
                <w:rFonts w:ascii="Times New Roman" w:hAnsi="Times New Roman"/>
                <w:sz w:val="24"/>
              </w:rPr>
              <w:t>项目丝印工序会产生废油墨渣，产生量约为0.04t/a，属于《国家危险废物名录》中编号为HW12染料、涂料废物，危废代码为900-253-12-01使用油墨进行丝网印刷过程中产生的废物，须按危险废物管理有关规定送至有资质的单位进行无害化处理。</w:t>
            </w:r>
          </w:p>
          <w:p>
            <w:pPr>
              <w:pStyle w:val="42"/>
              <w:spacing w:line="440" w:lineRule="exact"/>
              <w:ind w:firstLine="482" w:firstLineChars="200"/>
              <w:jc w:val="both"/>
              <w:rPr>
                <w:rFonts w:ascii="Times New Roman" w:hAnsi="Times New Roman"/>
                <w:sz w:val="24"/>
              </w:rPr>
            </w:pPr>
            <w:r>
              <w:rPr>
                <w:rFonts w:hint="eastAsia" w:cs="宋体"/>
                <w:b/>
                <w:bCs/>
                <w:sz w:val="24"/>
              </w:rPr>
              <w:t>⑤</w:t>
            </w:r>
            <w:r>
              <w:rPr>
                <w:rFonts w:ascii="Times New Roman" w:hAnsi="Times New Roman"/>
                <w:b/>
                <w:bCs/>
                <w:sz w:val="24"/>
              </w:rPr>
              <w:t>废硝酸钾：</w:t>
            </w:r>
            <w:r>
              <w:rPr>
                <w:rFonts w:ascii="Times New Roman" w:hAnsi="Times New Roman"/>
                <w:sz w:val="24"/>
              </w:rPr>
              <w:t>根据建设单位提供资料及类比同类项目，项目钢化工序产生废硝酸钾，属于《国家危险废物名录》中编号为HW49其他废物，危废代码900-999-49危险化学品，产生量约15t/a，经收集后暂存于危废暂存间，委托有危废处理资质的单位进行无害化处理。</w:t>
            </w:r>
          </w:p>
          <w:p>
            <w:pPr>
              <w:pStyle w:val="42"/>
              <w:spacing w:line="440" w:lineRule="exact"/>
              <w:ind w:firstLine="482" w:firstLineChars="200"/>
              <w:jc w:val="both"/>
              <w:rPr>
                <w:rFonts w:ascii="Times New Roman" w:hAnsi="Times New Roman"/>
                <w:sz w:val="24"/>
              </w:rPr>
            </w:pPr>
            <w:r>
              <w:rPr>
                <w:rFonts w:hint="eastAsia" w:cs="宋体"/>
                <w:b/>
                <w:bCs/>
                <w:sz w:val="24"/>
              </w:rPr>
              <w:t>⑥</w:t>
            </w:r>
            <w:r>
              <w:rPr>
                <w:rFonts w:ascii="Times New Roman" w:hAnsi="Times New Roman"/>
                <w:b/>
                <w:bCs/>
                <w:sz w:val="24"/>
              </w:rPr>
              <w:t>废AF药水：</w:t>
            </w:r>
            <w:r>
              <w:rPr>
                <w:rFonts w:ascii="Times New Roman" w:hAnsi="Times New Roman"/>
                <w:sz w:val="24"/>
              </w:rPr>
              <w:t>项目AF膜用药水主要为全氟聚醚，AF药水用量0.8t/a，有效使用率以60%计，则废AF膜药水产生量约0.32t/a，属于《国家危险废物名录》中编号为HW49其他废物，危废代码900-999-49危险化学品收集后委托有资质单位处置。收集后委托有资质单位处置。</w:t>
            </w:r>
          </w:p>
          <w:bookmarkEnd w:id="59"/>
          <w:p>
            <w:pPr>
              <w:adjustRightInd w:val="0"/>
              <w:snapToGrid w:val="0"/>
              <w:spacing w:line="440" w:lineRule="exact"/>
              <w:ind w:firstLine="482" w:firstLineChars="200"/>
              <w:jc w:val="both"/>
              <w:rPr>
                <w:rFonts w:ascii="Times New Roman" w:hAnsi="Times New Roman"/>
                <w:sz w:val="24"/>
              </w:rPr>
            </w:pPr>
            <w:r>
              <w:rPr>
                <w:rFonts w:hint="eastAsia" w:cs="宋体"/>
                <w:b/>
                <w:bCs/>
                <w:sz w:val="24"/>
              </w:rPr>
              <w:t>⑦</w:t>
            </w:r>
            <w:r>
              <w:rPr>
                <w:rFonts w:ascii="Times New Roman" w:hAnsi="Times New Roman"/>
                <w:b/>
                <w:bCs/>
                <w:sz w:val="24"/>
              </w:rPr>
              <w:t>废包装瓶（桶）</w:t>
            </w:r>
            <w:r>
              <w:rPr>
                <w:rFonts w:ascii="Times New Roman" w:hAnsi="Times New Roman"/>
                <w:sz w:val="24"/>
              </w:rPr>
              <w:t>：本项目在使用各类化学品油墨、切削液、清洗剂等产生的废瓶（桶），其产生量约为1.43t/a。对照《国家危险废物名录》（2021年版），属于危险废物，废物类别为HW49其他废物，危废代码900-041-49含有或沾染毒性、感染性危险废物的废弃包装物、容器、过滤吸附介质，按照危险废物管理要求进行贮存、转移，收集后交由有资质单位处理。</w:t>
            </w:r>
          </w:p>
          <w:p>
            <w:pPr>
              <w:pStyle w:val="15"/>
              <w:spacing w:line="440" w:lineRule="exact"/>
              <w:ind w:firstLine="482" w:firstLineChars="200"/>
              <w:jc w:val="both"/>
              <w:rPr>
                <w:rFonts w:ascii="Times New Roman" w:hAnsi="Times New Roman" w:cs="Times New Roman"/>
              </w:rPr>
            </w:pPr>
            <w:r>
              <w:rPr>
                <w:rFonts w:hint="eastAsia"/>
                <w:b/>
                <w:bCs/>
              </w:rPr>
              <w:t>⑧</w:t>
            </w:r>
            <w:r>
              <w:rPr>
                <w:rFonts w:ascii="Times New Roman" w:hAnsi="Times New Roman" w:cs="Times New Roman"/>
                <w:b/>
                <w:bCs/>
                <w:szCs w:val="21"/>
              </w:rPr>
              <w:t>废水处理站污泥</w:t>
            </w:r>
            <w:r>
              <w:rPr>
                <w:rFonts w:ascii="Times New Roman" w:hAnsi="Times New Roman" w:cs="Times New Roman"/>
                <w:szCs w:val="21"/>
              </w:rPr>
              <w:t>：</w:t>
            </w:r>
            <w:r>
              <w:rPr>
                <w:rFonts w:ascii="Times New Roman" w:hAnsi="Times New Roman" w:cs="Times New Roman"/>
              </w:rPr>
              <w:t>本项目废水处理站污泥每年清掏一次，根据建设单位提供资料，项目污泥产生量为5t/a，经对照《国家危险废物名录》（2021版），属于危险废物HW49，危废代码为772-006-49。于厂内危废暂存场所暂存后委托有资质单位妥善处置。</w:t>
            </w:r>
          </w:p>
          <w:p>
            <w:pPr>
              <w:autoSpaceDE/>
              <w:autoSpaceDN/>
              <w:spacing w:line="440" w:lineRule="exact"/>
              <w:ind w:firstLine="482" w:firstLineChars="200"/>
              <w:jc w:val="both"/>
              <w:rPr>
                <w:rFonts w:ascii="Times New Roman" w:hAnsi="Times New Roman"/>
                <w:sz w:val="24"/>
              </w:rPr>
            </w:pPr>
            <w:r>
              <w:rPr>
                <w:rFonts w:hint="eastAsia" w:cs="宋体"/>
                <w:b/>
                <w:bCs/>
                <w:sz w:val="24"/>
                <w:szCs w:val="24"/>
              </w:rPr>
              <w:t>⑨</w:t>
            </w:r>
            <w:r>
              <w:rPr>
                <w:rFonts w:ascii="Times New Roman" w:hAnsi="Times New Roman"/>
                <w:b/>
                <w:bCs/>
                <w:sz w:val="24"/>
              </w:rPr>
              <w:t>废切削液：</w:t>
            </w:r>
            <w:r>
              <w:rPr>
                <w:rFonts w:ascii="Times New Roman" w:hAnsi="Times New Roman"/>
                <w:sz w:val="24"/>
              </w:rPr>
              <w:t>本项目精雕工序使用CNC精雕机进行湿式加工，湿式雕刻过程使用纯水+少量切削液进行加工，因此CNC精雕废水中含有切削液，属于《国家危险废物名录》中编号为HW09油/水、烃/水混合物或乳化液，危废代码900-006-09使用切削油和切削液进行机械加工过程中产生的油/水、烃/水混合物或乳化液，需定期交由有资质的单位进行处理。根据建设单位提供的资料，本项目产生量约8t/a。</w:t>
            </w:r>
          </w:p>
          <w:p>
            <w:pPr>
              <w:pStyle w:val="2"/>
              <w:spacing w:after="0" w:line="360" w:lineRule="auto"/>
              <w:ind w:left="0" w:leftChars="0" w:firstLine="482"/>
              <w:rPr>
                <w:rFonts w:ascii="Times New Roman" w:hAnsi="Times New Roman"/>
                <w:sz w:val="24"/>
              </w:rPr>
            </w:pPr>
            <w:r>
              <w:rPr>
                <w:rFonts w:hint="eastAsia" w:cs="宋体"/>
                <w:b/>
                <w:bCs/>
                <w:sz w:val="24"/>
              </w:rPr>
              <w:t>⑩</w:t>
            </w:r>
            <w:r>
              <w:rPr>
                <w:rFonts w:ascii="Times New Roman" w:hAnsi="Times New Roman"/>
                <w:b/>
                <w:bCs/>
                <w:sz w:val="24"/>
              </w:rPr>
              <w:t>废显影液：</w:t>
            </w:r>
            <w:r>
              <w:rPr>
                <w:rFonts w:ascii="Times New Roman" w:hAnsi="Times New Roman"/>
                <w:sz w:val="24"/>
              </w:rPr>
              <w:t>项目显影工艺用到显影液，显影液用量0.3t/a，有效使用率以100%计，则废AF膜药水产生量约0.3t/a，属于《国家危险废物名录》中编号为HW49其他废物，危废代码900-999-49危险化学品收集后委托有资质单位处置。</w:t>
            </w:r>
          </w:p>
          <w:p>
            <w:pPr>
              <w:pStyle w:val="2"/>
              <w:spacing w:after="0" w:line="360" w:lineRule="auto"/>
              <w:ind w:left="0" w:leftChars="0" w:firstLine="482"/>
              <w:jc w:val="both"/>
              <w:rPr>
                <w:rFonts w:ascii="Times New Roman" w:hAnsi="Times New Roman"/>
                <w:sz w:val="24"/>
              </w:rPr>
            </w:pPr>
            <w:r>
              <w:rPr>
                <w:rFonts w:ascii="Times New Roman" w:hAnsi="Times New Roman"/>
                <w:b/>
                <w:bCs/>
                <w:sz w:val="24"/>
              </w:rPr>
              <w:fldChar w:fldCharType="begin"/>
            </w:r>
            <w:r>
              <w:rPr>
                <w:rFonts w:ascii="Times New Roman" w:hAnsi="Times New Roman"/>
                <w:b/>
                <w:bCs/>
                <w:sz w:val="24"/>
              </w:rPr>
              <w:instrText xml:space="preserve"> </w:instrText>
            </w:r>
            <w:r>
              <w:rPr>
                <w:rFonts w:hint="eastAsia" w:ascii="Times New Roman" w:hAnsi="Times New Roman"/>
                <w:b/>
                <w:bCs/>
                <w:sz w:val="24"/>
              </w:rPr>
              <w:instrText xml:space="preserve">eq \o\ac(</w:instrText>
            </w:r>
            <w:r>
              <w:rPr>
                <w:rFonts w:hint="eastAsia" w:hAnsi="Times New Roman"/>
                <w:b/>
                <w:bCs/>
                <w:position w:val="-4"/>
                <w:sz w:val="36"/>
              </w:rPr>
              <w:instrText xml:space="preserve">○</w:instrText>
            </w:r>
            <w:r>
              <w:rPr>
                <w:rFonts w:hint="eastAsia" w:ascii="Times New Roman" w:hAnsi="Times New Roman"/>
                <w:b/>
                <w:bCs/>
                <w:sz w:val="24"/>
              </w:rPr>
              <w:instrText xml:space="preserve">,11)</w:instrText>
            </w:r>
            <w:r>
              <w:rPr>
                <w:rFonts w:ascii="Times New Roman" w:hAnsi="Times New Roman"/>
                <w:b/>
                <w:bCs/>
                <w:sz w:val="24"/>
              </w:rPr>
              <w:fldChar w:fldCharType="end"/>
            </w:r>
            <w:r>
              <w:rPr>
                <w:rFonts w:ascii="Times New Roman" w:hAnsi="Times New Roman"/>
                <w:b/>
                <w:bCs/>
                <w:sz w:val="24"/>
              </w:rPr>
              <w:t>废网版：</w:t>
            </w:r>
            <w:r>
              <w:rPr>
                <w:rFonts w:ascii="Times New Roman" w:hAnsi="Times New Roman"/>
                <w:sz w:val="24"/>
              </w:rPr>
              <w:t>项目丝印用到外购成品网版，根据厂家提供资料，项目年产生废网版为2.5t/a，属于《国家危险废物名录》中编号为HW49其他废物，危废代码900-041-49含有或沾染毒性、感染性危险废物的废弃包装物、容器、过滤吸附介质，按照危险废物管理要求进行贮存、转移，收集后交由有资质单位处理。</w:t>
            </w:r>
          </w:p>
          <w:p>
            <w:pPr>
              <w:spacing w:line="440" w:lineRule="exact"/>
              <w:ind w:firstLine="482" w:firstLineChars="200"/>
              <w:jc w:val="both"/>
              <w:rPr>
                <w:rFonts w:ascii="Times New Roman" w:hAnsi="Times New Roman"/>
                <w:sz w:val="24"/>
                <w:szCs w:val="24"/>
              </w:rPr>
            </w:pPr>
            <w:r>
              <w:rPr>
                <w:rFonts w:cs="宋体"/>
                <w:b/>
                <w:bCs/>
                <w:sz w:val="24"/>
              </w:rPr>
              <w:fldChar w:fldCharType="begin"/>
            </w:r>
            <w:r>
              <w:rPr>
                <w:rFonts w:cs="宋体"/>
                <w:b/>
                <w:bCs/>
                <w:sz w:val="24"/>
              </w:rPr>
              <w:instrText xml:space="preserve"> </w:instrText>
            </w:r>
            <w:r>
              <w:rPr>
                <w:rFonts w:hint="eastAsia" w:cs="宋体"/>
                <w:b/>
                <w:bCs/>
                <w:sz w:val="24"/>
              </w:rPr>
              <w:instrText xml:space="preserve">eq \o\ac(</w:instrText>
            </w:r>
            <w:r>
              <w:rPr>
                <w:rFonts w:hint="eastAsia" w:cs="宋体"/>
                <w:b/>
                <w:bCs/>
                <w:position w:val="-3"/>
                <w:sz w:val="36"/>
              </w:rPr>
              <w:instrText xml:space="preserve">○</w:instrText>
            </w:r>
            <w:r>
              <w:rPr>
                <w:rFonts w:hint="eastAsia" w:cs="宋体"/>
                <w:b/>
                <w:bCs/>
                <w:sz w:val="24"/>
              </w:rPr>
              <w:instrText xml:space="preserve">,12)</w:instrText>
            </w:r>
            <w:r>
              <w:rPr>
                <w:rFonts w:cs="宋体"/>
                <w:b/>
                <w:bCs/>
                <w:sz w:val="24"/>
              </w:rPr>
              <w:fldChar w:fldCharType="end"/>
            </w:r>
            <w:r>
              <w:rPr>
                <w:rFonts w:ascii="Times New Roman" w:hAnsi="Times New Roman"/>
                <w:b/>
                <w:bCs/>
                <w:sz w:val="24"/>
              </w:rPr>
              <w:t>含油</w:t>
            </w:r>
            <w:r>
              <w:rPr>
                <w:rFonts w:hint="eastAsia" w:ascii="Times New Roman" w:hAnsi="Times New Roman"/>
                <w:b/>
                <w:bCs/>
                <w:sz w:val="24"/>
              </w:rPr>
              <w:t>抹布</w:t>
            </w:r>
            <w:r>
              <w:rPr>
                <w:rFonts w:ascii="Times New Roman" w:hAnsi="Times New Roman"/>
                <w:b/>
                <w:bCs/>
                <w:sz w:val="24"/>
              </w:rPr>
              <w:t>、手套：</w:t>
            </w:r>
            <w:r>
              <w:rPr>
                <w:rFonts w:ascii="Times New Roman" w:hAnsi="Times New Roman"/>
                <w:sz w:val="24"/>
              </w:rPr>
              <w:t>根据建设单位提供资料，项目维修间产生含油手套</w:t>
            </w:r>
            <w:r>
              <w:rPr>
                <w:rFonts w:hint="eastAsia" w:ascii="Times New Roman" w:hAnsi="Times New Roman"/>
                <w:sz w:val="24"/>
              </w:rPr>
              <w:t>，清洁产生含油抹布总量</w:t>
            </w:r>
            <w:r>
              <w:rPr>
                <w:rFonts w:ascii="Times New Roman" w:hAnsi="Times New Roman"/>
                <w:sz w:val="24"/>
              </w:rPr>
              <w:t>约为1</w:t>
            </w:r>
            <w:r>
              <w:rPr>
                <w:rFonts w:ascii="Times New Roman" w:hAnsi="Times New Roman"/>
                <w:sz w:val="24"/>
                <w:szCs w:val="24"/>
              </w:rPr>
              <w:t>.5t/a，管理。</w:t>
            </w:r>
            <w:r>
              <w:rPr>
                <w:rFonts w:hint="eastAsia" w:ascii="Times New Roman" w:hAnsi="Times New Roman"/>
                <w:sz w:val="24"/>
                <w:szCs w:val="24"/>
              </w:rPr>
              <w:t>属于《国家危险废物名录》中编号为</w:t>
            </w:r>
            <w:r>
              <w:rPr>
                <w:rFonts w:ascii="Times New Roman" w:hAnsi="Times New Roman"/>
                <w:sz w:val="24"/>
                <w:szCs w:val="24"/>
              </w:rPr>
              <w:t>HW49其他废物，危废代码900-041-49类危险废物</w:t>
            </w:r>
            <w:r>
              <w:rPr>
                <w:rFonts w:hint="eastAsia" w:ascii="Times New Roman" w:hAnsi="Times New Roman"/>
                <w:sz w:val="24"/>
                <w:szCs w:val="24"/>
              </w:rPr>
              <w:t>，</w:t>
            </w:r>
            <w:r>
              <w:rPr>
                <w:rFonts w:ascii="Times New Roman" w:hAnsi="Times New Roman"/>
                <w:sz w:val="24"/>
                <w:szCs w:val="24"/>
              </w:rPr>
              <w:t>收集后委托有资质单位处置。</w:t>
            </w:r>
          </w:p>
          <w:p/>
          <w:p>
            <w:pPr>
              <w:autoSpaceDE/>
              <w:autoSpaceDN/>
              <w:spacing w:line="360" w:lineRule="auto"/>
              <w:jc w:val="center"/>
              <w:rPr>
                <w:rFonts w:ascii="Times New Roman" w:hAnsi="Times New Roman"/>
                <w:sz w:val="24"/>
                <w:lang w:val="en-US"/>
              </w:rPr>
            </w:pPr>
            <w:r>
              <w:rPr>
                <w:rFonts w:ascii="Times New Roman" w:hAnsi="Times New Roman"/>
                <w:b/>
                <w:spacing w:val="-2"/>
              </w:rPr>
              <w:t>表4-17项目固体废物统计表</w:t>
            </w:r>
          </w:p>
          <w:tbl>
            <w:tblPr>
              <w:tblStyle w:val="2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645"/>
              <w:gridCol w:w="1669"/>
              <w:gridCol w:w="1668"/>
              <w:gridCol w:w="1061"/>
              <w:gridCol w:w="2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b/>
                      <w:bCs/>
                      <w:sz w:val="21"/>
                    </w:rPr>
                  </w:pPr>
                  <w:r>
                    <w:rPr>
                      <w:rFonts w:ascii="Times New Roman" w:hAnsi="Times New Roman"/>
                      <w:b/>
                      <w:bCs/>
                      <w:sz w:val="21"/>
                    </w:rPr>
                    <w:t>序号</w:t>
                  </w:r>
                </w:p>
              </w:tc>
              <w:tc>
                <w:tcPr>
                  <w:tcW w:w="645" w:type="dxa"/>
                  <w:vAlign w:val="center"/>
                </w:tcPr>
                <w:p>
                  <w:pPr>
                    <w:pStyle w:val="10"/>
                    <w:jc w:val="center"/>
                    <w:rPr>
                      <w:rFonts w:ascii="Times New Roman" w:hAnsi="Times New Roman"/>
                      <w:b/>
                      <w:bCs/>
                      <w:sz w:val="21"/>
                    </w:rPr>
                  </w:pPr>
                  <w:r>
                    <w:rPr>
                      <w:rFonts w:ascii="Times New Roman" w:hAnsi="Times New Roman"/>
                      <w:b/>
                      <w:bCs/>
                      <w:sz w:val="21"/>
                    </w:rPr>
                    <w:t>废物性质</w:t>
                  </w:r>
                </w:p>
              </w:tc>
              <w:tc>
                <w:tcPr>
                  <w:tcW w:w="1669" w:type="dxa"/>
                  <w:vAlign w:val="center"/>
                </w:tcPr>
                <w:p>
                  <w:pPr>
                    <w:pStyle w:val="10"/>
                    <w:jc w:val="center"/>
                    <w:rPr>
                      <w:rFonts w:ascii="Times New Roman" w:hAnsi="Times New Roman"/>
                      <w:b/>
                      <w:bCs/>
                      <w:sz w:val="21"/>
                    </w:rPr>
                  </w:pPr>
                  <w:r>
                    <w:rPr>
                      <w:rFonts w:ascii="Times New Roman" w:hAnsi="Times New Roman"/>
                      <w:b/>
                      <w:bCs/>
                      <w:sz w:val="21"/>
                    </w:rPr>
                    <w:t>类别</w:t>
                  </w:r>
                </w:p>
              </w:tc>
              <w:tc>
                <w:tcPr>
                  <w:tcW w:w="1668" w:type="dxa"/>
                  <w:vAlign w:val="center"/>
                </w:tcPr>
                <w:p>
                  <w:pPr>
                    <w:pStyle w:val="10"/>
                    <w:jc w:val="center"/>
                    <w:rPr>
                      <w:rFonts w:ascii="Times New Roman" w:hAnsi="Times New Roman"/>
                      <w:b/>
                      <w:bCs/>
                      <w:sz w:val="21"/>
                    </w:rPr>
                  </w:pPr>
                  <w:r>
                    <w:rPr>
                      <w:rFonts w:ascii="Times New Roman" w:hAnsi="Times New Roman"/>
                      <w:b/>
                      <w:bCs/>
                      <w:sz w:val="21"/>
                    </w:rPr>
                    <w:t>产生源</w:t>
                  </w:r>
                </w:p>
              </w:tc>
              <w:tc>
                <w:tcPr>
                  <w:tcW w:w="1061" w:type="dxa"/>
                  <w:vAlign w:val="center"/>
                </w:tcPr>
                <w:p>
                  <w:pPr>
                    <w:pStyle w:val="10"/>
                    <w:jc w:val="center"/>
                    <w:rPr>
                      <w:rFonts w:ascii="Times New Roman" w:hAnsi="Times New Roman"/>
                      <w:b/>
                      <w:bCs/>
                      <w:sz w:val="21"/>
                    </w:rPr>
                  </w:pPr>
                  <w:r>
                    <w:rPr>
                      <w:rFonts w:ascii="Times New Roman" w:hAnsi="Times New Roman"/>
                      <w:b/>
                      <w:bCs/>
                      <w:sz w:val="21"/>
                    </w:rPr>
                    <w:t>产生量</w:t>
                  </w:r>
                </w:p>
              </w:tc>
              <w:tc>
                <w:tcPr>
                  <w:tcW w:w="2676" w:type="dxa"/>
                  <w:vAlign w:val="center"/>
                </w:tcPr>
                <w:p>
                  <w:pPr>
                    <w:pStyle w:val="10"/>
                    <w:jc w:val="center"/>
                    <w:rPr>
                      <w:rFonts w:ascii="Times New Roman" w:hAnsi="Times New Roman"/>
                      <w:b/>
                      <w:bCs/>
                      <w:sz w:val="21"/>
                    </w:rPr>
                  </w:pPr>
                  <w:r>
                    <w:rPr>
                      <w:rFonts w:ascii="Times New Roman" w:hAnsi="Times New Roman"/>
                      <w:b/>
                      <w:bCs/>
                      <w:sz w:val="21"/>
                    </w:rPr>
                    <w:t>利用处置方式和去向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1</w:t>
                  </w:r>
                </w:p>
              </w:tc>
              <w:tc>
                <w:tcPr>
                  <w:tcW w:w="645" w:type="dxa"/>
                  <w:vMerge w:val="restart"/>
                  <w:vAlign w:val="center"/>
                </w:tcPr>
                <w:p>
                  <w:pPr>
                    <w:jc w:val="center"/>
                    <w:rPr>
                      <w:rFonts w:ascii="Times New Roman" w:hAnsi="Times New Roman"/>
                    </w:rPr>
                  </w:pPr>
                  <w:r>
                    <w:rPr>
                      <w:rFonts w:ascii="Times New Roman" w:hAnsi="Times New Roman"/>
                    </w:rPr>
                    <w:t>一般固废</w:t>
                  </w:r>
                </w:p>
              </w:tc>
              <w:tc>
                <w:tcPr>
                  <w:tcW w:w="1669" w:type="dxa"/>
                  <w:vAlign w:val="center"/>
                </w:tcPr>
                <w:p>
                  <w:pPr>
                    <w:jc w:val="center"/>
                    <w:rPr>
                      <w:rFonts w:ascii="Times New Roman" w:hAnsi="Times New Roman"/>
                    </w:rPr>
                  </w:pPr>
                  <w:r>
                    <w:rPr>
                      <w:rFonts w:ascii="Times New Roman" w:hAnsi="Times New Roman"/>
                    </w:rPr>
                    <w:t>玻璃碎屑、边角料、次品</w:t>
                  </w:r>
                </w:p>
              </w:tc>
              <w:tc>
                <w:tcPr>
                  <w:tcW w:w="1668" w:type="dxa"/>
                  <w:vAlign w:val="center"/>
                </w:tcPr>
                <w:p>
                  <w:pPr>
                    <w:jc w:val="center"/>
                    <w:rPr>
                      <w:rFonts w:ascii="Times New Roman" w:hAnsi="Times New Roman"/>
                    </w:rPr>
                  </w:pPr>
                  <w:r>
                    <w:rPr>
                      <w:rFonts w:ascii="Times New Roman" w:hAnsi="Times New Roman"/>
                    </w:rPr>
                    <w:t>开料、CNC、抛光、钢化</w:t>
                  </w:r>
                </w:p>
              </w:tc>
              <w:tc>
                <w:tcPr>
                  <w:tcW w:w="1061" w:type="dxa"/>
                  <w:vAlign w:val="center"/>
                </w:tcPr>
                <w:p>
                  <w:pPr>
                    <w:jc w:val="center"/>
                    <w:rPr>
                      <w:rFonts w:ascii="Times New Roman" w:hAnsi="Times New Roman"/>
                    </w:rPr>
                  </w:pPr>
                  <w:r>
                    <w:rPr>
                      <w:rFonts w:ascii="Times New Roman" w:hAnsi="Times New Roman"/>
                    </w:rPr>
                    <w:t>20t/a</w:t>
                  </w:r>
                </w:p>
              </w:tc>
              <w:tc>
                <w:tcPr>
                  <w:tcW w:w="2676" w:type="dxa"/>
                  <w:vAlign w:val="center"/>
                </w:tcPr>
                <w:p>
                  <w:pPr>
                    <w:jc w:val="center"/>
                    <w:rPr>
                      <w:rFonts w:ascii="Times New Roman" w:hAnsi="Times New Roman"/>
                    </w:rPr>
                  </w:pPr>
                  <w:r>
                    <w:rPr>
                      <w:rFonts w:ascii="Times New Roman" w:hAnsi="Times New Roman"/>
                    </w:rPr>
                    <w:t>集中收集，外售至玻璃生产商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2</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废包装材料</w:t>
                  </w:r>
                </w:p>
              </w:tc>
              <w:tc>
                <w:tcPr>
                  <w:tcW w:w="1668" w:type="dxa"/>
                  <w:vAlign w:val="center"/>
                </w:tcPr>
                <w:p>
                  <w:pPr>
                    <w:jc w:val="center"/>
                    <w:rPr>
                      <w:rFonts w:ascii="Times New Roman" w:hAnsi="Times New Roman"/>
                    </w:rPr>
                  </w:pPr>
                  <w:r>
                    <w:rPr>
                      <w:rFonts w:ascii="Times New Roman" w:hAnsi="Times New Roman"/>
                    </w:rPr>
                    <w:t>包装</w:t>
                  </w:r>
                </w:p>
              </w:tc>
              <w:tc>
                <w:tcPr>
                  <w:tcW w:w="1061" w:type="dxa"/>
                  <w:vAlign w:val="center"/>
                </w:tcPr>
                <w:p>
                  <w:pPr>
                    <w:jc w:val="center"/>
                    <w:rPr>
                      <w:rFonts w:ascii="Times New Roman" w:hAnsi="Times New Roman"/>
                    </w:rPr>
                  </w:pPr>
                  <w:r>
                    <w:rPr>
                      <w:rFonts w:ascii="Times New Roman" w:hAnsi="Times New Roman"/>
                    </w:rPr>
                    <w:t>1.6t/a</w:t>
                  </w:r>
                </w:p>
              </w:tc>
              <w:tc>
                <w:tcPr>
                  <w:tcW w:w="2676" w:type="dxa"/>
                  <w:vAlign w:val="center"/>
                </w:tcPr>
                <w:p>
                  <w:pPr>
                    <w:jc w:val="center"/>
                    <w:rPr>
                      <w:rFonts w:ascii="Times New Roman" w:hAnsi="Times New Roman"/>
                    </w:rPr>
                  </w:pPr>
                  <w:r>
                    <w:rPr>
                      <w:rFonts w:ascii="Times New Roman" w:hAnsi="Times New Roman"/>
                    </w:rPr>
                    <w:t>统一收集后，外售至废品收购站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3</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生活垃圾</w:t>
                  </w:r>
                </w:p>
              </w:tc>
              <w:tc>
                <w:tcPr>
                  <w:tcW w:w="1668" w:type="dxa"/>
                  <w:vAlign w:val="center"/>
                </w:tcPr>
                <w:p>
                  <w:pPr>
                    <w:jc w:val="center"/>
                    <w:rPr>
                      <w:rFonts w:ascii="Times New Roman" w:hAnsi="Times New Roman"/>
                    </w:rPr>
                  </w:pPr>
                  <w:r>
                    <w:rPr>
                      <w:rFonts w:ascii="Times New Roman" w:hAnsi="Times New Roman"/>
                    </w:rPr>
                    <w:t>宿舍、研发中心</w:t>
                  </w:r>
                </w:p>
              </w:tc>
              <w:tc>
                <w:tcPr>
                  <w:tcW w:w="1061" w:type="dxa"/>
                  <w:vAlign w:val="center"/>
                </w:tcPr>
                <w:p>
                  <w:pPr>
                    <w:jc w:val="center"/>
                    <w:rPr>
                      <w:rFonts w:ascii="Times New Roman" w:hAnsi="Times New Roman"/>
                    </w:rPr>
                  </w:pPr>
                  <w:r>
                    <w:rPr>
                      <w:rFonts w:ascii="Times New Roman" w:hAnsi="Times New Roman"/>
                    </w:rPr>
                    <w:t>75t/a</w:t>
                  </w:r>
                </w:p>
              </w:tc>
              <w:tc>
                <w:tcPr>
                  <w:tcW w:w="2676" w:type="dxa"/>
                  <w:vAlign w:val="center"/>
                </w:tcPr>
                <w:p>
                  <w:pPr>
                    <w:jc w:val="center"/>
                    <w:rPr>
                      <w:rFonts w:ascii="Times New Roman" w:hAnsi="Times New Roman"/>
                    </w:rPr>
                  </w:pPr>
                  <w:r>
                    <w:rPr>
                      <w:rFonts w:ascii="Times New Roman" w:hAnsi="Times New Roman"/>
                    </w:rPr>
                    <w:t>委托当地环卫部门进行清运处理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4</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b/>
                      <w:bCs/>
                    </w:rPr>
                  </w:pPr>
                  <w:r>
                    <w:rPr>
                      <w:rFonts w:ascii="Times New Roman" w:hAnsi="Times New Roman"/>
                    </w:rPr>
                    <w:t>废树脂</w:t>
                  </w:r>
                </w:p>
              </w:tc>
              <w:tc>
                <w:tcPr>
                  <w:tcW w:w="1668" w:type="dxa"/>
                  <w:vAlign w:val="center"/>
                </w:tcPr>
                <w:p>
                  <w:pPr>
                    <w:jc w:val="center"/>
                    <w:rPr>
                      <w:rFonts w:ascii="Times New Roman" w:hAnsi="Times New Roman"/>
                    </w:rPr>
                  </w:pPr>
                  <w:r>
                    <w:rPr>
                      <w:rFonts w:ascii="Times New Roman" w:hAnsi="Times New Roman"/>
                    </w:rPr>
                    <w:t>纯水制备</w:t>
                  </w:r>
                </w:p>
              </w:tc>
              <w:tc>
                <w:tcPr>
                  <w:tcW w:w="1061" w:type="dxa"/>
                  <w:vAlign w:val="center"/>
                </w:tcPr>
                <w:p>
                  <w:pPr>
                    <w:jc w:val="center"/>
                    <w:rPr>
                      <w:rFonts w:ascii="Times New Roman" w:hAnsi="Times New Roman"/>
                    </w:rPr>
                  </w:pPr>
                  <w:r>
                    <w:rPr>
                      <w:rFonts w:ascii="Times New Roman" w:hAnsi="Times New Roman"/>
                    </w:rPr>
                    <w:t>2t/a</w:t>
                  </w:r>
                </w:p>
              </w:tc>
              <w:tc>
                <w:tcPr>
                  <w:tcW w:w="2676" w:type="dxa"/>
                  <w:vAlign w:val="center"/>
                </w:tcPr>
                <w:p>
                  <w:pPr>
                    <w:jc w:val="center"/>
                    <w:rPr>
                      <w:rFonts w:ascii="Times New Roman" w:hAnsi="Times New Roman"/>
                      <w:u w:val="single"/>
                    </w:rPr>
                  </w:pPr>
                  <w:r>
                    <w:rPr>
                      <w:rFonts w:ascii="Times New Roman" w:hAnsi="Times New Roman"/>
                    </w:rPr>
                    <w:t>委托</w:t>
                  </w:r>
                  <w:r>
                    <w:rPr>
                      <w:rFonts w:hint="eastAsia" w:ascii="Times New Roman" w:hAnsi="Times New Roman"/>
                    </w:rPr>
                    <w:t>厂家统一处理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hint="eastAsia" w:ascii="Times New Roman" w:hAnsi="Times New Roman"/>
                      <w:sz w:val="21"/>
                    </w:rPr>
                    <w:t>5</w:t>
                  </w:r>
                </w:p>
              </w:tc>
              <w:tc>
                <w:tcPr>
                  <w:tcW w:w="645" w:type="dxa"/>
                  <w:vMerge w:val="restart"/>
                  <w:vAlign w:val="center"/>
                </w:tcPr>
                <w:p>
                  <w:pPr>
                    <w:jc w:val="center"/>
                    <w:rPr>
                      <w:rFonts w:ascii="Times New Roman" w:hAnsi="Times New Roman"/>
                    </w:rPr>
                  </w:pPr>
                  <w:r>
                    <w:rPr>
                      <w:rFonts w:ascii="Times New Roman" w:hAnsi="Times New Roman"/>
                    </w:rPr>
                    <w:t>危险废物</w:t>
                  </w:r>
                </w:p>
              </w:tc>
              <w:tc>
                <w:tcPr>
                  <w:tcW w:w="1669" w:type="dxa"/>
                  <w:vAlign w:val="center"/>
                </w:tcPr>
                <w:p>
                  <w:pPr>
                    <w:jc w:val="center"/>
                    <w:rPr>
                      <w:rFonts w:ascii="Times New Roman" w:hAnsi="Times New Roman"/>
                    </w:rPr>
                  </w:pPr>
                  <w:r>
                    <w:rPr>
                      <w:rFonts w:ascii="Times New Roman" w:hAnsi="Times New Roman"/>
                    </w:rPr>
                    <w:t>废活性炭</w:t>
                  </w:r>
                </w:p>
              </w:tc>
              <w:tc>
                <w:tcPr>
                  <w:tcW w:w="1668" w:type="dxa"/>
                  <w:vAlign w:val="center"/>
                </w:tcPr>
                <w:p>
                  <w:pPr>
                    <w:jc w:val="center"/>
                    <w:rPr>
                      <w:rFonts w:ascii="Times New Roman" w:hAnsi="Times New Roman"/>
                    </w:rPr>
                  </w:pPr>
                  <w:r>
                    <w:rPr>
                      <w:rFonts w:ascii="Times New Roman" w:hAnsi="Times New Roman"/>
                    </w:rPr>
                    <w:t>活性炭吸附装置</w:t>
                  </w:r>
                </w:p>
              </w:tc>
              <w:tc>
                <w:tcPr>
                  <w:tcW w:w="1061" w:type="dxa"/>
                  <w:vAlign w:val="center"/>
                </w:tcPr>
                <w:p>
                  <w:pPr>
                    <w:jc w:val="center"/>
                    <w:rPr>
                      <w:rFonts w:ascii="Times New Roman" w:hAnsi="Times New Roman"/>
                    </w:rPr>
                  </w:pPr>
                  <w:r>
                    <w:rPr>
                      <w:rFonts w:ascii="Times New Roman" w:hAnsi="Times New Roman"/>
                    </w:rPr>
                    <w:t>6.33t/a</w:t>
                  </w:r>
                </w:p>
              </w:tc>
              <w:tc>
                <w:tcPr>
                  <w:tcW w:w="2676" w:type="dxa"/>
                  <w:vMerge w:val="restart"/>
                  <w:vAlign w:val="center"/>
                </w:tcPr>
                <w:p>
                  <w:pPr>
                    <w:jc w:val="center"/>
                    <w:rPr>
                      <w:rFonts w:ascii="Times New Roman" w:hAnsi="Times New Roman"/>
                    </w:rPr>
                  </w:pPr>
                  <w:r>
                    <w:rPr>
                      <w:rFonts w:ascii="Times New Roman" w:hAnsi="Times New Roman"/>
                    </w:rPr>
                    <w:t>委托有资质的单位进行无害化处理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6</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废润滑油</w:t>
                  </w:r>
                </w:p>
              </w:tc>
              <w:tc>
                <w:tcPr>
                  <w:tcW w:w="1668" w:type="dxa"/>
                  <w:vAlign w:val="center"/>
                </w:tcPr>
                <w:p>
                  <w:pPr>
                    <w:jc w:val="center"/>
                    <w:rPr>
                      <w:rFonts w:ascii="Times New Roman" w:hAnsi="Times New Roman"/>
                    </w:rPr>
                  </w:pPr>
                  <w:r>
                    <w:rPr>
                      <w:rFonts w:ascii="Times New Roman" w:hAnsi="Times New Roman"/>
                    </w:rPr>
                    <w:t>设备维修</w:t>
                  </w:r>
                </w:p>
              </w:tc>
              <w:tc>
                <w:tcPr>
                  <w:tcW w:w="1061" w:type="dxa"/>
                  <w:vAlign w:val="center"/>
                </w:tcPr>
                <w:p>
                  <w:pPr>
                    <w:jc w:val="center"/>
                    <w:rPr>
                      <w:rFonts w:ascii="Times New Roman" w:hAnsi="Times New Roman"/>
                    </w:rPr>
                  </w:pPr>
                  <w:r>
                    <w:rPr>
                      <w:rFonts w:ascii="Times New Roman" w:hAnsi="Times New Roman"/>
                    </w:rPr>
                    <w:t>0.01t/a</w:t>
                  </w:r>
                </w:p>
              </w:tc>
              <w:tc>
                <w:tcPr>
                  <w:tcW w:w="267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7</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废洗网水</w:t>
                  </w:r>
                </w:p>
              </w:tc>
              <w:tc>
                <w:tcPr>
                  <w:tcW w:w="1668" w:type="dxa"/>
                  <w:vAlign w:val="center"/>
                </w:tcPr>
                <w:p>
                  <w:pPr>
                    <w:jc w:val="center"/>
                    <w:rPr>
                      <w:rFonts w:ascii="Times New Roman" w:hAnsi="Times New Roman"/>
                    </w:rPr>
                  </w:pPr>
                  <w:r>
                    <w:rPr>
                      <w:rFonts w:ascii="Times New Roman" w:hAnsi="Times New Roman"/>
                    </w:rPr>
                    <w:t>印刷工序</w:t>
                  </w:r>
                </w:p>
              </w:tc>
              <w:tc>
                <w:tcPr>
                  <w:tcW w:w="1061" w:type="dxa"/>
                  <w:vAlign w:val="center"/>
                </w:tcPr>
                <w:p>
                  <w:pPr>
                    <w:jc w:val="center"/>
                    <w:rPr>
                      <w:rFonts w:ascii="Times New Roman" w:hAnsi="Times New Roman"/>
                    </w:rPr>
                  </w:pPr>
                  <w:r>
                    <w:rPr>
                      <w:rFonts w:ascii="Times New Roman" w:hAnsi="Times New Roman"/>
                    </w:rPr>
                    <w:t>0.1t/a</w:t>
                  </w:r>
                </w:p>
              </w:tc>
              <w:tc>
                <w:tcPr>
                  <w:tcW w:w="267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8</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废油墨渣</w:t>
                  </w:r>
                </w:p>
              </w:tc>
              <w:tc>
                <w:tcPr>
                  <w:tcW w:w="1668" w:type="dxa"/>
                  <w:vAlign w:val="center"/>
                </w:tcPr>
                <w:p>
                  <w:pPr>
                    <w:jc w:val="center"/>
                    <w:rPr>
                      <w:rFonts w:ascii="Times New Roman" w:hAnsi="Times New Roman"/>
                    </w:rPr>
                  </w:pPr>
                  <w:r>
                    <w:rPr>
                      <w:rFonts w:ascii="Times New Roman" w:hAnsi="Times New Roman"/>
                    </w:rPr>
                    <w:t>印刷工序</w:t>
                  </w:r>
                </w:p>
              </w:tc>
              <w:tc>
                <w:tcPr>
                  <w:tcW w:w="1061" w:type="dxa"/>
                  <w:vAlign w:val="center"/>
                </w:tcPr>
                <w:p>
                  <w:pPr>
                    <w:jc w:val="center"/>
                    <w:rPr>
                      <w:rFonts w:ascii="Times New Roman" w:hAnsi="Times New Roman"/>
                    </w:rPr>
                  </w:pPr>
                  <w:r>
                    <w:rPr>
                      <w:rFonts w:ascii="Times New Roman" w:hAnsi="Times New Roman"/>
                    </w:rPr>
                    <w:t>0.04t/a</w:t>
                  </w:r>
                </w:p>
              </w:tc>
              <w:tc>
                <w:tcPr>
                  <w:tcW w:w="267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9</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废硝酸钾</w:t>
                  </w:r>
                </w:p>
              </w:tc>
              <w:tc>
                <w:tcPr>
                  <w:tcW w:w="1668" w:type="dxa"/>
                  <w:vAlign w:val="center"/>
                </w:tcPr>
                <w:p>
                  <w:pPr>
                    <w:jc w:val="center"/>
                    <w:rPr>
                      <w:rFonts w:ascii="Times New Roman" w:hAnsi="Times New Roman"/>
                    </w:rPr>
                  </w:pPr>
                  <w:r>
                    <w:rPr>
                      <w:rFonts w:ascii="Times New Roman" w:hAnsi="Times New Roman"/>
                    </w:rPr>
                    <w:t>印刷工序</w:t>
                  </w:r>
                </w:p>
              </w:tc>
              <w:tc>
                <w:tcPr>
                  <w:tcW w:w="1061" w:type="dxa"/>
                  <w:vAlign w:val="center"/>
                </w:tcPr>
                <w:p>
                  <w:pPr>
                    <w:jc w:val="center"/>
                    <w:rPr>
                      <w:rFonts w:ascii="Times New Roman" w:hAnsi="Times New Roman"/>
                    </w:rPr>
                  </w:pPr>
                  <w:r>
                    <w:rPr>
                      <w:rFonts w:ascii="Times New Roman" w:hAnsi="Times New Roman"/>
                    </w:rPr>
                    <w:t>15t/a</w:t>
                  </w:r>
                </w:p>
              </w:tc>
              <w:tc>
                <w:tcPr>
                  <w:tcW w:w="267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10</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废包装瓶（桶）</w:t>
                  </w:r>
                </w:p>
              </w:tc>
              <w:tc>
                <w:tcPr>
                  <w:tcW w:w="1668" w:type="dxa"/>
                  <w:vAlign w:val="center"/>
                </w:tcPr>
                <w:p>
                  <w:pPr>
                    <w:jc w:val="center"/>
                    <w:rPr>
                      <w:rFonts w:ascii="Times New Roman" w:hAnsi="Times New Roman"/>
                    </w:rPr>
                  </w:pPr>
                  <w:r>
                    <w:rPr>
                      <w:rFonts w:ascii="Times New Roman" w:hAnsi="Times New Roman"/>
                    </w:rPr>
                    <w:t>包装</w:t>
                  </w:r>
                </w:p>
              </w:tc>
              <w:tc>
                <w:tcPr>
                  <w:tcW w:w="1061" w:type="dxa"/>
                  <w:vAlign w:val="center"/>
                </w:tcPr>
                <w:p>
                  <w:pPr>
                    <w:jc w:val="center"/>
                    <w:rPr>
                      <w:rFonts w:ascii="Times New Roman" w:hAnsi="Times New Roman"/>
                    </w:rPr>
                  </w:pPr>
                  <w:r>
                    <w:rPr>
                      <w:rFonts w:ascii="Times New Roman" w:hAnsi="Times New Roman"/>
                    </w:rPr>
                    <w:t>1.43t/a</w:t>
                  </w:r>
                </w:p>
              </w:tc>
              <w:tc>
                <w:tcPr>
                  <w:tcW w:w="267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11</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废水处理站污泥</w:t>
                  </w:r>
                </w:p>
              </w:tc>
              <w:tc>
                <w:tcPr>
                  <w:tcW w:w="1668" w:type="dxa"/>
                  <w:vAlign w:val="center"/>
                </w:tcPr>
                <w:p>
                  <w:pPr>
                    <w:jc w:val="center"/>
                    <w:rPr>
                      <w:rFonts w:ascii="Times New Roman" w:hAnsi="Times New Roman"/>
                    </w:rPr>
                  </w:pPr>
                  <w:r>
                    <w:rPr>
                      <w:rFonts w:ascii="Times New Roman" w:hAnsi="Times New Roman"/>
                    </w:rPr>
                    <w:t>废水处理站</w:t>
                  </w:r>
                </w:p>
              </w:tc>
              <w:tc>
                <w:tcPr>
                  <w:tcW w:w="1061" w:type="dxa"/>
                  <w:vAlign w:val="center"/>
                </w:tcPr>
                <w:p>
                  <w:pPr>
                    <w:jc w:val="center"/>
                    <w:rPr>
                      <w:rFonts w:ascii="Times New Roman" w:hAnsi="Times New Roman"/>
                    </w:rPr>
                  </w:pPr>
                  <w:r>
                    <w:rPr>
                      <w:rFonts w:ascii="Times New Roman" w:hAnsi="Times New Roman"/>
                    </w:rPr>
                    <w:t>5t/a</w:t>
                  </w:r>
                </w:p>
              </w:tc>
              <w:tc>
                <w:tcPr>
                  <w:tcW w:w="2676"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12</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废切削液</w:t>
                  </w:r>
                </w:p>
              </w:tc>
              <w:tc>
                <w:tcPr>
                  <w:tcW w:w="1668" w:type="dxa"/>
                  <w:vAlign w:val="center"/>
                </w:tcPr>
                <w:p>
                  <w:pPr>
                    <w:jc w:val="center"/>
                    <w:rPr>
                      <w:rFonts w:ascii="Times New Roman" w:hAnsi="Times New Roman"/>
                    </w:rPr>
                  </w:pPr>
                  <w:r>
                    <w:rPr>
                      <w:rFonts w:ascii="Times New Roman" w:hAnsi="Times New Roman"/>
                    </w:rPr>
                    <w:t>精雕工序</w:t>
                  </w:r>
                </w:p>
              </w:tc>
              <w:tc>
                <w:tcPr>
                  <w:tcW w:w="1061" w:type="dxa"/>
                  <w:vAlign w:val="center"/>
                </w:tcPr>
                <w:p>
                  <w:pPr>
                    <w:jc w:val="center"/>
                    <w:rPr>
                      <w:rFonts w:ascii="Times New Roman" w:hAnsi="Times New Roman"/>
                    </w:rPr>
                  </w:pPr>
                  <w:r>
                    <w:rPr>
                      <w:rFonts w:ascii="Times New Roman" w:hAnsi="Times New Roman"/>
                    </w:rPr>
                    <w:t>8t/a</w:t>
                  </w:r>
                </w:p>
              </w:tc>
              <w:tc>
                <w:tcPr>
                  <w:tcW w:w="2676" w:type="dxa"/>
                  <w:vMerge w:val="continue"/>
                  <w:vAlign w:val="center"/>
                </w:tcPr>
                <w:p>
                  <w:pPr>
                    <w:jc w:val="center"/>
                    <w:rPr>
                      <w:rFonts w:ascii="Times New Roman" w:hAnsi="Times New Roman"/>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13</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废显影液</w:t>
                  </w:r>
                </w:p>
              </w:tc>
              <w:tc>
                <w:tcPr>
                  <w:tcW w:w="1668" w:type="dxa"/>
                  <w:vAlign w:val="center"/>
                </w:tcPr>
                <w:p>
                  <w:pPr>
                    <w:jc w:val="center"/>
                    <w:rPr>
                      <w:rFonts w:ascii="Times New Roman" w:hAnsi="Times New Roman"/>
                    </w:rPr>
                  </w:pPr>
                  <w:r>
                    <w:rPr>
                      <w:rFonts w:ascii="Times New Roman" w:hAnsi="Times New Roman"/>
                    </w:rPr>
                    <w:t>显影工序</w:t>
                  </w:r>
                </w:p>
              </w:tc>
              <w:tc>
                <w:tcPr>
                  <w:tcW w:w="1061" w:type="dxa"/>
                  <w:vAlign w:val="center"/>
                </w:tcPr>
                <w:p>
                  <w:pPr>
                    <w:jc w:val="center"/>
                    <w:rPr>
                      <w:rFonts w:ascii="Times New Roman" w:hAnsi="Times New Roman"/>
                    </w:rPr>
                  </w:pPr>
                  <w:r>
                    <w:rPr>
                      <w:rFonts w:ascii="Times New Roman" w:hAnsi="Times New Roman"/>
                    </w:rPr>
                    <w:t>0.3t/a</w:t>
                  </w:r>
                </w:p>
              </w:tc>
              <w:tc>
                <w:tcPr>
                  <w:tcW w:w="2676" w:type="dxa"/>
                  <w:vMerge w:val="continue"/>
                  <w:vAlign w:val="center"/>
                </w:tcPr>
                <w:p>
                  <w:pPr>
                    <w:jc w:val="center"/>
                    <w:rPr>
                      <w:rFonts w:ascii="Times New Roman" w:hAnsi="Times New Roman"/>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ascii="Times New Roman" w:hAnsi="Times New Roman"/>
                      <w:sz w:val="21"/>
                    </w:rPr>
                    <w:t>14</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hint="eastAsia" w:ascii="Times New Roman" w:hAnsi="Times New Roman"/>
                    </w:rPr>
                    <w:t>废网版</w:t>
                  </w:r>
                </w:p>
              </w:tc>
              <w:tc>
                <w:tcPr>
                  <w:tcW w:w="1668" w:type="dxa"/>
                  <w:vAlign w:val="center"/>
                </w:tcPr>
                <w:p>
                  <w:pPr>
                    <w:jc w:val="center"/>
                    <w:rPr>
                      <w:rFonts w:ascii="Times New Roman" w:hAnsi="Times New Roman"/>
                    </w:rPr>
                  </w:pPr>
                  <w:r>
                    <w:rPr>
                      <w:rFonts w:ascii="Times New Roman" w:hAnsi="Times New Roman"/>
                    </w:rPr>
                    <w:t>印刷工序</w:t>
                  </w:r>
                </w:p>
              </w:tc>
              <w:tc>
                <w:tcPr>
                  <w:tcW w:w="1061" w:type="dxa"/>
                  <w:vAlign w:val="center"/>
                </w:tcPr>
                <w:p>
                  <w:pPr>
                    <w:jc w:val="center"/>
                    <w:rPr>
                      <w:rFonts w:ascii="Times New Roman" w:hAnsi="Times New Roman"/>
                    </w:rPr>
                  </w:pPr>
                  <w:r>
                    <w:rPr>
                      <w:rFonts w:ascii="Times New Roman" w:hAnsi="Times New Roman"/>
                    </w:rPr>
                    <w:t>2.5t/a</w:t>
                  </w:r>
                </w:p>
              </w:tc>
              <w:tc>
                <w:tcPr>
                  <w:tcW w:w="2676" w:type="dxa"/>
                  <w:vMerge w:val="continue"/>
                  <w:vAlign w:val="center"/>
                </w:tcPr>
                <w:p>
                  <w:pPr>
                    <w:jc w:val="center"/>
                    <w:rPr>
                      <w:rFonts w:ascii="Times New Roman" w:hAnsi="Times New Roman"/>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96" w:type="dxa"/>
                  <w:vAlign w:val="center"/>
                </w:tcPr>
                <w:p>
                  <w:pPr>
                    <w:pStyle w:val="10"/>
                    <w:jc w:val="center"/>
                    <w:rPr>
                      <w:rFonts w:ascii="Times New Roman" w:hAnsi="Times New Roman"/>
                      <w:sz w:val="21"/>
                    </w:rPr>
                  </w:pPr>
                  <w:r>
                    <w:rPr>
                      <w:rFonts w:hint="eastAsia" w:ascii="Times New Roman" w:hAnsi="Times New Roman"/>
                      <w:sz w:val="21"/>
                    </w:rPr>
                    <w:t>1</w:t>
                  </w:r>
                  <w:r>
                    <w:rPr>
                      <w:rFonts w:ascii="Times New Roman" w:hAnsi="Times New Roman"/>
                      <w:sz w:val="21"/>
                    </w:rPr>
                    <w:t>5</w:t>
                  </w:r>
                </w:p>
              </w:tc>
              <w:tc>
                <w:tcPr>
                  <w:tcW w:w="645" w:type="dxa"/>
                  <w:vMerge w:val="continue"/>
                  <w:vAlign w:val="center"/>
                </w:tcPr>
                <w:p>
                  <w:pPr>
                    <w:jc w:val="center"/>
                    <w:rPr>
                      <w:rFonts w:ascii="Times New Roman" w:hAnsi="Times New Roman"/>
                    </w:rPr>
                  </w:pPr>
                </w:p>
              </w:tc>
              <w:tc>
                <w:tcPr>
                  <w:tcW w:w="1669" w:type="dxa"/>
                  <w:vAlign w:val="center"/>
                </w:tcPr>
                <w:p>
                  <w:pPr>
                    <w:jc w:val="center"/>
                    <w:rPr>
                      <w:rFonts w:ascii="Times New Roman" w:hAnsi="Times New Roman"/>
                    </w:rPr>
                  </w:pPr>
                  <w:r>
                    <w:rPr>
                      <w:rFonts w:ascii="Times New Roman" w:hAnsi="Times New Roman"/>
                    </w:rPr>
                    <w:t>含油</w:t>
                  </w:r>
                  <w:r>
                    <w:rPr>
                      <w:rFonts w:hint="eastAsia" w:ascii="Times New Roman" w:hAnsi="Times New Roman"/>
                    </w:rPr>
                    <w:t>抹布</w:t>
                  </w:r>
                  <w:r>
                    <w:rPr>
                      <w:rFonts w:ascii="Times New Roman" w:hAnsi="Times New Roman"/>
                    </w:rPr>
                    <w:t>、手套</w:t>
                  </w:r>
                </w:p>
              </w:tc>
              <w:tc>
                <w:tcPr>
                  <w:tcW w:w="1668" w:type="dxa"/>
                  <w:vAlign w:val="center"/>
                </w:tcPr>
                <w:p>
                  <w:pPr>
                    <w:jc w:val="center"/>
                    <w:rPr>
                      <w:rFonts w:ascii="Times New Roman" w:hAnsi="Times New Roman"/>
                    </w:rPr>
                  </w:pPr>
                  <w:r>
                    <w:rPr>
                      <w:rFonts w:ascii="Times New Roman" w:hAnsi="Times New Roman"/>
                    </w:rPr>
                    <w:t>设备维修</w:t>
                  </w:r>
                  <w:r>
                    <w:rPr>
                      <w:rFonts w:hint="eastAsia" w:ascii="Times New Roman" w:hAnsi="Times New Roman"/>
                    </w:rPr>
                    <w:t>、车间保洁</w:t>
                  </w:r>
                </w:p>
              </w:tc>
              <w:tc>
                <w:tcPr>
                  <w:tcW w:w="1061" w:type="dxa"/>
                  <w:vAlign w:val="center"/>
                </w:tcPr>
                <w:p>
                  <w:pPr>
                    <w:jc w:val="center"/>
                    <w:rPr>
                      <w:rFonts w:ascii="Times New Roman" w:hAnsi="Times New Roman"/>
                    </w:rPr>
                  </w:pPr>
                  <w:r>
                    <w:rPr>
                      <w:rFonts w:ascii="Times New Roman" w:hAnsi="Times New Roman"/>
                    </w:rPr>
                    <w:t>1.5t/a</w:t>
                  </w:r>
                </w:p>
              </w:tc>
              <w:tc>
                <w:tcPr>
                  <w:tcW w:w="2676" w:type="dxa"/>
                  <w:vMerge w:val="continue"/>
                  <w:vAlign w:val="center"/>
                </w:tcPr>
                <w:p>
                  <w:pPr>
                    <w:jc w:val="center"/>
                    <w:rPr>
                      <w:rFonts w:ascii="Times New Roman" w:hAnsi="Times New Roman"/>
                      <w:u w:val="single"/>
                    </w:rPr>
                  </w:pPr>
                </w:p>
              </w:tc>
            </w:tr>
          </w:tbl>
          <w:p>
            <w:pPr>
              <w:autoSpaceDE/>
              <w:autoSpaceDN/>
              <w:spacing w:line="440" w:lineRule="exact"/>
              <w:jc w:val="center"/>
              <w:rPr>
                <w:rFonts w:ascii="Times New Roman" w:hAnsi="Times New Roman"/>
                <w:sz w:val="24"/>
                <w:lang w:val="en-US"/>
              </w:rPr>
            </w:pPr>
            <w:r>
              <w:rPr>
                <w:rFonts w:ascii="Times New Roman" w:hAnsi="Times New Roman"/>
                <w:b/>
                <w:spacing w:val="-2"/>
              </w:rPr>
              <w:t>表4-18</w:t>
            </w:r>
            <w:r>
              <w:rPr>
                <w:rFonts w:ascii="Times New Roman" w:hAnsi="Times New Roman"/>
                <w:b/>
                <w:bCs/>
              </w:rPr>
              <w:t>项目危险废物产生及处置统计一览表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
              <w:gridCol w:w="924"/>
              <w:gridCol w:w="847"/>
              <w:gridCol w:w="1164"/>
              <w:gridCol w:w="1029"/>
              <w:gridCol w:w="747"/>
              <w:gridCol w:w="465"/>
              <w:gridCol w:w="811"/>
              <w:gridCol w:w="565"/>
              <w:gridCol w:w="812"/>
              <w:gridCol w:w="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b/>
                      <w:bCs/>
                    </w:rPr>
                  </w:pPr>
                  <w:bookmarkStart w:id="60" w:name="_Hlk112835395"/>
                  <w:r>
                    <w:rPr>
                      <w:rFonts w:ascii="Times New Roman" w:hAnsi="Times New Roman"/>
                      <w:b/>
                      <w:bCs/>
                    </w:rPr>
                    <w:t>序号</w:t>
                  </w:r>
                </w:p>
              </w:tc>
              <w:tc>
                <w:tcPr>
                  <w:tcW w:w="538" w:type="pct"/>
                  <w:vAlign w:val="center"/>
                </w:tcPr>
                <w:p>
                  <w:pPr>
                    <w:adjustRightInd w:val="0"/>
                    <w:snapToGrid w:val="0"/>
                    <w:jc w:val="center"/>
                    <w:rPr>
                      <w:rFonts w:ascii="Times New Roman" w:hAnsi="Times New Roman"/>
                      <w:b/>
                      <w:bCs/>
                    </w:rPr>
                  </w:pPr>
                  <w:r>
                    <w:rPr>
                      <w:rFonts w:ascii="Times New Roman" w:hAnsi="Times New Roman"/>
                      <w:b/>
                      <w:bCs/>
                    </w:rPr>
                    <w:t>危险废物</w:t>
                  </w:r>
                </w:p>
              </w:tc>
              <w:tc>
                <w:tcPr>
                  <w:tcW w:w="493" w:type="pct"/>
                  <w:vAlign w:val="center"/>
                </w:tcPr>
                <w:p>
                  <w:pPr>
                    <w:adjustRightInd w:val="0"/>
                    <w:snapToGrid w:val="0"/>
                    <w:jc w:val="center"/>
                    <w:rPr>
                      <w:rFonts w:ascii="Times New Roman" w:hAnsi="Times New Roman"/>
                      <w:b/>
                      <w:bCs/>
                    </w:rPr>
                  </w:pPr>
                  <w:r>
                    <w:rPr>
                      <w:rFonts w:ascii="Times New Roman" w:hAnsi="Times New Roman"/>
                      <w:b/>
                      <w:bCs/>
                    </w:rPr>
                    <w:t>危险废物类别</w:t>
                  </w:r>
                </w:p>
              </w:tc>
              <w:tc>
                <w:tcPr>
                  <w:tcW w:w="678" w:type="pct"/>
                  <w:vAlign w:val="center"/>
                </w:tcPr>
                <w:p>
                  <w:pPr>
                    <w:adjustRightInd w:val="0"/>
                    <w:snapToGrid w:val="0"/>
                    <w:jc w:val="center"/>
                    <w:rPr>
                      <w:rFonts w:ascii="Times New Roman" w:hAnsi="Times New Roman"/>
                      <w:b/>
                      <w:bCs/>
                    </w:rPr>
                  </w:pPr>
                  <w:r>
                    <w:rPr>
                      <w:rFonts w:ascii="Times New Roman" w:hAnsi="Times New Roman"/>
                      <w:b/>
                      <w:bCs/>
                    </w:rPr>
                    <w:t>废物代码</w:t>
                  </w:r>
                </w:p>
              </w:tc>
              <w:tc>
                <w:tcPr>
                  <w:tcW w:w="599" w:type="pct"/>
                  <w:vAlign w:val="center"/>
                </w:tcPr>
                <w:p>
                  <w:pPr>
                    <w:adjustRightInd w:val="0"/>
                    <w:snapToGrid w:val="0"/>
                    <w:jc w:val="center"/>
                    <w:rPr>
                      <w:rFonts w:ascii="Times New Roman" w:hAnsi="Times New Roman"/>
                      <w:b/>
                      <w:bCs/>
                    </w:rPr>
                  </w:pPr>
                  <w:r>
                    <w:rPr>
                      <w:rFonts w:ascii="Times New Roman" w:hAnsi="Times New Roman"/>
                      <w:b/>
                      <w:bCs/>
                    </w:rPr>
                    <w:t>产生量（t/a）</w:t>
                  </w:r>
                </w:p>
              </w:tc>
              <w:tc>
                <w:tcPr>
                  <w:tcW w:w="435" w:type="pct"/>
                  <w:vAlign w:val="center"/>
                </w:tcPr>
                <w:p>
                  <w:pPr>
                    <w:adjustRightInd w:val="0"/>
                    <w:snapToGrid w:val="0"/>
                    <w:jc w:val="center"/>
                    <w:rPr>
                      <w:rFonts w:ascii="Times New Roman" w:hAnsi="Times New Roman"/>
                      <w:b/>
                      <w:bCs/>
                    </w:rPr>
                  </w:pPr>
                  <w:r>
                    <w:rPr>
                      <w:rFonts w:ascii="Times New Roman" w:hAnsi="Times New Roman"/>
                      <w:b/>
                      <w:bCs/>
                    </w:rPr>
                    <w:t>产生工序及装置</w:t>
                  </w:r>
                </w:p>
              </w:tc>
              <w:tc>
                <w:tcPr>
                  <w:tcW w:w="271" w:type="pct"/>
                  <w:vAlign w:val="center"/>
                </w:tcPr>
                <w:p>
                  <w:pPr>
                    <w:adjustRightInd w:val="0"/>
                    <w:snapToGrid w:val="0"/>
                    <w:jc w:val="center"/>
                    <w:rPr>
                      <w:rFonts w:ascii="Times New Roman" w:hAnsi="Times New Roman"/>
                      <w:b/>
                      <w:bCs/>
                    </w:rPr>
                  </w:pPr>
                  <w:r>
                    <w:rPr>
                      <w:rFonts w:ascii="Times New Roman" w:hAnsi="Times New Roman"/>
                      <w:b/>
                      <w:bCs/>
                    </w:rPr>
                    <w:t>形态</w:t>
                  </w:r>
                </w:p>
              </w:tc>
              <w:tc>
                <w:tcPr>
                  <w:tcW w:w="472" w:type="pct"/>
                  <w:vAlign w:val="center"/>
                </w:tcPr>
                <w:p>
                  <w:pPr>
                    <w:adjustRightInd w:val="0"/>
                    <w:snapToGrid w:val="0"/>
                    <w:jc w:val="center"/>
                    <w:rPr>
                      <w:rFonts w:ascii="Times New Roman" w:hAnsi="Times New Roman"/>
                      <w:b/>
                      <w:bCs/>
                    </w:rPr>
                  </w:pPr>
                  <w:r>
                    <w:rPr>
                      <w:rFonts w:ascii="Times New Roman" w:hAnsi="Times New Roman"/>
                      <w:b/>
                      <w:bCs/>
                    </w:rPr>
                    <w:t>主要成分</w:t>
                  </w:r>
                </w:p>
              </w:tc>
              <w:tc>
                <w:tcPr>
                  <w:tcW w:w="329" w:type="pct"/>
                  <w:vAlign w:val="center"/>
                </w:tcPr>
                <w:p>
                  <w:pPr>
                    <w:adjustRightInd w:val="0"/>
                    <w:snapToGrid w:val="0"/>
                    <w:jc w:val="center"/>
                    <w:rPr>
                      <w:rFonts w:ascii="Times New Roman" w:hAnsi="Times New Roman"/>
                      <w:b/>
                      <w:bCs/>
                    </w:rPr>
                  </w:pPr>
                  <w:r>
                    <w:rPr>
                      <w:rFonts w:ascii="Times New Roman" w:hAnsi="Times New Roman"/>
                      <w:b/>
                      <w:bCs/>
                    </w:rPr>
                    <w:t>产废周期</w:t>
                  </w:r>
                </w:p>
              </w:tc>
              <w:tc>
                <w:tcPr>
                  <w:tcW w:w="473" w:type="pct"/>
                  <w:vAlign w:val="center"/>
                </w:tcPr>
                <w:p>
                  <w:pPr>
                    <w:adjustRightInd w:val="0"/>
                    <w:snapToGrid w:val="0"/>
                    <w:jc w:val="center"/>
                    <w:rPr>
                      <w:rFonts w:ascii="Times New Roman" w:hAnsi="Times New Roman"/>
                      <w:b/>
                      <w:bCs/>
                    </w:rPr>
                  </w:pPr>
                  <w:r>
                    <w:rPr>
                      <w:rFonts w:ascii="Times New Roman" w:hAnsi="Times New Roman"/>
                      <w:b/>
                      <w:bCs/>
                    </w:rPr>
                    <w:t>危险特性</w:t>
                  </w:r>
                </w:p>
              </w:tc>
              <w:tc>
                <w:tcPr>
                  <w:tcW w:w="441" w:type="pct"/>
                  <w:vAlign w:val="center"/>
                </w:tcPr>
                <w:p>
                  <w:pPr>
                    <w:adjustRightInd w:val="0"/>
                    <w:snapToGrid w:val="0"/>
                    <w:jc w:val="center"/>
                    <w:rPr>
                      <w:rFonts w:ascii="Times New Roman" w:hAnsi="Times New Roman"/>
                      <w:b/>
                      <w:bCs/>
                    </w:rPr>
                  </w:pPr>
                  <w:r>
                    <w:rPr>
                      <w:rFonts w:ascii="Times New Roman" w:hAnsi="Times New Roman"/>
                      <w:b/>
                      <w:bCs/>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pStyle w:val="10"/>
                    <w:jc w:val="center"/>
                    <w:rPr>
                      <w:rFonts w:ascii="Times New Roman" w:hAnsi="Times New Roman"/>
                      <w:sz w:val="21"/>
                    </w:rPr>
                  </w:pPr>
                  <w:r>
                    <w:rPr>
                      <w:rFonts w:ascii="Times New Roman" w:hAnsi="Times New Roman"/>
                      <w:sz w:val="21"/>
                    </w:rPr>
                    <w:t>1</w:t>
                  </w:r>
                </w:p>
              </w:tc>
              <w:tc>
                <w:tcPr>
                  <w:tcW w:w="538" w:type="pct"/>
                  <w:vAlign w:val="center"/>
                </w:tcPr>
                <w:p>
                  <w:pPr>
                    <w:jc w:val="center"/>
                    <w:rPr>
                      <w:rFonts w:ascii="Times New Roman" w:hAnsi="Times New Roman"/>
                    </w:rPr>
                  </w:pPr>
                  <w:r>
                    <w:rPr>
                      <w:rFonts w:ascii="Times New Roman" w:hAnsi="Times New Roman"/>
                    </w:rPr>
                    <w:t>废活性炭</w:t>
                  </w:r>
                </w:p>
              </w:tc>
              <w:tc>
                <w:tcPr>
                  <w:tcW w:w="493" w:type="pct"/>
                  <w:vAlign w:val="center"/>
                </w:tcPr>
                <w:p>
                  <w:pPr>
                    <w:jc w:val="center"/>
                    <w:rPr>
                      <w:rFonts w:ascii="Times New Roman" w:hAnsi="Times New Roman"/>
                    </w:rPr>
                  </w:pPr>
                  <w:r>
                    <w:rPr>
                      <w:rFonts w:ascii="Times New Roman" w:hAnsi="Times New Roman"/>
                    </w:rPr>
                    <w:t>HW49</w:t>
                  </w:r>
                </w:p>
              </w:tc>
              <w:tc>
                <w:tcPr>
                  <w:tcW w:w="678" w:type="pct"/>
                  <w:vAlign w:val="center"/>
                </w:tcPr>
                <w:p>
                  <w:pPr>
                    <w:jc w:val="center"/>
                    <w:rPr>
                      <w:rFonts w:ascii="Times New Roman" w:hAnsi="Times New Roman"/>
                    </w:rPr>
                  </w:pPr>
                  <w:r>
                    <w:rPr>
                      <w:rFonts w:ascii="Times New Roman" w:hAnsi="Times New Roman"/>
                    </w:rPr>
                    <w:t>900-039-49</w:t>
                  </w:r>
                </w:p>
              </w:tc>
              <w:tc>
                <w:tcPr>
                  <w:tcW w:w="599" w:type="pct"/>
                  <w:vAlign w:val="center"/>
                </w:tcPr>
                <w:p>
                  <w:pPr>
                    <w:jc w:val="center"/>
                    <w:rPr>
                      <w:rFonts w:ascii="Times New Roman" w:hAnsi="Times New Roman"/>
                    </w:rPr>
                  </w:pPr>
                  <w:r>
                    <w:rPr>
                      <w:rFonts w:ascii="Times New Roman" w:hAnsi="Times New Roman"/>
                    </w:rPr>
                    <w:t>6.33</w:t>
                  </w:r>
                </w:p>
              </w:tc>
              <w:tc>
                <w:tcPr>
                  <w:tcW w:w="435" w:type="pct"/>
                  <w:vAlign w:val="center"/>
                </w:tcPr>
                <w:p>
                  <w:pPr>
                    <w:jc w:val="center"/>
                    <w:rPr>
                      <w:rFonts w:ascii="Times New Roman" w:hAnsi="Times New Roman"/>
                    </w:rPr>
                  </w:pPr>
                  <w:r>
                    <w:rPr>
                      <w:rFonts w:ascii="Times New Roman" w:hAnsi="Times New Roman"/>
                    </w:rPr>
                    <w:t>废气处理</w:t>
                  </w:r>
                </w:p>
              </w:tc>
              <w:tc>
                <w:tcPr>
                  <w:tcW w:w="271" w:type="pct"/>
                  <w:vAlign w:val="center"/>
                </w:tcPr>
                <w:p>
                  <w:pPr>
                    <w:jc w:val="center"/>
                    <w:rPr>
                      <w:rFonts w:ascii="Times New Roman" w:hAnsi="Times New Roman"/>
                    </w:rPr>
                  </w:pPr>
                  <w:r>
                    <w:rPr>
                      <w:rFonts w:ascii="Times New Roman" w:hAnsi="Times New Roman"/>
                    </w:rPr>
                    <w:t>固态</w:t>
                  </w:r>
                </w:p>
              </w:tc>
              <w:tc>
                <w:tcPr>
                  <w:tcW w:w="472" w:type="pct"/>
                  <w:vAlign w:val="center"/>
                </w:tcPr>
                <w:p>
                  <w:pPr>
                    <w:jc w:val="center"/>
                    <w:rPr>
                      <w:rFonts w:ascii="Times New Roman" w:hAnsi="Times New Roman"/>
                    </w:rPr>
                  </w:pPr>
                  <w:r>
                    <w:rPr>
                      <w:rFonts w:ascii="Times New Roman" w:hAnsi="Times New Roman"/>
                      <w:bCs/>
                    </w:rPr>
                    <w:t>废活性炭、VOCs</w:t>
                  </w:r>
                </w:p>
              </w:tc>
              <w:tc>
                <w:tcPr>
                  <w:tcW w:w="329" w:type="pct"/>
                  <w:vAlign w:val="center"/>
                </w:tcPr>
                <w:p>
                  <w:pPr>
                    <w:adjustRightInd w:val="0"/>
                    <w:snapToGrid w:val="0"/>
                    <w:jc w:val="center"/>
                    <w:rPr>
                      <w:rFonts w:ascii="Times New Roman" w:hAnsi="Times New Roman"/>
                    </w:rPr>
                  </w:pPr>
                  <w:r>
                    <w:rPr>
                      <w:rFonts w:ascii="Times New Roman" w:hAnsi="Times New Roman"/>
                    </w:rPr>
                    <w:t>6个月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restart"/>
                  <w:vAlign w:val="center"/>
                </w:tcPr>
                <w:p>
                  <w:pPr>
                    <w:jc w:val="center"/>
                    <w:rPr>
                      <w:rFonts w:ascii="Times New Roman" w:hAnsi="Times New Roman"/>
                    </w:rPr>
                  </w:pPr>
                  <w:r>
                    <w:rPr>
                      <w:rFonts w:ascii="Times New Roman" w:hAnsi="Times New Roman"/>
                    </w:rPr>
                    <w:t>委托有资质的单位进行无害化处理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pStyle w:val="10"/>
                    <w:jc w:val="center"/>
                    <w:rPr>
                      <w:rFonts w:ascii="Times New Roman" w:hAnsi="Times New Roman"/>
                      <w:sz w:val="21"/>
                    </w:rPr>
                  </w:pPr>
                  <w:r>
                    <w:rPr>
                      <w:rFonts w:ascii="Times New Roman" w:hAnsi="Times New Roman"/>
                      <w:sz w:val="21"/>
                    </w:rPr>
                    <w:t>2</w:t>
                  </w:r>
                </w:p>
              </w:tc>
              <w:tc>
                <w:tcPr>
                  <w:tcW w:w="538" w:type="pct"/>
                  <w:vAlign w:val="center"/>
                </w:tcPr>
                <w:p>
                  <w:pPr>
                    <w:jc w:val="center"/>
                    <w:rPr>
                      <w:rFonts w:ascii="Times New Roman" w:hAnsi="Times New Roman"/>
                    </w:rPr>
                  </w:pPr>
                  <w:r>
                    <w:rPr>
                      <w:rFonts w:ascii="Times New Roman" w:hAnsi="Times New Roman"/>
                    </w:rPr>
                    <w:t>废润滑油</w:t>
                  </w:r>
                </w:p>
              </w:tc>
              <w:tc>
                <w:tcPr>
                  <w:tcW w:w="493" w:type="pct"/>
                  <w:vAlign w:val="center"/>
                </w:tcPr>
                <w:p>
                  <w:pPr>
                    <w:jc w:val="center"/>
                    <w:rPr>
                      <w:rFonts w:ascii="Times New Roman" w:hAnsi="Times New Roman"/>
                    </w:rPr>
                  </w:pPr>
                  <w:r>
                    <w:rPr>
                      <w:rFonts w:ascii="Times New Roman" w:hAnsi="Times New Roman"/>
                    </w:rPr>
                    <w:t>HW08</w:t>
                  </w:r>
                </w:p>
              </w:tc>
              <w:tc>
                <w:tcPr>
                  <w:tcW w:w="678" w:type="pct"/>
                  <w:vAlign w:val="center"/>
                </w:tcPr>
                <w:p>
                  <w:pPr>
                    <w:jc w:val="center"/>
                    <w:rPr>
                      <w:rFonts w:ascii="Times New Roman" w:hAnsi="Times New Roman"/>
                    </w:rPr>
                  </w:pPr>
                  <w:r>
                    <w:rPr>
                      <w:rFonts w:ascii="Times New Roman" w:hAnsi="Times New Roman"/>
                    </w:rPr>
                    <w:t>900-217-08</w:t>
                  </w:r>
                </w:p>
              </w:tc>
              <w:tc>
                <w:tcPr>
                  <w:tcW w:w="599" w:type="pct"/>
                  <w:vAlign w:val="center"/>
                </w:tcPr>
                <w:p>
                  <w:pPr>
                    <w:jc w:val="center"/>
                    <w:rPr>
                      <w:rFonts w:ascii="Times New Roman" w:hAnsi="Times New Roman"/>
                    </w:rPr>
                  </w:pPr>
                  <w:r>
                    <w:rPr>
                      <w:rFonts w:ascii="Times New Roman" w:hAnsi="Times New Roman"/>
                    </w:rPr>
                    <w:t>0.01</w:t>
                  </w:r>
                </w:p>
              </w:tc>
              <w:tc>
                <w:tcPr>
                  <w:tcW w:w="435" w:type="pct"/>
                  <w:vAlign w:val="center"/>
                </w:tcPr>
                <w:p>
                  <w:pPr>
                    <w:jc w:val="center"/>
                    <w:rPr>
                      <w:rFonts w:ascii="Times New Roman" w:hAnsi="Times New Roman"/>
                    </w:rPr>
                  </w:pPr>
                  <w:r>
                    <w:rPr>
                      <w:rFonts w:ascii="Times New Roman" w:hAnsi="Times New Roman"/>
                    </w:rPr>
                    <w:t>设备维修</w:t>
                  </w:r>
                </w:p>
              </w:tc>
              <w:tc>
                <w:tcPr>
                  <w:tcW w:w="271" w:type="pct"/>
                  <w:vAlign w:val="center"/>
                </w:tcPr>
                <w:p>
                  <w:pPr>
                    <w:jc w:val="center"/>
                    <w:rPr>
                      <w:rFonts w:ascii="Times New Roman" w:hAnsi="Times New Roman"/>
                    </w:rPr>
                  </w:pPr>
                  <w:r>
                    <w:rPr>
                      <w:rFonts w:ascii="Times New Roman" w:hAnsi="Times New Roman"/>
                    </w:rPr>
                    <w:t>液态</w:t>
                  </w:r>
                </w:p>
              </w:tc>
              <w:tc>
                <w:tcPr>
                  <w:tcW w:w="472" w:type="pct"/>
                  <w:vAlign w:val="center"/>
                </w:tcPr>
                <w:p>
                  <w:pPr>
                    <w:jc w:val="center"/>
                    <w:rPr>
                      <w:rFonts w:ascii="Times New Roman" w:hAnsi="Times New Roman"/>
                    </w:rPr>
                  </w:pPr>
                  <w:r>
                    <w:rPr>
                      <w:rFonts w:ascii="Times New Roman" w:hAnsi="Times New Roman"/>
                    </w:rPr>
                    <w:t>润滑油</w:t>
                  </w:r>
                </w:p>
              </w:tc>
              <w:tc>
                <w:tcPr>
                  <w:tcW w:w="329" w:type="pct"/>
                  <w:vAlign w:val="center"/>
                </w:tcPr>
                <w:p>
                  <w:pPr>
                    <w:adjustRightInd w:val="0"/>
                    <w:snapToGrid w:val="0"/>
                    <w:jc w:val="center"/>
                    <w:rPr>
                      <w:rFonts w:ascii="Times New Roman" w:hAnsi="Times New Roman"/>
                    </w:rPr>
                  </w:pPr>
                  <w:r>
                    <w:rPr>
                      <w:rFonts w:ascii="Times New Roman" w:hAnsi="Times New Roman"/>
                    </w:rPr>
                    <w:t>3个月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pStyle w:val="10"/>
                    <w:jc w:val="center"/>
                    <w:rPr>
                      <w:rFonts w:ascii="Times New Roman" w:hAnsi="Times New Roman"/>
                      <w:sz w:val="21"/>
                    </w:rPr>
                  </w:pPr>
                  <w:r>
                    <w:rPr>
                      <w:rFonts w:ascii="Times New Roman" w:hAnsi="Times New Roman"/>
                      <w:sz w:val="21"/>
                    </w:rPr>
                    <w:t>3</w:t>
                  </w:r>
                </w:p>
              </w:tc>
              <w:tc>
                <w:tcPr>
                  <w:tcW w:w="538" w:type="pct"/>
                  <w:vAlign w:val="center"/>
                </w:tcPr>
                <w:p>
                  <w:pPr>
                    <w:jc w:val="center"/>
                    <w:rPr>
                      <w:rFonts w:ascii="Times New Roman" w:hAnsi="Times New Roman"/>
                    </w:rPr>
                  </w:pPr>
                  <w:r>
                    <w:rPr>
                      <w:rFonts w:ascii="Times New Roman" w:hAnsi="Times New Roman"/>
                    </w:rPr>
                    <w:t>废洗网水</w:t>
                  </w:r>
                </w:p>
              </w:tc>
              <w:tc>
                <w:tcPr>
                  <w:tcW w:w="493" w:type="pct"/>
                  <w:vAlign w:val="center"/>
                </w:tcPr>
                <w:p>
                  <w:pPr>
                    <w:jc w:val="center"/>
                    <w:rPr>
                      <w:rFonts w:ascii="Times New Roman" w:hAnsi="Times New Roman"/>
                    </w:rPr>
                  </w:pPr>
                  <w:r>
                    <w:rPr>
                      <w:rFonts w:ascii="Times New Roman" w:hAnsi="Times New Roman"/>
                    </w:rPr>
                    <w:t>HW12</w:t>
                  </w:r>
                </w:p>
              </w:tc>
              <w:tc>
                <w:tcPr>
                  <w:tcW w:w="678" w:type="pct"/>
                  <w:vAlign w:val="center"/>
                </w:tcPr>
                <w:p>
                  <w:pPr>
                    <w:jc w:val="center"/>
                    <w:rPr>
                      <w:rFonts w:ascii="Times New Roman" w:hAnsi="Times New Roman"/>
                    </w:rPr>
                  </w:pPr>
                  <w:r>
                    <w:rPr>
                      <w:rFonts w:ascii="Times New Roman" w:hAnsi="Times New Roman"/>
                    </w:rPr>
                    <w:t>900-253-12</w:t>
                  </w:r>
                </w:p>
              </w:tc>
              <w:tc>
                <w:tcPr>
                  <w:tcW w:w="599" w:type="pct"/>
                  <w:vAlign w:val="center"/>
                </w:tcPr>
                <w:p>
                  <w:pPr>
                    <w:jc w:val="center"/>
                    <w:rPr>
                      <w:rFonts w:ascii="Times New Roman" w:hAnsi="Times New Roman"/>
                    </w:rPr>
                  </w:pPr>
                  <w:r>
                    <w:rPr>
                      <w:rFonts w:ascii="Times New Roman" w:hAnsi="Times New Roman"/>
                    </w:rPr>
                    <w:t>0.1</w:t>
                  </w:r>
                </w:p>
              </w:tc>
              <w:tc>
                <w:tcPr>
                  <w:tcW w:w="435" w:type="pct"/>
                  <w:vAlign w:val="center"/>
                </w:tcPr>
                <w:p>
                  <w:pPr>
                    <w:jc w:val="center"/>
                    <w:rPr>
                      <w:rFonts w:ascii="Times New Roman" w:hAnsi="Times New Roman"/>
                    </w:rPr>
                  </w:pPr>
                  <w:r>
                    <w:rPr>
                      <w:rFonts w:ascii="Times New Roman" w:hAnsi="Times New Roman"/>
                    </w:rPr>
                    <w:t>印刷工序</w:t>
                  </w:r>
                </w:p>
              </w:tc>
              <w:tc>
                <w:tcPr>
                  <w:tcW w:w="271" w:type="pct"/>
                  <w:vAlign w:val="center"/>
                </w:tcPr>
                <w:p>
                  <w:pPr>
                    <w:jc w:val="center"/>
                    <w:rPr>
                      <w:rFonts w:ascii="Times New Roman" w:hAnsi="Times New Roman"/>
                    </w:rPr>
                  </w:pPr>
                  <w:r>
                    <w:rPr>
                      <w:rFonts w:ascii="Times New Roman" w:hAnsi="Times New Roman"/>
                    </w:rPr>
                    <w:t>液态</w:t>
                  </w:r>
                </w:p>
              </w:tc>
              <w:tc>
                <w:tcPr>
                  <w:tcW w:w="472" w:type="pct"/>
                  <w:vAlign w:val="center"/>
                </w:tcPr>
                <w:p>
                  <w:pPr>
                    <w:jc w:val="center"/>
                    <w:rPr>
                      <w:rFonts w:ascii="Times New Roman" w:hAnsi="Times New Roman"/>
                    </w:rPr>
                  </w:pPr>
                  <w:r>
                    <w:rPr>
                      <w:rFonts w:ascii="Times New Roman" w:hAnsi="Times New Roman"/>
                    </w:rPr>
                    <w:t>稀释剂</w:t>
                  </w:r>
                </w:p>
              </w:tc>
              <w:tc>
                <w:tcPr>
                  <w:tcW w:w="329" w:type="pct"/>
                  <w:vAlign w:val="center"/>
                </w:tcPr>
                <w:p>
                  <w:pPr>
                    <w:adjustRightInd w:val="0"/>
                    <w:snapToGrid w:val="0"/>
                    <w:jc w:val="center"/>
                    <w:rPr>
                      <w:rFonts w:ascii="Times New Roman" w:hAnsi="Times New Roman"/>
                    </w:rPr>
                  </w:pPr>
                  <w:r>
                    <w:rPr>
                      <w:rFonts w:ascii="Times New Roman" w:hAnsi="Times New Roman"/>
                    </w:rPr>
                    <w:t>3个月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rPr>
                  </w:pPr>
                  <w:r>
                    <w:rPr>
                      <w:rFonts w:ascii="Times New Roman" w:hAnsi="Times New Roman"/>
                    </w:rPr>
                    <w:t>4</w:t>
                  </w:r>
                </w:p>
              </w:tc>
              <w:tc>
                <w:tcPr>
                  <w:tcW w:w="538" w:type="pct"/>
                  <w:vAlign w:val="center"/>
                </w:tcPr>
                <w:p>
                  <w:pPr>
                    <w:jc w:val="center"/>
                    <w:rPr>
                      <w:rFonts w:ascii="Times New Roman" w:hAnsi="Times New Roman"/>
                    </w:rPr>
                  </w:pPr>
                  <w:r>
                    <w:rPr>
                      <w:rFonts w:ascii="Times New Roman" w:hAnsi="Times New Roman"/>
                    </w:rPr>
                    <w:t>废油墨渣</w:t>
                  </w:r>
                </w:p>
              </w:tc>
              <w:tc>
                <w:tcPr>
                  <w:tcW w:w="493" w:type="pct"/>
                  <w:vAlign w:val="center"/>
                </w:tcPr>
                <w:p>
                  <w:pPr>
                    <w:jc w:val="center"/>
                    <w:rPr>
                      <w:rFonts w:ascii="Times New Roman" w:hAnsi="Times New Roman"/>
                    </w:rPr>
                  </w:pPr>
                  <w:r>
                    <w:rPr>
                      <w:rFonts w:ascii="Times New Roman" w:hAnsi="Times New Roman"/>
                    </w:rPr>
                    <w:t>HW12</w:t>
                  </w:r>
                </w:p>
              </w:tc>
              <w:tc>
                <w:tcPr>
                  <w:tcW w:w="678" w:type="pct"/>
                  <w:vAlign w:val="center"/>
                </w:tcPr>
                <w:p>
                  <w:pPr>
                    <w:jc w:val="center"/>
                    <w:rPr>
                      <w:rFonts w:ascii="Times New Roman" w:hAnsi="Times New Roman"/>
                    </w:rPr>
                  </w:pPr>
                  <w:r>
                    <w:rPr>
                      <w:rFonts w:ascii="Times New Roman" w:hAnsi="Times New Roman"/>
                    </w:rPr>
                    <w:t>900-253-12-01</w:t>
                  </w:r>
                </w:p>
              </w:tc>
              <w:tc>
                <w:tcPr>
                  <w:tcW w:w="599" w:type="pct"/>
                  <w:vAlign w:val="center"/>
                </w:tcPr>
                <w:p>
                  <w:pPr>
                    <w:jc w:val="center"/>
                    <w:rPr>
                      <w:rFonts w:ascii="Times New Roman" w:hAnsi="Times New Roman"/>
                    </w:rPr>
                  </w:pPr>
                  <w:r>
                    <w:rPr>
                      <w:rFonts w:ascii="Times New Roman" w:hAnsi="Times New Roman"/>
                    </w:rPr>
                    <w:t>0.04</w:t>
                  </w:r>
                </w:p>
              </w:tc>
              <w:tc>
                <w:tcPr>
                  <w:tcW w:w="435" w:type="pct"/>
                  <w:vAlign w:val="center"/>
                </w:tcPr>
                <w:p>
                  <w:pPr>
                    <w:jc w:val="center"/>
                    <w:rPr>
                      <w:rFonts w:ascii="Times New Roman" w:hAnsi="Times New Roman"/>
                    </w:rPr>
                  </w:pPr>
                  <w:r>
                    <w:rPr>
                      <w:rFonts w:ascii="Times New Roman" w:hAnsi="Times New Roman"/>
                    </w:rPr>
                    <w:t>印刷工序</w:t>
                  </w:r>
                </w:p>
              </w:tc>
              <w:tc>
                <w:tcPr>
                  <w:tcW w:w="271" w:type="pct"/>
                  <w:vAlign w:val="center"/>
                </w:tcPr>
                <w:p>
                  <w:pPr>
                    <w:jc w:val="center"/>
                    <w:rPr>
                      <w:rFonts w:ascii="Times New Roman" w:hAnsi="Times New Roman"/>
                    </w:rPr>
                  </w:pPr>
                  <w:r>
                    <w:rPr>
                      <w:rFonts w:ascii="Times New Roman" w:hAnsi="Times New Roman"/>
                    </w:rPr>
                    <w:t>固态</w:t>
                  </w:r>
                </w:p>
              </w:tc>
              <w:tc>
                <w:tcPr>
                  <w:tcW w:w="472" w:type="pct"/>
                  <w:vAlign w:val="center"/>
                </w:tcPr>
                <w:p>
                  <w:pPr>
                    <w:jc w:val="center"/>
                    <w:rPr>
                      <w:rFonts w:ascii="Times New Roman" w:hAnsi="Times New Roman"/>
                    </w:rPr>
                  </w:pPr>
                  <w:r>
                    <w:rPr>
                      <w:rFonts w:ascii="Times New Roman" w:hAnsi="Times New Roman"/>
                    </w:rPr>
                    <w:t>油墨</w:t>
                  </w:r>
                </w:p>
              </w:tc>
              <w:tc>
                <w:tcPr>
                  <w:tcW w:w="329" w:type="pct"/>
                  <w:vAlign w:val="center"/>
                </w:tcPr>
                <w:p>
                  <w:pPr>
                    <w:adjustRightInd w:val="0"/>
                    <w:snapToGrid w:val="0"/>
                    <w:jc w:val="center"/>
                    <w:rPr>
                      <w:rFonts w:ascii="Times New Roman" w:hAnsi="Times New Roman"/>
                    </w:rPr>
                  </w:pPr>
                  <w:r>
                    <w:rPr>
                      <w:rFonts w:ascii="Times New Roman" w:hAnsi="Times New Roman"/>
                    </w:rPr>
                    <w:t>3个月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rPr>
                  </w:pPr>
                  <w:r>
                    <w:rPr>
                      <w:rFonts w:ascii="Times New Roman" w:hAnsi="Times New Roman"/>
                    </w:rPr>
                    <w:t>5</w:t>
                  </w:r>
                </w:p>
              </w:tc>
              <w:tc>
                <w:tcPr>
                  <w:tcW w:w="538" w:type="pct"/>
                  <w:vAlign w:val="center"/>
                </w:tcPr>
                <w:p>
                  <w:pPr>
                    <w:jc w:val="center"/>
                    <w:rPr>
                      <w:rFonts w:ascii="Times New Roman" w:hAnsi="Times New Roman"/>
                    </w:rPr>
                  </w:pPr>
                  <w:r>
                    <w:rPr>
                      <w:rFonts w:ascii="Times New Roman" w:hAnsi="Times New Roman"/>
                    </w:rPr>
                    <w:t>废硝酸钾</w:t>
                  </w:r>
                </w:p>
              </w:tc>
              <w:tc>
                <w:tcPr>
                  <w:tcW w:w="493" w:type="pct"/>
                  <w:vAlign w:val="center"/>
                </w:tcPr>
                <w:p>
                  <w:pPr>
                    <w:jc w:val="center"/>
                    <w:rPr>
                      <w:rFonts w:ascii="Times New Roman" w:hAnsi="Times New Roman"/>
                    </w:rPr>
                  </w:pPr>
                  <w:r>
                    <w:rPr>
                      <w:rFonts w:ascii="Times New Roman" w:hAnsi="Times New Roman"/>
                    </w:rPr>
                    <w:t>HW49</w:t>
                  </w:r>
                </w:p>
              </w:tc>
              <w:tc>
                <w:tcPr>
                  <w:tcW w:w="678" w:type="pct"/>
                  <w:vAlign w:val="center"/>
                </w:tcPr>
                <w:p>
                  <w:pPr>
                    <w:jc w:val="center"/>
                    <w:rPr>
                      <w:rFonts w:ascii="Times New Roman" w:hAnsi="Times New Roman"/>
                    </w:rPr>
                  </w:pPr>
                  <w:r>
                    <w:rPr>
                      <w:rFonts w:ascii="Times New Roman" w:hAnsi="Times New Roman"/>
                    </w:rPr>
                    <w:t>900-999-49</w:t>
                  </w:r>
                </w:p>
              </w:tc>
              <w:tc>
                <w:tcPr>
                  <w:tcW w:w="599" w:type="pct"/>
                  <w:vAlign w:val="center"/>
                </w:tcPr>
                <w:p>
                  <w:pPr>
                    <w:jc w:val="center"/>
                    <w:rPr>
                      <w:rFonts w:ascii="Times New Roman" w:hAnsi="Times New Roman"/>
                    </w:rPr>
                  </w:pPr>
                  <w:r>
                    <w:rPr>
                      <w:rFonts w:ascii="Times New Roman" w:hAnsi="Times New Roman"/>
                    </w:rPr>
                    <w:t>15</w:t>
                  </w:r>
                </w:p>
              </w:tc>
              <w:tc>
                <w:tcPr>
                  <w:tcW w:w="435" w:type="pct"/>
                  <w:vAlign w:val="center"/>
                </w:tcPr>
                <w:p>
                  <w:pPr>
                    <w:jc w:val="center"/>
                    <w:rPr>
                      <w:rFonts w:ascii="Times New Roman" w:hAnsi="Times New Roman"/>
                    </w:rPr>
                  </w:pPr>
                  <w:r>
                    <w:rPr>
                      <w:rFonts w:ascii="Times New Roman" w:hAnsi="Times New Roman"/>
                    </w:rPr>
                    <w:t>印刷工序</w:t>
                  </w:r>
                </w:p>
              </w:tc>
              <w:tc>
                <w:tcPr>
                  <w:tcW w:w="271" w:type="pct"/>
                  <w:vAlign w:val="center"/>
                </w:tcPr>
                <w:p>
                  <w:pPr>
                    <w:jc w:val="center"/>
                    <w:rPr>
                      <w:rFonts w:ascii="Times New Roman" w:hAnsi="Times New Roman"/>
                    </w:rPr>
                  </w:pPr>
                  <w:r>
                    <w:rPr>
                      <w:rFonts w:ascii="Times New Roman" w:hAnsi="Times New Roman"/>
                    </w:rPr>
                    <w:t>液态</w:t>
                  </w:r>
                </w:p>
              </w:tc>
              <w:tc>
                <w:tcPr>
                  <w:tcW w:w="472" w:type="pct"/>
                  <w:vAlign w:val="center"/>
                </w:tcPr>
                <w:p>
                  <w:pPr>
                    <w:jc w:val="center"/>
                    <w:rPr>
                      <w:rFonts w:ascii="Times New Roman" w:hAnsi="Times New Roman"/>
                    </w:rPr>
                  </w:pPr>
                  <w:r>
                    <w:rPr>
                      <w:rFonts w:ascii="Times New Roman" w:hAnsi="Times New Roman"/>
                    </w:rPr>
                    <w:t>硝酸钾</w:t>
                  </w:r>
                </w:p>
              </w:tc>
              <w:tc>
                <w:tcPr>
                  <w:tcW w:w="329" w:type="pct"/>
                  <w:vAlign w:val="center"/>
                </w:tcPr>
                <w:p>
                  <w:pPr>
                    <w:adjustRightInd w:val="0"/>
                    <w:snapToGrid w:val="0"/>
                    <w:jc w:val="center"/>
                    <w:rPr>
                      <w:rFonts w:ascii="Times New Roman" w:hAnsi="Times New Roman"/>
                    </w:rPr>
                  </w:pPr>
                  <w:r>
                    <w:rPr>
                      <w:rFonts w:ascii="Times New Roman" w:hAnsi="Times New Roman"/>
                    </w:rPr>
                    <w:t>6个月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rPr>
                  </w:pPr>
                  <w:r>
                    <w:rPr>
                      <w:rFonts w:hint="eastAsia" w:ascii="Times New Roman" w:hAnsi="Times New Roman"/>
                    </w:rPr>
                    <w:t>6</w:t>
                  </w:r>
                </w:p>
              </w:tc>
              <w:tc>
                <w:tcPr>
                  <w:tcW w:w="538" w:type="pct"/>
                  <w:vAlign w:val="center"/>
                </w:tcPr>
                <w:p>
                  <w:pPr>
                    <w:jc w:val="center"/>
                    <w:rPr>
                      <w:rFonts w:ascii="Times New Roman" w:hAnsi="Times New Roman"/>
                    </w:rPr>
                  </w:pPr>
                  <w:r>
                    <w:rPr>
                      <w:rFonts w:ascii="Times New Roman" w:hAnsi="Times New Roman"/>
                    </w:rPr>
                    <w:t>废AF药水</w:t>
                  </w:r>
                </w:p>
              </w:tc>
              <w:tc>
                <w:tcPr>
                  <w:tcW w:w="493" w:type="pct"/>
                  <w:vAlign w:val="center"/>
                </w:tcPr>
                <w:p>
                  <w:pPr>
                    <w:jc w:val="center"/>
                    <w:rPr>
                      <w:rFonts w:ascii="Times New Roman" w:hAnsi="Times New Roman"/>
                    </w:rPr>
                  </w:pPr>
                  <w:r>
                    <w:rPr>
                      <w:rFonts w:ascii="Times New Roman" w:hAnsi="Times New Roman"/>
                    </w:rPr>
                    <w:t>HW49</w:t>
                  </w:r>
                </w:p>
              </w:tc>
              <w:tc>
                <w:tcPr>
                  <w:tcW w:w="678" w:type="pct"/>
                  <w:vAlign w:val="center"/>
                </w:tcPr>
                <w:p>
                  <w:pPr>
                    <w:jc w:val="center"/>
                    <w:rPr>
                      <w:rFonts w:ascii="Times New Roman" w:hAnsi="Times New Roman"/>
                    </w:rPr>
                  </w:pPr>
                  <w:r>
                    <w:rPr>
                      <w:rFonts w:ascii="Times New Roman" w:hAnsi="Times New Roman"/>
                    </w:rPr>
                    <w:t>900-999-49</w:t>
                  </w:r>
                </w:p>
              </w:tc>
              <w:tc>
                <w:tcPr>
                  <w:tcW w:w="599" w:type="pct"/>
                  <w:vAlign w:val="center"/>
                </w:tcPr>
                <w:p>
                  <w:pPr>
                    <w:jc w:val="center"/>
                    <w:rPr>
                      <w:rFonts w:ascii="Times New Roman" w:hAnsi="Times New Roman"/>
                    </w:rPr>
                  </w:pPr>
                  <w:r>
                    <w:rPr>
                      <w:rFonts w:ascii="Times New Roman" w:hAnsi="Times New Roman"/>
                    </w:rPr>
                    <w:t>0.32</w:t>
                  </w:r>
                </w:p>
              </w:tc>
              <w:tc>
                <w:tcPr>
                  <w:tcW w:w="435" w:type="pct"/>
                  <w:vAlign w:val="center"/>
                </w:tcPr>
                <w:p>
                  <w:pPr>
                    <w:jc w:val="center"/>
                    <w:rPr>
                      <w:rFonts w:ascii="Times New Roman" w:hAnsi="Times New Roman"/>
                    </w:rPr>
                  </w:pPr>
                  <w:r>
                    <w:rPr>
                      <w:rFonts w:ascii="Times New Roman" w:hAnsi="Times New Roman"/>
                    </w:rPr>
                    <w:t>镀AF膜</w:t>
                  </w:r>
                </w:p>
              </w:tc>
              <w:tc>
                <w:tcPr>
                  <w:tcW w:w="271" w:type="pct"/>
                  <w:vAlign w:val="center"/>
                </w:tcPr>
                <w:p>
                  <w:pPr>
                    <w:jc w:val="center"/>
                    <w:rPr>
                      <w:rFonts w:ascii="Times New Roman" w:hAnsi="Times New Roman"/>
                    </w:rPr>
                  </w:pPr>
                  <w:r>
                    <w:rPr>
                      <w:rFonts w:ascii="Times New Roman" w:hAnsi="Times New Roman"/>
                    </w:rPr>
                    <w:t>液态</w:t>
                  </w:r>
                </w:p>
              </w:tc>
              <w:tc>
                <w:tcPr>
                  <w:tcW w:w="472" w:type="pct"/>
                  <w:vAlign w:val="center"/>
                </w:tcPr>
                <w:p>
                  <w:pPr>
                    <w:jc w:val="center"/>
                    <w:rPr>
                      <w:rFonts w:ascii="Times New Roman" w:hAnsi="Times New Roman"/>
                    </w:rPr>
                  </w:pPr>
                  <w:r>
                    <w:rPr>
                      <w:rFonts w:ascii="Times New Roman" w:hAnsi="Times New Roman"/>
                      <w:bCs/>
                    </w:rPr>
                    <w:t>全氟聚醚</w:t>
                  </w:r>
                </w:p>
              </w:tc>
              <w:tc>
                <w:tcPr>
                  <w:tcW w:w="329" w:type="pct"/>
                  <w:vAlign w:val="center"/>
                </w:tcPr>
                <w:p>
                  <w:pPr>
                    <w:adjustRightInd w:val="0"/>
                    <w:snapToGrid w:val="0"/>
                    <w:jc w:val="center"/>
                    <w:rPr>
                      <w:rFonts w:ascii="Times New Roman" w:hAnsi="Times New Roman"/>
                    </w:rPr>
                  </w:pPr>
                  <w:r>
                    <w:rPr>
                      <w:rFonts w:ascii="Times New Roman" w:hAnsi="Times New Roman"/>
                    </w:rPr>
                    <w:t>6个月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rPr>
                  </w:pPr>
                  <w:r>
                    <w:rPr>
                      <w:rFonts w:ascii="Times New Roman" w:hAnsi="Times New Roman"/>
                    </w:rPr>
                    <w:t>7</w:t>
                  </w:r>
                </w:p>
              </w:tc>
              <w:tc>
                <w:tcPr>
                  <w:tcW w:w="538" w:type="pct"/>
                  <w:vAlign w:val="center"/>
                </w:tcPr>
                <w:p>
                  <w:pPr>
                    <w:jc w:val="center"/>
                    <w:rPr>
                      <w:rFonts w:ascii="Times New Roman" w:hAnsi="Times New Roman"/>
                    </w:rPr>
                  </w:pPr>
                  <w:r>
                    <w:rPr>
                      <w:rFonts w:ascii="Times New Roman" w:hAnsi="Times New Roman"/>
                    </w:rPr>
                    <w:t>废包装瓶（桶）</w:t>
                  </w:r>
                </w:p>
              </w:tc>
              <w:tc>
                <w:tcPr>
                  <w:tcW w:w="493" w:type="pct"/>
                  <w:vAlign w:val="center"/>
                </w:tcPr>
                <w:p>
                  <w:pPr>
                    <w:jc w:val="center"/>
                    <w:rPr>
                      <w:rFonts w:ascii="Times New Roman" w:hAnsi="Times New Roman"/>
                    </w:rPr>
                  </w:pPr>
                  <w:r>
                    <w:rPr>
                      <w:rFonts w:ascii="Times New Roman" w:hAnsi="Times New Roman"/>
                    </w:rPr>
                    <w:t>HW49</w:t>
                  </w:r>
                </w:p>
              </w:tc>
              <w:tc>
                <w:tcPr>
                  <w:tcW w:w="678" w:type="pct"/>
                  <w:vAlign w:val="center"/>
                </w:tcPr>
                <w:p>
                  <w:pPr>
                    <w:jc w:val="center"/>
                    <w:rPr>
                      <w:rFonts w:ascii="Times New Roman" w:hAnsi="Times New Roman"/>
                    </w:rPr>
                  </w:pPr>
                  <w:r>
                    <w:rPr>
                      <w:rFonts w:ascii="Times New Roman" w:hAnsi="Times New Roman"/>
                    </w:rPr>
                    <w:t>900-041-49</w:t>
                  </w:r>
                </w:p>
              </w:tc>
              <w:tc>
                <w:tcPr>
                  <w:tcW w:w="599" w:type="pct"/>
                  <w:vAlign w:val="center"/>
                </w:tcPr>
                <w:p>
                  <w:pPr>
                    <w:jc w:val="center"/>
                    <w:rPr>
                      <w:rFonts w:ascii="Times New Roman" w:hAnsi="Times New Roman"/>
                    </w:rPr>
                  </w:pPr>
                  <w:r>
                    <w:rPr>
                      <w:rFonts w:ascii="Times New Roman" w:hAnsi="Times New Roman"/>
                    </w:rPr>
                    <w:t>1.43</w:t>
                  </w:r>
                </w:p>
              </w:tc>
              <w:tc>
                <w:tcPr>
                  <w:tcW w:w="435" w:type="pct"/>
                  <w:vAlign w:val="center"/>
                </w:tcPr>
                <w:p>
                  <w:pPr>
                    <w:jc w:val="center"/>
                    <w:rPr>
                      <w:rFonts w:ascii="Times New Roman" w:hAnsi="Times New Roman"/>
                    </w:rPr>
                  </w:pPr>
                  <w:r>
                    <w:rPr>
                      <w:rFonts w:ascii="Times New Roman" w:hAnsi="Times New Roman"/>
                    </w:rPr>
                    <w:t>原料</w:t>
                  </w:r>
                </w:p>
                <w:p>
                  <w:pPr>
                    <w:jc w:val="center"/>
                    <w:rPr>
                      <w:rFonts w:ascii="Times New Roman" w:hAnsi="Times New Roman"/>
                    </w:rPr>
                  </w:pPr>
                  <w:r>
                    <w:rPr>
                      <w:rFonts w:ascii="Times New Roman" w:hAnsi="Times New Roman"/>
                    </w:rPr>
                    <w:t>使用</w:t>
                  </w:r>
                </w:p>
              </w:tc>
              <w:tc>
                <w:tcPr>
                  <w:tcW w:w="271" w:type="pct"/>
                  <w:vAlign w:val="center"/>
                </w:tcPr>
                <w:p>
                  <w:pPr>
                    <w:jc w:val="center"/>
                    <w:rPr>
                      <w:rFonts w:ascii="Times New Roman" w:hAnsi="Times New Roman"/>
                    </w:rPr>
                  </w:pPr>
                  <w:r>
                    <w:rPr>
                      <w:rFonts w:ascii="Times New Roman" w:hAnsi="Times New Roman"/>
                    </w:rPr>
                    <w:t>固态</w:t>
                  </w:r>
                </w:p>
              </w:tc>
              <w:tc>
                <w:tcPr>
                  <w:tcW w:w="472" w:type="pct"/>
                  <w:vAlign w:val="center"/>
                </w:tcPr>
                <w:p>
                  <w:pPr>
                    <w:jc w:val="center"/>
                    <w:rPr>
                      <w:rFonts w:ascii="Times New Roman" w:hAnsi="Times New Roman"/>
                    </w:rPr>
                  </w:pPr>
                  <w:r>
                    <w:rPr>
                      <w:rFonts w:ascii="Times New Roman" w:hAnsi="Times New Roman"/>
                    </w:rPr>
                    <w:t>玻璃瓶/塑料桶、有机物</w:t>
                  </w:r>
                </w:p>
              </w:tc>
              <w:tc>
                <w:tcPr>
                  <w:tcW w:w="329" w:type="pct"/>
                  <w:vAlign w:val="center"/>
                </w:tcPr>
                <w:p>
                  <w:pPr>
                    <w:adjustRightInd w:val="0"/>
                    <w:snapToGrid w:val="0"/>
                    <w:jc w:val="center"/>
                    <w:rPr>
                      <w:rFonts w:ascii="Times New Roman" w:hAnsi="Times New Roman"/>
                    </w:rPr>
                  </w:pPr>
                  <w:r>
                    <w:rPr>
                      <w:rFonts w:ascii="Times New Roman" w:hAnsi="Times New Roman"/>
                    </w:rPr>
                    <w:t>1个月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rPr>
                  </w:pPr>
                  <w:r>
                    <w:rPr>
                      <w:rFonts w:ascii="Times New Roman" w:hAnsi="Times New Roman"/>
                    </w:rPr>
                    <w:t>8</w:t>
                  </w:r>
                </w:p>
              </w:tc>
              <w:tc>
                <w:tcPr>
                  <w:tcW w:w="538" w:type="pct"/>
                  <w:vAlign w:val="center"/>
                </w:tcPr>
                <w:p>
                  <w:pPr>
                    <w:jc w:val="center"/>
                    <w:rPr>
                      <w:rFonts w:ascii="Times New Roman" w:hAnsi="Times New Roman"/>
                    </w:rPr>
                  </w:pPr>
                  <w:r>
                    <w:rPr>
                      <w:rFonts w:ascii="Times New Roman" w:hAnsi="Times New Roman"/>
                    </w:rPr>
                    <w:t>废水处理站污泥</w:t>
                  </w:r>
                </w:p>
              </w:tc>
              <w:tc>
                <w:tcPr>
                  <w:tcW w:w="493" w:type="pct"/>
                  <w:vAlign w:val="center"/>
                </w:tcPr>
                <w:p>
                  <w:pPr>
                    <w:jc w:val="center"/>
                    <w:rPr>
                      <w:rFonts w:ascii="Times New Roman" w:hAnsi="Times New Roman"/>
                    </w:rPr>
                  </w:pPr>
                  <w:r>
                    <w:rPr>
                      <w:rFonts w:ascii="Times New Roman" w:hAnsi="Times New Roman"/>
                    </w:rPr>
                    <w:t>HW49</w:t>
                  </w:r>
                </w:p>
              </w:tc>
              <w:tc>
                <w:tcPr>
                  <w:tcW w:w="678" w:type="pct"/>
                  <w:vAlign w:val="center"/>
                </w:tcPr>
                <w:p>
                  <w:pPr>
                    <w:jc w:val="center"/>
                    <w:rPr>
                      <w:rFonts w:ascii="Times New Roman" w:hAnsi="Times New Roman"/>
                    </w:rPr>
                  </w:pPr>
                  <w:r>
                    <w:rPr>
                      <w:rFonts w:ascii="Times New Roman" w:hAnsi="Times New Roman"/>
                    </w:rPr>
                    <w:t>772-006-49</w:t>
                  </w:r>
                </w:p>
              </w:tc>
              <w:tc>
                <w:tcPr>
                  <w:tcW w:w="599" w:type="pct"/>
                  <w:vAlign w:val="center"/>
                </w:tcPr>
                <w:p>
                  <w:pPr>
                    <w:jc w:val="center"/>
                    <w:rPr>
                      <w:rFonts w:ascii="Times New Roman" w:hAnsi="Times New Roman"/>
                    </w:rPr>
                  </w:pPr>
                  <w:r>
                    <w:rPr>
                      <w:rFonts w:ascii="Times New Roman" w:hAnsi="Times New Roman"/>
                    </w:rPr>
                    <w:t>5</w:t>
                  </w:r>
                </w:p>
              </w:tc>
              <w:tc>
                <w:tcPr>
                  <w:tcW w:w="435" w:type="pct"/>
                  <w:vAlign w:val="center"/>
                </w:tcPr>
                <w:p>
                  <w:pPr>
                    <w:jc w:val="center"/>
                    <w:rPr>
                      <w:rFonts w:ascii="Times New Roman" w:hAnsi="Times New Roman"/>
                    </w:rPr>
                  </w:pPr>
                  <w:r>
                    <w:rPr>
                      <w:rFonts w:ascii="Times New Roman" w:hAnsi="Times New Roman"/>
                    </w:rPr>
                    <w:t>废水</w:t>
                  </w:r>
                </w:p>
                <w:p>
                  <w:pPr>
                    <w:jc w:val="center"/>
                    <w:rPr>
                      <w:rFonts w:ascii="Times New Roman" w:hAnsi="Times New Roman"/>
                    </w:rPr>
                  </w:pPr>
                  <w:r>
                    <w:rPr>
                      <w:rFonts w:ascii="Times New Roman" w:hAnsi="Times New Roman"/>
                    </w:rPr>
                    <w:t>处理</w:t>
                  </w:r>
                </w:p>
              </w:tc>
              <w:tc>
                <w:tcPr>
                  <w:tcW w:w="271" w:type="pct"/>
                  <w:vAlign w:val="center"/>
                </w:tcPr>
                <w:p>
                  <w:pPr>
                    <w:jc w:val="center"/>
                    <w:rPr>
                      <w:rFonts w:ascii="Times New Roman" w:hAnsi="Times New Roman"/>
                    </w:rPr>
                  </w:pPr>
                  <w:r>
                    <w:rPr>
                      <w:rFonts w:ascii="Times New Roman" w:hAnsi="Times New Roman"/>
                    </w:rPr>
                    <w:t>固态</w:t>
                  </w:r>
                </w:p>
              </w:tc>
              <w:tc>
                <w:tcPr>
                  <w:tcW w:w="472" w:type="pct"/>
                  <w:vAlign w:val="center"/>
                </w:tcPr>
                <w:p>
                  <w:pPr>
                    <w:jc w:val="center"/>
                    <w:rPr>
                      <w:rFonts w:ascii="Times New Roman" w:hAnsi="Times New Roman"/>
                    </w:rPr>
                  </w:pPr>
                  <w:r>
                    <w:rPr>
                      <w:rFonts w:ascii="Times New Roman" w:hAnsi="Times New Roman"/>
                    </w:rPr>
                    <w:t>LAS</w:t>
                  </w:r>
                </w:p>
              </w:tc>
              <w:tc>
                <w:tcPr>
                  <w:tcW w:w="329" w:type="pct"/>
                  <w:vAlign w:val="center"/>
                </w:tcPr>
                <w:p>
                  <w:pPr>
                    <w:adjustRightInd w:val="0"/>
                    <w:snapToGrid w:val="0"/>
                    <w:jc w:val="center"/>
                    <w:rPr>
                      <w:rFonts w:ascii="Times New Roman" w:hAnsi="Times New Roman"/>
                    </w:rPr>
                  </w:pPr>
                  <w:r>
                    <w:rPr>
                      <w:rFonts w:ascii="Times New Roman" w:hAnsi="Times New Roman"/>
                    </w:rPr>
                    <w:t>12个月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rPr>
                  </w:pPr>
                  <w:r>
                    <w:rPr>
                      <w:rFonts w:ascii="Times New Roman" w:hAnsi="Times New Roman"/>
                    </w:rPr>
                    <w:t>9</w:t>
                  </w:r>
                </w:p>
              </w:tc>
              <w:tc>
                <w:tcPr>
                  <w:tcW w:w="538" w:type="pct"/>
                  <w:vAlign w:val="center"/>
                </w:tcPr>
                <w:p>
                  <w:pPr>
                    <w:jc w:val="center"/>
                    <w:rPr>
                      <w:rFonts w:ascii="Times New Roman" w:hAnsi="Times New Roman"/>
                    </w:rPr>
                  </w:pPr>
                  <w:r>
                    <w:rPr>
                      <w:rFonts w:ascii="Times New Roman" w:hAnsi="Times New Roman"/>
                    </w:rPr>
                    <w:t>废切削液</w:t>
                  </w:r>
                </w:p>
              </w:tc>
              <w:tc>
                <w:tcPr>
                  <w:tcW w:w="493" w:type="pct"/>
                  <w:vAlign w:val="center"/>
                </w:tcPr>
                <w:p>
                  <w:pPr>
                    <w:jc w:val="center"/>
                    <w:rPr>
                      <w:rFonts w:ascii="Times New Roman" w:hAnsi="Times New Roman"/>
                    </w:rPr>
                  </w:pPr>
                  <w:r>
                    <w:rPr>
                      <w:rFonts w:ascii="Times New Roman" w:hAnsi="Times New Roman"/>
                    </w:rPr>
                    <w:t>HW09</w:t>
                  </w:r>
                </w:p>
              </w:tc>
              <w:tc>
                <w:tcPr>
                  <w:tcW w:w="678" w:type="pct"/>
                  <w:vAlign w:val="center"/>
                </w:tcPr>
                <w:p>
                  <w:pPr>
                    <w:jc w:val="center"/>
                    <w:rPr>
                      <w:rFonts w:ascii="Times New Roman" w:hAnsi="Times New Roman"/>
                    </w:rPr>
                  </w:pPr>
                  <w:r>
                    <w:rPr>
                      <w:rFonts w:ascii="Times New Roman" w:hAnsi="Times New Roman"/>
                    </w:rPr>
                    <w:t>900-006-09</w:t>
                  </w:r>
                </w:p>
              </w:tc>
              <w:tc>
                <w:tcPr>
                  <w:tcW w:w="599" w:type="pct"/>
                  <w:vAlign w:val="center"/>
                </w:tcPr>
                <w:p>
                  <w:pPr>
                    <w:jc w:val="center"/>
                    <w:rPr>
                      <w:rFonts w:ascii="Times New Roman" w:hAnsi="Times New Roman"/>
                    </w:rPr>
                  </w:pPr>
                  <w:r>
                    <w:rPr>
                      <w:rFonts w:ascii="Times New Roman" w:hAnsi="Times New Roman"/>
                    </w:rPr>
                    <w:t>8</w:t>
                  </w:r>
                </w:p>
              </w:tc>
              <w:tc>
                <w:tcPr>
                  <w:tcW w:w="435" w:type="pct"/>
                  <w:vAlign w:val="center"/>
                </w:tcPr>
                <w:p>
                  <w:pPr>
                    <w:jc w:val="center"/>
                    <w:rPr>
                      <w:rFonts w:ascii="Times New Roman" w:hAnsi="Times New Roman"/>
                    </w:rPr>
                  </w:pPr>
                  <w:r>
                    <w:rPr>
                      <w:rFonts w:ascii="Times New Roman" w:hAnsi="Times New Roman"/>
                    </w:rPr>
                    <w:t>CNC精雕</w:t>
                  </w:r>
                </w:p>
              </w:tc>
              <w:tc>
                <w:tcPr>
                  <w:tcW w:w="271" w:type="pct"/>
                  <w:vAlign w:val="center"/>
                </w:tcPr>
                <w:p>
                  <w:pPr>
                    <w:jc w:val="center"/>
                    <w:rPr>
                      <w:rFonts w:ascii="Times New Roman" w:hAnsi="Times New Roman"/>
                    </w:rPr>
                  </w:pPr>
                  <w:r>
                    <w:rPr>
                      <w:rFonts w:ascii="Times New Roman" w:hAnsi="Times New Roman"/>
                    </w:rPr>
                    <w:t>液态</w:t>
                  </w:r>
                </w:p>
              </w:tc>
              <w:tc>
                <w:tcPr>
                  <w:tcW w:w="472" w:type="pct"/>
                  <w:vAlign w:val="center"/>
                </w:tcPr>
                <w:p>
                  <w:pPr>
                    <w:jc w:val="center"/>
                    <w:rPr>
                      <w:rFonts w:ascii="Times New Roman" w:hAnsi="Times New Roman"/>
                    </w:rPr>
                  </w:pPr>
                  <w:r>
                    <w:rPr>
                      <w:rFonts w:ascii="Times New Roman" w:hAnsi="Times New Roman"/>
                    </w:rPr>
                    <w:t>切削液</w:t>
                  </w:r>
                </w:p>
              </w:tc>
              <w:tc>
                <w:tcPr>
                  <w:tcW w:w="329" w:type="pct"/>
                  <w:vAlign w:val="center"/>
                </w:tcPr>
                <w:p>
                  <w:pPr>
                    <w:adjustRightInd w:val="0"/>
                    <w:snapToGrid w:val="0"/>
                    <w:jc w:val="center"/>
                    <w:rPr>
                      <w:rFonts w:ascii="Times New Roman" w:hAnsi="Times New Roman"/>
                    </w:rPr>
                  </w:pPr>
                  <w:r>
                    <w:rPr>
                      <w:rFonts w:ascii="Times New Roman" w:hAnsi="Times New Roman"/>
                    </w:rPr>
                    <w:t>3个月</w:t>
                  </w:r>
                </w:p>
              </w:tc>
              <w:tc>
                <w:tcPr>
                  <w:tcW w:w="473" w:type="pct"/>
                  <w:vAlign w:val="center"/>
                </w:tcPr>
                <w:p>
                  <w:pPr>
                    <w:jc w:val="center"/>
                    <w:rPr>
                      <w:rFonts w:ascii="Times New Roman" w:hAnsi="Times New Roman"/>
                    </w:rPr>
                  </w:pPr>
                  <w:r>
                    <w:rPr>
                      <w:rFonts w:ascii="Times New Roman" w:hAnsi="Times New Roman"/>
                    </w:rPr>
                    <w:t>T</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rPr>
                  </w:pPr>
                  <w:r>
                    <w:rPr>
                      <w:rFonts w:ascii="Times New Roman" w:hAnsi="Times New Roman"/>
                    </w:rPr>
                    <w:t>10</w:t>
                  </w:r>
                </w:p>
              </w:tc>
              <w:tc>
                <w:tcPr>
                  <w:tcW w:w="538" w:type="pct"/>
                  <w:vAlign w:val="center"/>
                </w:tcPr>
                <w:p>
                  <w:pPr>
                    <w:jc w:val="center"/>
                    <w:rPr>
                      <w:rFonts w:ascii="Times New Roman" w:hAnsi="Times New Roman"/>
                    </w:rPr>
                  </w:pPr>
                  <w:r>
                    <w:rPr>
                      <w:rFonts w:ascii="Times New Roman" w:hAnsi="Times New Roman"/>
                    </w:rPr>
                    <w:t>废显影液</w:t>
                  </w:r>
                </w:p>
              </w:tc>
              <w:tc>
                <w:tcPr>
                  <w:tcW w:w="493" w:type="pct"/>
                  <w:vAlign w:val="center"/>
                </w:tcPr>
                <w:p>
                  <w:pPr>
                    <w:jc w:val="center"/>
                    <w:rPr>
                      <w:rFonts w:ascii="Times New Roman" w:hAnsi="Times New Roman"/>
                    </w:rPr>
                  </w:pPr>
                  <w:r>
                    <w:rPr>
                      <w:rFonts w:ascii="Times New Roman" w:hAnsi="Times New Roman"/>
                    </w:rPr>
                    <w:t>HW49</w:t>
                  </w:r>
                </w:p>
              </w:tc>
              <w:tc>
                <w:tcPr>
                  <w:tcW w:w="678" w:type="pct"/>
                  <w:vAlign w:val="center"/>
                </w:tcPr>
                <w:p>
                  <w:pPr>
                    <w:jc w:val="center"/>
                    <w:rPr>
                      <w:rFonts w:ascii="Times New Roman" w:hAnsi="Times New Roman"/>
                    </w:rPr>
                  </w:pPr>
                  <w:r>
                    <w:rPr>
                      <w:rFonts w:ascii="Times New Roman" w:hAnsi="Times New Roman"/>
                    </w:rPr>
                    <w:t>900-999-49</w:t>
                  </w:r>
                </w:p>
              </w:tc>
              <w:tc>
                <w:tcPr>
                  <w:tcW w:w="599" w:type="pct"/>
                  <w:vAlign w:val="center"/>
                </w:tcPr>
                <w:p>
                  <w:pPr>
                    <w:jc w:val="center"/>
                    <w:rPr>
                      <w:rFonts w:ascii="Times New Roman" w:hAnsi="Times New Roman"/>
                    </w:rPr>
                  </w:pPr>
                  <w:r>
                    <w:rPr>
                      <w:rFonts w:ascii="Times New Roman" w:hAnsi="Times New Roman"/>
                    </w:rPr>
                    <w:t>0.3</w:t>
                  </w:r>
                </w:p>
              </w:tc>
              <w:tc>
                <w:tcPr>
                  <w:tcW w:w="435" w:type="pct"/>
                  <w:vAlign w:val="center"/>
                </w:tcPr>
                <w:p>
                  <w:pPr>
                    <w:jc w:val="center"/>
                    <w:rPr>
                      <w:rFonts w:ascii="Times New Roman" w:hAnsi="Times New Roman"/>
                    </w:rPr>
                  </w:pPr>
                  <w:r>
                    <w:rPr>
                      <w:rFonts w:ascii="Times New Roman" w:hAnsi="Times New Roman"/>
                    </w:rPr>
                    <w:t>显影工序</w:t>
                  </w:r>
                </w:p>
              </w:tc>
              <w:tc>
                <w:tcPr>
                  <w:tcW w:w="271" w:type="pct"/>
                  <w:vAlign w:val="center"/>
                </w:tcPr>
                <w:p>
                  <w:pPr>
                    <w:jc w:val="center"/>
                    <w:rPr>
                      <w:rFonts w:ascii="Times New Roman" w:hAnsi="Times New Roman"/>
                    </w:rPr>
                  </w:pPr>
                  <w:r>
                    <w:rPr>
                      <w:rFonts w:ascii="Times New Roman" w:hAnsi="Times New Roman"/>
                    </w:rPr>
                    <w:t>液态</w:t>
                  </w:r>
                </w:p>
              </w:tc>
              <w:tc>
                <w:tcPr>
                  <w:tcW w:w="472" w:type="pct"/>
                  <w:vAlign w:val="center"/>
                </w:tcPr>
                <w:p>
                  <w:pPr>
                    <w:jc w:val="center"/>
                    <w:rPr>
                      <w:rFonts w:ascii="Times New Roman" w:hAnsi="Times New Roman"/>
                    </w:rPr>
                  </w:pPr>
                  <w:r>
                    <w:rPr>
                      <w:rFonts w:ascii="Times New Roman" w:hAnsi="Times New Roman"/>
                    </w:rPr>
                    <w:t>显影液</w:t>
                  </w:r>
                </w:p>
              </w:tc>
              <w:tc>
                <w:tcPr>
                  <w:tcW w:w="329" w:type="pct"/>
                  <w:vAlign w:val="center"/>
                </w:tcPr>
                <w:p>
                  <w:pPr>
                    <w:adjustRightInd w:val="0"/>
                    <w:snapToGrid w:val="0"/>
                    <w:jc w:val="center"/>
                    <w:rPr>
                      <w:rFonts w:ascii="Times New Roman" w:hAnsi="Times New Roman"/>
                    </w:rPr>
                  </w:pPr>
                  <w:r>
                    <w:rPr>
                      <w:rFonts w:ascii="Times New Roman" w:hAnsi="Times New Roman"/>
                    </w:rPr>
                    <w:t>6个月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rPr>
                  </w:pPr>
                  <w:r>
                    <w:rPr>
                      <w:rFonts w:hint="eastAsia" w:ascii="Times New Roman" w:hAnsi="Times New Roman"/>
                    </w:rPr>
                    <w:t>1</w:t>
                  </w:r>
                  <w:r>
                    <w:rPr>
                      <w:rFonts w:ascii="Times New Roman" w:hAnsi="Times New Roman"/>
                    </w:rPr>
                    <w:t>1</w:t>
                  </w:r>
                </w:p>
              </w:tc>
              <w:tc>
                <w:tcPr>
                  <w:tcW w:w="538" w:type="pct"/>
                  <w:vAlign w:val="center"/>
                </w:tcPr>
                <w:p>
                  <w:pPr>
                    <w:jc w:val="center"/>
                    <w:rPr>
                      <w:rFonts w:ascii="Times New Roman" w:hAnsi="Times New Roman"/>
                    </w:rPr>
                  </w:pPr>
                  <w:r>
                    <w:rPr>
                      <w:rFonts w:hint="eastAsia" w:ascii="Times New Roman" w:hAnsi="Times New Roman"/>
                    </w:rPr>
                    <w:t>废网版</w:t>
                  </w:r>
                </w:p>
              </w:tc>
              <w:tc>
                <w:tcPr>
                  <w:tcW w:w="493" w:type="pct"/>
                  <w:vAlign w:val="center"/>
                </w:tcPr>
                <w:p>
                  <w:pPr>
                    <w:jc w:val="center"/>
                    <w:rPr>
                      <w:rFonts w:ascii="Times New Roman" w:hAnsi="Times New Roman"/>
                    </w:rPr>
                  </w:pPr>
                  <w:r>
                    <w:rPr>
                      <w:rFonts w:ascii="Times New Roman" w:hAnsi="Times New Roman"/>
                    </w:rPr>
                    <w:t>HW49</w:t>
                  </w:r>
                </w:p>
              </w:tc>
              <w:tc>
                <w:tcPr>
                  <w:tcW w:w="678" w:type="pct"/>
                  <w:vAlign w:val="center"/>
                </w:tcPr>
                <w:p>
                  <w:pPr>
                    <w:jc w:val="center"/>
                    <w:rPr>
                      <w:rFonts w:ascii="Times New Roman" w:hAnsi="Times New Roman"/>
                    </w:rPr>
                  </w:pPr>
                  <w:r>
                    <w:rPr>
                      <w:rFonts w:ascii="Times New Roman" w:hAnsi="Times New Roman"/>
                    </w:rPr>
                    <w:t>900-041-49</w:t>
                  </w:r>
                </w:p>
              </w:tc>
              <w:tc>
                <w:tcPr>
                  <w:tcW w:w="599" w:type="pct"/>
                  <w:vAlign w:val="center"/>
                </w:tcPr>
                <w:p>
                  <w:pPr>
                    <w:jc w:val="center"/>
                    <w:rPr>
                      <w:rFonts w:ascii="Times New Roman" w:hAnsi="Times New Roman"/>
                    </w:rPr>
                  </w:pPr>
                  <w:r>
                    <w:rPr>
                      <w:rFonts w:hint="eastAsia" w:ascii="Times New Roman" w:hAnsi="Times New Roman"/>
                    </w:rPr>
                    <w:t>2</w:t>
                  </w:r>
                  <w:r>
                    <w:rPr>
                      <w:rFonts w:ascii="Times New Roman" w:hAnsi="Times New Roman"/>
                    </w:rPr>
                    <w:t>.5</w:t>
                  </w:r>
                </w:p>
              </w:tc>
              <w:tc>
                <w:tcPr>
                  <w:tcW w:w="435" w:type="pct"/>
                  <w:vAlign w:val="center"/>
                </w:tcPr>
                <w:p>
                  <w:pPr>
                    <w:jc w:val="center"/>
                    <w:rPr>
                      <w:rFonts w:ascii="Times New Roman" w:hAnsi="Times New Roman"/>
                    </w:rPr>
                  </w:pPr>
                  <w:r>
                    <w:rPr>
                      <w:rFonts w:ascii="Times New Roman" w:hAnsi="Times New Roman"/>
                    </w:rPr>
                    <w:t>印刷工序</w:t>
                  </w:r>
                </w:p>
              </w:tc>
              <w:tc>
                <w:tcPr>
                  <w:tcW w:w="271" w:type="pct"/>
                  <w:vAlign w:val="center"/>
                </w:tcPr>
                <w:p>
                  <w:pPr>
                    <w:jc w:val="center"/>
                    <w:rPr>
                      <w:rFonts w:ascii="Times New Roman" w:hAnsi="Times New Roman"/>
                    </w:rPr>
                  </w:pPr>
                  <w:r>
                    <w:rPr>
                      <w:rFonts w:ascii="Times New Roman" w:hAnsi="Times New Roman"/>
                    </w:rPr>
                    <w:t>固态</w:t>
                  </w:r>
                </w:p>
              </w:tc>
              <w:tc>
                <w:tcPr>
                  <w:tcW w:w="472" w:type="pct"/>
                  <w:vAlign w:val="center"/>
                </w:tcPr>
                <w:p>
                  <w:pPr>
                    <w:jc w:val="center"/>
                    <w:rPr>
                      <w:rFonts w:ascii="Times New Roman" w:hAnsi="Times New Roman"/>
                    </w:rPr>
                  </w:pPr>
                  <w:r>
                    <w:rPr>
                      <w:rFonts w:ascii="Times New Roman" w:hAnsi="Times New Roman"/>
                    </w:rPr>
                    <w:t>油墨</w:t>
                  </w:r>
                </w:p>
              </w:tc>
              <w:tc>
                <w:tcPr>
                  <w:tcW w:w="329" w:type="pct"/>
                  <w:vAlign w:val="top"/>
                </w:tcPr>
                <w:p>
                  <w:pPr>
                    <w:adjustRightInd w:val="0"/>
                    <w:snapToGrid w:val="0"/>
                    <w:jc w:val="center"/>
                    <w:rPr>
                      <w:rFonts w:ascii="Times New Roman" w:hAnsi="Times New Roman"/>
                    </w:rPr>
                  </w:pPr>
                  <w:r>
                    <w:rPr>
                      <w:rFonts w:hint="eastAsia" w:ascii="Times New Roman" w:hAnsi="Times New Roman"/>
                    </w:rPr>
                    <w:t>6</w:t>
                  </w:r>
                  <w:r>
                    <w:rPr>
                      <w:rFonts w:ascii="Times New Roman" w:hAnsi="Times New Roman"/>
                    </w:rPr>
                    <w:t>个月</w:t>
                  </w:r>
                </w:p>
              </w:tc>
              <w:tc>
                <w:tcPr>
                  <w:tcW w:w="473" w:type="pct"/>
                  <w:vAlign w:val="center"/>
                </w:tcPr>
                <w:p>
                  <w:pPr>
                    <w:jc w:val="center"/>
                    <w:rPr>
                      <w:rFonts w:ascii="Times New Roman" w:hAnsi="Times New Roman"/>
                    </w:rPr>
                  </w:pPr>
                  <w:r>
                    <w:rPr>
                      <w:rFonts w:ascii="Times New Roman" w:hAnsi="Times New Roman"/>
                    </w:rPr>
                    <w:t>T/In</w:t>
                  </w:r>
                </w:p>
              </w:tc>
              <w:tc>
                <w:tcPr>
                  <w:tcW w:w="441" w:type="pct"/>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pPr>
                    <w:adjustRightInd w:val="0"/>
                    <w:snapToGrid w:val="0"/>
                    <w:jc w:val="center"/>
                    <w:rPr>
                      <w:rFonts w:ascii="Times New Roman" w:hAnsi="Times New Roman"/>
                    </w:rPr>
                  </w:pPr>
                  <w:r>
                    <w:rPr>
                      <w:rFonts w:hint="eastAsia" w:ascii="Times New Roman" w:hAnsi="Times New Roman"/>
                    </w:rPr>
                    <w:t>1</w:t>
                  </w:r>
                  <w:r>
                    <w:rPr>
                      <w:rFonts w:ascii="Times New Roman" w:hAnsi="Times New Roman"/>
                    </w:rPr>
                    <w:t>2</w:t>
                  </w:r>
                </w:p>
              </w:tc>
              <w:tc>
                <w:tcPr>
                  <w:tcW w:w="538" w:type="pct"/>
                  <w:vAlign w:val="center"/>
                </w:tcPr>
                <w:p>
                  <w:pPr>
                    <w:jc w:val="center"/>
                    <w:rPr>
                      <w:rFonts w:ascii="Times New Roman" w:hAnsi="Times New Roman"/>
                    </w:rPr>
                  </w:pPr>
                  <w:r>
                    <w:rPr>
                      <w:rFonts w:ascii="Times New Roman" w:hAnsi="Times New Roman"/>
                    </w:rPr>
                    <w:t>含油</w:t>
                  </w:r>
                  <w:r>
                    <w:rPr>
                      <w:rFonts w:hint="eastAsia" w:ascii="Times New Roman" w:hAnsi="Times New Roman"/>
                    </w:rPr>
                    <w:t>抹布</w:t>
                  </w:r>
                  <w:r>
                    <w:rPr>
                      <w:rFonts w:ascii="Times New Roman" w:hAnsi="Times New Roman"/>
                    </w:rPr>
                    <w:t>、手套</w:t>
                  </w:r>
                </w:p>
              </w:tc>
              <w:tc>
                <w:tcPr>
                  <w:tcW w:w="493" w:type="pct"/>
                  <w:vAlign w:val="center"/>
                </w:tcPr>
                <w:p>
                  <w:pPr>
                    <w:jc w:val="center"/>
                    <w:rPr>
                      <w:rFonts w:ascii="Times New Roman" w:hAnsi="Times New Roman"/>
                    </w:rPr>
                  </w:pPr>
                  <w:r>
                    <w:rPr>
                      <w:rFonts w:ascii="Times New Roman" w:hAnsi="Times New Roman"/>
                    </w:rPr>
                    <w:t>HW49</w:t>
                  </w:r>
                </w:p>
              </w:tc>
              <w:tc>
                <w:tcPr>
                  <w:tcW w:w="678" w:type="pct"/>
                  <w:vAlign w:val="center"/>
                </w:tcPr>
                <w:p>
                  <w:pPr>
                    <w:jc w:val="center"/>
                    <w:rPr>
                      <w:rFonts w:ascii="Times New Roman" w:hAnsi="Times New Roman"/>
                      <w:lang w:val="en-US"/>
                    </w:rPr>
                  </w:pPr>
                  <w:r>
                    <w:rPr>
                      <w:rFonts w:ascii="Times New Roman" w:hAnsi="Times New Roman"/>
                      <w:lang w:val="en-US"/>
                    </w:rPr>
                    <w:t>900-041-49</w:t>
                  </w:r>
                </w:p>
              </w:tc>
              <w:tc>
                <w:tcPr>
                  <w:tcW w:w="599" w:type="pct"/>
                  <w:vAlign w:val="center"/>
                </w:tcPr>
                <w:p>
                  <w:pPr>
                    <w:jc w:val="center"/>
                    <w:rPr>
                      <w:rFonts w:ascii="Times New Roman" w:hAnsi="Times New Roman"/>
                    </w:rPr>
                  </w:pPr>
                  <w:r>
                    <w:rPr>
                      <w:rFonts w:hint="eastAsia" w:ascii="Times New Roman" w:hAnsi="Times New Roman"/>
                    </w:rPr>
                    <w:t>1</w:t>
                  </w:r>
                  <w:r>
                    <w:rPr>
                      <w:rFonts w:ascii="Times New Roman" w:hAnsi="Times New Roman"/>
                    </w:rPr>
                    <w:t>.5</w:t>
                  </w:r>
                </w:p>
              </w:tc>
              <w:tc>
                <w:tcPr>
                  <w:tcW w:w="435" w:type="pct"/>
                  <w:vAlign w:val="center"/>
                </w:tcPr>
                <w:p>
                  <w:pPr>
                    <w:jc w:val="center"/>
                    <w:rPr>
                      <w:rFonts w:ascii="Times New Roman" w:hAnsi="Times New Roman"/>
                    </w:rPr>
                  </w:pPr>
                  <w:r>
                    <w:rPr>
                      <w:rFonts w:ascii="Times New Roman" w:hAnsi="Times New Roman"/>
                    </w:rPr>
                    <w:t>维修</w:t>
                  </w:r>
                  <w:r>
                    <w:rPr>
                      <w:rFonts w:hint="eastAsia" w:ascii="Times New Roman" w:hAnsi="Times New Roman"/>
                    </w:rPr>
                    <w:t>保洁</w:t>
                  </w:r>
                </w:p>
              </w:tc>
              <w:tc>
                <w:tcPr>
                  <w:tcW w:w="271" w:type="pct"/>
                  <w:vAlign w:val="center"/>
                </w:tcPr>
                <w:p>
                  <w:pPr>
                    <w:jc w:val="center"/>
                    <w:rPr>
                      <w:rFonts w:ascii="Times New Roman" w:hAnsi="Times New Roman"/>
                    </w:rPr>
                  </w:pPr>
                  <w:r>
                    <w:rPr>
                      <w:rFonts w:ascii="Times New Roman" w:hAnsi="Times New Roman"/>
                    </w:rPr>
                    <w:t>固态</w:t>
                  </w:r>
                </w:p>
              </w:tc>
              <w:tc>
                <w:tcPr>
                  <w:tcW w:w="472" w:type="pct"/>
                  <w:vAlign w:val="center"/>
                </w:tcPr>
                <w:p>
                  <w:pPr>
                    <w:jc w:val="center"/>
                    <w:rPr>
                      <w:rFonts w:ascii="Times New Roman" w:hAnsi="Times New Roman"/>
                    </w:rPr>
                  </w:pPr>
                  <w:r>
                    <w:rPr>
                      <w:rFonts w:ascii="Times New Roman" w:hAnsi="Times New Roman"/>
                    </w:rPr>
                    <w:t>油墨</w:t>
                  </w:r>
                </w:p>
              </w:tc>
              <w:tc>
                <w:tcPr>
                  <w:tcW w:w="329" w:type="pct"/>
                  <w:vAlign w:val="top"/>
                </w:tcPr>
                <w:p>
                  <w:pPr>
                    <w:adjustRightInd w:val="0"/>
                    <w:snapToGrid w:val="0"/>
                    <w:jc w:val="center"/>
                    <w:rPr>
                      <w:rFonts w:ascii="Times New Roman" w:hAnsi="Times New Roman"/>
                    </w:rPr>
                  </w:pPr>
                  <w:r>
                    <w:rPr>
                      <w:rFonts w:hint="eastAsia" w:ascii="Times New Roman" w:hAnsi="Times New Roman"/>
                    </w:rPr>
                    <w:t>6</w:t>
                  </w:r>
                  <w:r>
                    <w:rPr>
                      <w:rFonts w:ascii="Times New Roman" w:hAnsi="Times New Roman"/>
                    </w:rPr>
                    <w:t>个月</w:t>
                  </w:r>
                </w:p>
              </w:tc>
              <w:tc>
                <w:tcPr>
                  <w:tcW w:w="473" w:type="pct"/>
                  <w:vAlign w:val="center"/>
                </w:tcPr>
                <w:p>
                  <w:pPr>
                    <w:jc w:val="center"/>
                    <w:rPr>
                      <w:rFonts w:ascii="Times New Roman" w:hAnsi="Times New Roman"/>
                      <w:b/>
                      <w:bCs/>
                    </w:rPr>
                  </w:pPr>
                  <w:r>
                    <w:rPr>
                      <w:rFonts w:ascii="Times New Roman" w:hAnsi="Times New Roman"/>
                    </w:rPr>
                    <w:t>T/In</w:t>
                  </w:r>
                </w:p>
              </w:tc>
              <w:tc>
                <w:tcPr>
                  <w:tcW w:w="441" w:type="pct"/>
                  <w:vMerge w:val="continue"/>
                  <w:vAlign w:val="center"/>
                </w:tcPr>
                <w:p>
                  <w:pPr>
                    <w:jc w:val="center"/>
                    <w:rPr>
                      <w:rFonts w:ascii="Times New Roman" w:hAnsi="Times New Roman"/>
                    </w:rPr>
                  </w:pPr>
                </w:p>
              </w:tc>
            </w:tr>
            <w:bookmarkEnd w:id="60"/>
          </w:tbl>
          <w:p>
            <w:pPr>
              <w:adjustRightInd w:val="0"/>
              <w:snapToGrid w:val="0"/>
              <w:spacing w:before="120" w:beforeLines="50" w:line="440" w:lineRule="exact"/>
              <w:ind w:firstLine="482" w:firstLineChars="200"/>
              <w:rPr>
                <w:rFonts w:ascii="Times New Roman" w:hAnsi="Times New Roman"/>
                <w:b/>
                <w:bCs/>
                <w:sz w:val="24"/>
              </w:rPr>
            </w:pPr>
            <w:r>
              <w:rPr>
                <w:rFonts w:ascii="Times New Roman" w:hAnsi="Times New Roman"/>
                <w:b/>
                <w:bCs/>
                <w:sz w:val="24"/>
              </w:rPr>
              <w:t>（2）环境管理要求：</w:t>
            </w:r>
          </w:p>
          <w:p>
            <w:pPr>
              <w:pStyle w:val="61"/>
              <w:autoSpaceDE/>
              <w:autoSpaceDN/>
              <w:adjustRightInd w:val="0"/>
              <w:snapToGrid w:val="0"/>
              <w:spacing w:line="440" w:lineRule="exact"/>
              <w:ind w:left="0" w:firstLine="480" w:firstLineChars="200"/>
              <w:jc w:val="both"/>
              <w:rPr>
                <w:rFonts w:ascii="Times New Roman" w:hAnsi="Times New Roman" w:cs="Times New Roman"/>
                <w:sz w:val="24"/>
              </w:rPr>
            </w:pPr>
            <w:r>
              <w:rPr>
                <w:rFonts w:hint="eastAsia"/>
                <w:sz w:val="24"/>
              </w:rPr>
              <w:t>①</w:t>
            </w:r>
            <w:r>
              <w:rPr>
                <w:rFonts w:ascii="Times New Roman" w:hAnsi="Times New Roman" w:cs="Times New Roman"/>
                <w:sz w:val="24"/>
              </w:rPr>
              <w:t>危险废物收集措施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危险废物的收集措施：</w:t>
            </w:r>
            <w:r>
              <w:rPr>
                <w:rFonts w:hint="eastAsia" w:ascii="Times New Roman" w:hAnsi="Times New Roman"/>
                <w:sz w:val="24"/>
              </w:rPr>
              <w:t>废切削液、废显影液、</w:t>
            </w:r>
            <w:r>
              <w:rPr>
                <w:rFonts w:ascii="Times New Roman" w:hAnsi="Times New Roman"/>
                <w:sz w:val="24"/>
              </w:rPr>
              <w:t>废抹布采用桶装收集暂存，其他危险废物可采用密封编织袋进行收集暂存。</w:t>
            </w:r>
          </w:p>
          <w:p>
            <w:pPr>
              <w:pStyle w:val="61"/>
              <w:autoSpaceDE/>
              <w:autoSpaceDN/>
              <w:adjustRightInd w:val="0"/>
              <w:snapToGrid w:val="0"/>
              <w:spacing w:line="440" w:lineRule="exact"/>
              <w:ind w:left="0" w:firstLine="480" w:firstLineChars="200"/>
              <w:jc w:val="both"/>
              <w:rPr>
                <w:rFonts w:ascii="Times New Roman" w:hAnsi="Times New Roman" w:cs="Times New Roman"/>
                <w:sz w:val="24"/>
              </w:rPr>
            </w:pPr>
            <w:r>
              <w:rPr>
                <w:rFonts w:hint="eastAsia"/>
                <w:sz w:val="24"/>
              </w:rPr>
              <w:t>②</w:t>
            </w:r>
            <w:r>
              <w:rPr>
                <w:rFonts w:ascii="Times New Roman" w:hAnsi="Times New Roman" w:cs="Times New Roman"/>
                <w:sz w:val="24"/>
              </w:rPr>
              <w:t>危险废物暂存、处置要求</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本项目拟建设危废暂存库一座，位于一楼东南侧，建筑面积约50m</w:t>
            </w:r>
            <w:r>
              <w:rPr>
                <w:rFonts w:ascii="Times New Roman" w:hAnsi="Times New Roman"/>
                <w:sz w:val="24"/>
                <w:vertAlign w:val="superscript"/>
              </w:rPr>
              <w:t>2</w:t>
            </w:r>
            <w:r>
              <w:rPr>
                <w:rFonts w:ascii="Times New Roman" w:hAnsi="Times New Roman"/>
                <w:sz w:val="24"/>
              </w:rPr>
              <w:t>，危险废物拟6个月委托处置一次。项目危废于暂存间密封暂存后，定期送具有危险废物处置资质单位进行处理，危废库设有防腐、防渗、防雨等措施。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危险废物的贮存设施应满足以下要求：</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a、应建有堵截泄漏的裙脚，地面与裙脚要用坚固防渗的材料建造。应有隔离设施、报警装置和防风、防晒、防雨设施；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b、基础必须防渗，防渗层为至少1m厚粘土层，渗透系数≤1.0×10</w:t>
            </w:r>
            <w:r>
              <w:rPr>
                <w:rFonts w:ascii="Times New Roman" w:hAnsi="Times New Roman"/>
                <w:sz w:val="24"/>
                <w:vertAlign w:val="superscript"/>
              </w:rPr>
              <w:t>-7</w:t>
            </w:r>
            <w:r>
              <w:rPr>
                <w:rFonts w:ascii="Times New Roman" w:hAnsi="Times New Roman"/>
                <w:sz w:val="24"/>
              </w:rPr>
              <w:t>cm/s，或2mm厚高密度聚乙烯，或至少2mm厚的其它人工材料，渗透系数≤1.0×10</w:t>
            </w:r>
            <w:r>
              <w:rPr>
                <w:rFonts w:ascii="Times New Roman" w:hAnsi="Times New Roman"/>
                <w:sz w:val="24"/>
                <w:vertAlign w:val="superscript"/>
              </w:rPr>
              <w:t>-10</w:t>
            </w:r>
            <w:r>
              <w:rPr>
                <w:rFonts w:ascii="Times New Roman" w:hAnsi="Times New Roman"/>
                <w:sz w:val="24"/>
              </w:rPr>
              <w:t>cm/s；</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c、用于存放液体、半固体危险废物的地方，还须有耐腐蚀的硬化地面，地面无裂隙；</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d、危险废物的贮存场所需设置警示牌，对不相容的危险废物堆放区必须有隔离间隔断；</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e、危险废物的贮存设施的选址与设计、运行与管理、安全防护、环境监测及应急措施、以及关闭等须遵循《危险废物贮存污染控制标准》的规定。</w:t>
            </w:r>
          </w:p>
          <w:p>
            <w:pPr>
              <w:pStyle w:val="2"/>
              <w:spacing w:after="0" w:line="360" w:lineRule="auto"/>
              <w:ind w:left="0" w:leftChars="0" w:firstLine="480"/>
              <w:rPr>
                <w:sz w:val="24"/>
              </w:rPr>
            </w:pPr>
            <w:r>
              <w:rPr>
                <w:rFonts w:hint="eastAsia"/>
                <w:sz w:val="24"/>
              </w:rPr>
              <w:t>f、为废暂存间产生废气，应当按照要求合理设置废气导排及净化系统。</w:t>
            </w:r>
          </w:p>
          <w:p>
            <w:pPr>
              <w:adjustRightInd w:val="0"/>
              <w:snapToGrid w:val="0"/>
              <w:spacing w:line="360" w:lineRule="auto"/>
              <w:ind w:firstLine="480" w:firstLineChars="200"/>
              <w:rPr>
                <w:rFonts w:ascii="Times New Roman" w:hAnsi="Times New Roman"/>
                <w:sz w:val="24"/>
              </w:rPr>
            </w:pPr>
            <w:r>
              <w:rPr>
                <w:rFonts w:hint="eastAsia" w:cs="宋体"/>
                <w:sz w:val="24"/>
              </w:rPr>
              <w:t>③</w:t>
            </w:r>
            <w:r>
              <w:rPr>
                <w:rFonts w:ascii="Times New Roman" w:hAnsi="Times New Roman"/>
                <w:sz w:val="24"/>
              </w:rPr>
              <w:t>危险废物包装、运输要求</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项目各固废均按照相应的包装要求进行包装，经本次固废论证后，企业将危废委托有资质单位进行处置。企业危废外运委托有资质的单位进行运输，严格执行《危险废物收集贮存运输技术规范》（HJ2025-2012）和《危险废物转移联单管理办法》，并制定好危险废物转移运输途中的污染防范及事故应急措施，严格按照要求办理有关手续。</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本项目在厂区内运输危险废物过程中应严格做好相应的防范措施，防止危险废物的泄露，或发生重大交通事故，具体措施如下：</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A、采用专用车辆直接从企业将危险废物运送至处理处置单位厂内，运输过程严格遵守《中华人民共和国固体废物污染环境防治法》、《危险废物收集、贮存、运输技术规范》（HJ2025-2012）等相关规定。</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B、运输途中不设中转站临时贮存，避免危险废物在中转站卸载和装载时发生二次污染的风险，及时由危险废物的产生地直接运送到处理处置单位厂内。</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C、危险废物运输车辆必须在车辆前部和后部、车厢两侧设置专用警示标识。</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D、应当根据危险废物总体处置方案，配备足够数量的运输车辆，合理地备用应急车辆。</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E、每辆运输车应制定负责人，对危险废物运输过程负责，从事危险废物运输的司机等人员应经过合格的培训并通过考核。</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F、在运输前应事先作出周密的运输计划，安排好运输车辆经过各路段的时间，尽量避免运输车辆在交通高峰期间通过市区。</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G、危险废物运输者应制定事故应急和防止运输过程中发生泄漏、丢失、扬散的保障措施和配备必要的设备，在危险废物发生泄漏时可以及时将危险废物收集，减少散失。</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H、运输车辆在每次运输前都必须对每辆运输车辆的车况进行检查，确保车况良好后方可出车，运输车辆负责人应对每辆运输车必须配备的辅助物品进行检查，确保完备，定期对运输车辆进行全面检查，减少和防止危险废物发生泄漏和交通事故的发生。</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I、禁止混合运输性质不相容而未经安全性处置的危险废物，运输车辆不得搭乘其他无关人员。</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J、车辆行驶时应锁闭车厢门，确保安全，不得丢失、遗撒和打开包装取出危险废物。</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K、合理安排运输频次，在气象条件不好的天气，不能运输危险废物，可先贮藏，等天气好转时再进行运输，小雨天可运输，但应小心驾驶并加强安全措施。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L、运输车辆应该限速行驶，避免交通事故的发生，在不好的路段及沿线有敏感水体的区域应小心驾驶，防止发生事故或泄露性事故而污染水体。</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M、危险废物运输者在转移过程中发生意外事故，应立即向当地环境保护主管部门和交通管理部门报告，并采取相应措施，防止环境污染事故扩大。</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N、应制定事故应急计划，在事故发生时及发生后做好相应的环境保护措施。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应急计划包括：应急组织及其职责，及市、县环境保护主管部门和交通管理部门，应按区设立区域应急中心，应急设施、设备与器材；应急通讯联络，运输路线经过区环境保护主管部门和交通管理部门的联络方式；应急措施，事故后果评价；应急监测；应急安全、保卫、应急救援等。</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通过上述分析可知，项目危险废物运输过程中在严格做好相应的防范措施后，对环境的影响较小。</w:t>
            </w:r>
          </w:p>
          <w:p>
            <w:pPr>
              <w:adjustRightInd w:val="0"/>
              <w:snapToGrid w:val="0"/>
              <w:spacing w:line="440" w:lineRule="exact"/>
              <w:ind w:firstLine="480" w:firstLineChars="200"/>
              <w:rPr>
                <w:rFonts w:ascii="Times New Roman" w:hAnsi="Times New Roman"/>
                <w:sz w:val="24"/>
              </w:rPr>
            </w:pPr>
            <w:r>
              <w:rPr>
                <w:rFonts w:hint="eastAsia" w:cs="宋体"/>
                <w:sz w:val="24"/>
              </w:rPr>
              <w:t>④</w:t>
            </w:r>
            <w:r>
              <w:rPr>
                <w:rFonts w:ascii="Times New Roman" w:hAnsi="Times New Roman"/>
                <w:sz w:val="24"/>
              </w:rPr>
              <w:t>项目固废处理处置的影响分析</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固体废物进行了分类收集、贮存，防止危险废物与生活垃圾混放后引发危险废物的二次污染，减轻了对环境的影响。</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同时对固体废物在厂内的堆放区采取了相应的防护措施，所有危险废物能妥善在厂区内存放，不会对土壤、地下水等造成影响。</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企业将危废委托有资质单位进行处置，生活垃圾委托环卫部门清运处理。</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危废的转移和运输均交由具备有资质的危险固废运输单位和处置单位执行，运输单位对运输路线进行规划，尽量避开人口密集区域、水源保护以及交通拥堵道路等区域，不得超载，并配有押运员，以防止在运输过程中发生散落、泄露以及因交通事故造成的污染事件。接受处置单位对到厂的危废须按规定进行存放、处置，并做到达标排放。在做好安全运输、合法处置，达标排放的情况下，危废的运输和转移过程中不会对环境造成严重污染。</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综上所述，企业需按照上述要求，采取相应的防护措施，所有措施实施后可知后对环境的影响较小。</w:t>
            </w:r>
          </w:p>
          <w:p>
            <w:pPr>
              <w:adjustRightInd w:val="0"/>
              <w:snapToGrid w:val="0"/>
              <w:spacing w:line="440" w:lineRule="exact"/>
              <w:ind w:firstLine="482" w:firstLineChars="200"/>
              <w:rPr>
                <w:rFonts w:ascii="Times New Roman" w:hAnsi="Times New Roman"/>
                <w:b/>
                <w:bCs/>
                <w:sz w:val="24"/>
              </w:rPr>
            </w:pPr>
            <w:r>
              <w:rPr>
                <w:rFonts w:ascii="Times New Roman" w:hAnsi="Times New Roman"/>
                <w:b/>
                <w:bCs/>
                <w:sz w:val="24"/>
              </w:rPr>
              <w:t>五、地下水环境</w:t>
            </w:r>
          </w:p>
          <w:p>
            <w:pPr>
              <w:spacing w:line="440" w:lineRule="exact"/>
              <w:ind w:firstLine="480" w:firstLineChars="200"/>
              <w:rPr>
                <w:rFonts w:ascii="Times New Roman" w:hAnsi="Times New Roman"/>
                <w:sz w:val="24"/>
              </w:rPr>
            </w:pPr>
            <w:r>
              <w:rPr>
                <w:rFonts w:ascii="Times New Roman" w:hAnsi="Times New Roman"/>
                <w:sz w:val="24"/>
              </w:rPr>
              <w:t>本项目采取分区防治措施，将厂区内按各功能单元所处位置划分为重点防渗区和一般防渗区。</w:t>
            </w:r>
          </w:p>
          <w:p>
            <w:pPr>
              <w:spacing w:line="440" w:lineRule="exact"/>
              <w:ind w:firstLine="480" w:firstLineChars="200"/>
              <w:rPr>
                <w:rFonts w:ascii="Times New Roman" w:hAnsi="Times New Roman"/>
                <w:sz w:val="24"/>
              </w:rPr>
            </w:pPr>
            <w:r>
              <w:rPr>
                <w:rFonts w:ascii="Times New Roman" w:hAnsi="Times New Roman"/>
                <w:sz w:val="24"/>
              </w:rPr>
              <w:t>A、一般污染防渗区：对土壤和地下水环境有污染的物料或污染物泄漏后可及时发现和处理的区域和部位；污染物污染防治区参照《一般工业固体废物贮存和填埋污染控制标准》（GB18599-2020）。一般污染防治区防渗层的性能应不低于1.5m厚渗透系数≤1.0×10</w:t>
            </w:r>
            <w:r>
              <w:rPr>
                <w:rFonts w:ascii="Times New Roman" w:hAnsi="Times New Roman"/>
                <w:sz w:val="24"/>
                <w:vertAlign w:val="superscript"/>
              </w:rPr>
              <w:t>-7</w:t>
            </w:r>
            <w:r>
              <w:rPr>
                <w:rFonts w:ascii="Times New Roman" w:hAnsi="Times New Roman"/>
                <w:sz w:val="24"/>
              </w:rPr>
              <w:t>cm/s的天然材料防渗结构或厚度不低于1.5mm厚的土工膜。</w:t>
            </w:r>
          </w:p>
          <w:p>
            <w:pPr>
              <w:autoSpaceDE/>
              <w:autoSpaceDN/>
              <w:spacing w:line="440" w:lineRule="exact"/>
              <w:ind w:firstLine="480" w:firstLineChars="200"/>
              <w:jc w:val="both"/>
              <w:rPr>
                <w:rFonts w:ascii="Times New Roman" w:hAnsi="Times New Roman"/>
                <w:sz w:val="24"/>
                <w:lang w:val="en-US"/>
              </w:rPr>
            </w:pPr>
            <w:r>
              <w:rPr>
                <w:rFonts w:ascii="Times New Roman" w:hAnsi="Times New Roman"/>
                <w:sz w:val="24"/>
              </w:rPr>
              <w:t>B、重点污染防渗区：对土壤和地下水环境有污染的物料或污染物泄漏后不易及时发现和处理的区域和部位。危险废物暂存间按《危险废物贮存污染控制标准》（GB18597-2001）及2013年修改清单要求设置。危险废物暂存间四周设置混凝土围堰，并涂环氧树脂防腐防渗，地面先用水泥硬化，并涂环氧树脂防腐防渗，使其防渗层渗透系数小于10</w:t>
            </w:r>
            <w:r>
              <w:rPr>
                <w:rFonts w:ascii="Times New Roman" w:hAnsi="Times New Roman"/>
                <w:sz w:val="24"/>
                <w:vertAlign w:val="superscript"/>
              </w:rPr>
              <w:t>-10</w:t>
            </w:r>
            <w:r>
              <w:rPr>
                <w:rFonts w:ascii="Times New Roman" w:hAnsi="Times New Roman"/>
                <w:sz w:val="24"/>
              </w:rPr>
              <w:t>cm/s，同时危险废物暂存间内设导流沟和废水收集池，导流沟和废水收集池均用水泥硬化，并涂环氧树脂防腐防渗；化粪池内防渗用三七灰土夯实后，再采用15mm厚的混凝土防渗系统（抗渗混凝土抗渗等级为P8），侧壁墙设防水砂浆抗渗层，并对水泥池内及侧墙贴瓷砖，并涂环氧树脂防腐，使其防渗层渗透系数小于10</w:t>
            </w:r>
            <w:r>
              <w:rPr>
                <w:rFonts w:ascii="Times New Roman" w:hAnsi="Times New Roman"/>
                <w:sz w:val="24"/>
                <w:vertAlign w:val="superscript"/>
              </w:rPr>
              <w:t>-10</w:t>
            </w:r>
            <w:r>
              <w:rPr>
                <w:rFonts w:ascii="Times New Roman" w:hAnsi="Times New Roman"/>
                <w:sz w:val="24"/>
              </w:rPr>
              <w:t>cm/s，以达到防腐防渗目的；喷漆房采用黏土铺底，再在上层铺水泥进行硬化，并铺环氧树脂漆防腐防渗。防渗结构层渗透系数不应大于1.0×10</w:t>
            </w:r>
            <w:r>
              <w:rPr>
                <w:rFonts w:ascii="Times New Roman" w:hAnsi="Times New Roman"/>
                <w:sz w:val="24"/>
                <w:vertAlign w:val="superscript"/>
              </w:rPr>
              <w:t>-10</w:t>
            </w:r>
            <w:r>
              <w:rPr>
                <w:rFonts w:ascii="Times New Roman" w:hAnsi="Times New Roman"/>
                <w:sz w:val="24"/>
              </w:rPr>
              <w:t>cm/s，确定项目完成后污染防治分区情况详见下表：</w:t>
            </w:r>
          </w:p>
          <w:p>
            <w:pPr>
              <w:autoSpaceDE/>
              <w:autoSpaceDN/>
              <w:spacing w:line="440" w:lineRule="exact"/>
              <w:jc w:val="center"/>
              <w:rPr>
                <w:rFonts w:ascii="Times New Roman" w:hAnsi="Times New Roman"/>
                <w:b/>
                <w:sz w:val="24"/>
                <w:lang w:val="en-US"/>
              </w:rPr>
            </w:pPr>
            <w:r>
              <w:rPr>
                <w:rFonts w:ascii="Times New Roman" w:hAnsi="Times New Roman"/>
                <w:b/>
                <w:spacing w:val="-2"/>
              </w:rPr>
              <w:t>表4-19</w:t>
            </w:r>
            <w:r>
              <w:rPr>
                <w:rFonts w:ascii="Times New Roman" w:hAnsi="Times New Roman"/>
                <w:b/>
              </w:rPr>
              <w:t>地下水污染防治分区情况表</w:t>
            </w:r>
          </w:p>
          <w:tbl>
            <w:tblPr>
              <w:tblStyle w:val="2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039"/>
              <w:gridCol w:w="44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839" w:type="dxa"/>
                  <w:vAlign w:val="center"/>
                </w:tcPr>
                <w:p>
                  <w:pPr>
                    <w:jc w:val="center"/>
                    <w:rPr>
                      <w:rFonts w:ascii="Times New Roman" w:hAnsi="Times New Roman"/>
                      <w:b/>
                      <w:bCs/>
                    </w:rPr>
                  </w:pPr>
                  <w:r>
                    <w:rPr>
                      <w:rFonts w:ascii="Times New Roman" w:hAnsi="Times New Roman"/>
                      <w:b/>
                      <w:bCs/>
                    </w:rPr>
                    <w:t>名称</w:t>
                  </w:r>
                </w:p>
              </w:tc>
              <w:tc>
                <w:tcPr>
                  <w:tcW w:w="2909" w:type="dxa"/>
                  <w:vAlign w:val="center"/>
                </w:tcPr>
                <w:p>
                  <w:pPr>
                    <w:jc w:val="center"/>
                    <w:rPr>
                      <w:rFonts w:ascii="Times New Roman" w:hAnsi="Times New Roman"/>
                      <w:b/>
                      <w:bCs/>
                    </w:rPr>
                  </w:pPr>
                  <w:r>
                    <w:rPr>
                      <w:rFonts w:ascii="Times New Roman" w:hAnsi="Times New Roman"/>
                      <w:b/>
                      <w:bCs/>
                    </w:rPr>
                    <w:t>范围</w:t>
                  </w:r>
                </w:p>
              </w:tc>
              <w:tc>
                <w:tcPr>
                  <w:tcW w:w="4306" w:type="dxa"/>
                  <w:vAlign w:val="center"/>
                </w:tcPr>
                <w:p>
                  <w:pPr>
                    <w:jc w:val="center"/>
                    <w:rPr>
                      <w:rFonts w:ascii="Times New Roman" w:hAnsi="Times New Roman"/>
                      <w:b/>
                      <w:bCs/>
                    </w:rPr>
                  </w:pPr>
                  <w:r>
                    <w:rPr>
                      <w:rFonts w:ascii="Times New Roman" w:hAnsi="Times New Roman"/>
                      <w:b/>
                      <w:bCs/>
                    </w:rPr>
                    <w:t>防渗结构要求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9" w:type="dxa"/>
                  <w:vAlign w:val="center"/>
                </w:tcPr>
                <w:p>
                  <w:pPr>
                    <w:jc w:val="center"/>
                    <w:rPr>
                      <w:rFonts w:ascii="Times New Roman" w:hAnsi="Times New Roman"/>
                    </w:rPr>
                  </w:pPr>
                  <w:r>
                    <w:rPr>
                      <w:rFonts w:ascii="Times New Roman" w:hAnsi="Times New Roman"/>
                    </w:rPr>
                    <w:t>重点防渗区</w:t>
                  </w:r>
                </w:p>
              </w:tc>
              <w:tc>
                <w:tcPr>
                  <w:tcW w:w="2909" w:type="dxa"/>
                  <w:vAlign w:val="center"/>
                </w:tcPr>
                <w:p>
                  <w:pPr>
                    <w:jc w:val="center"/>
                    <w:rPr>
                      <w:rFonts w:ascii="Times New Roman" w:hAnsi="Times New Roman"/>
                    </w:rPr>
                  </w:pPr>
                  <w:r>
                    <w:rPr>
                      <w:rFonts w:ascii="Times New Roman" w:hAnsi="Times New Roman"/>
                    </w:rPr>
                    <w:t>丝印车间、危废暂存间、化学品仓库、污水处理间</w:t>
                  </w:r>
                </w:p>
              </w:tc>
              <w:tc>
                <w:tcPr>
                  <w:tcW w:w="4306" w:type="dxa"/>
                  <w:vAlign w:val="center"/>
                </w:tcPr>
                <w:p>
                  <w:pPr>
                    <w:jc w:val="center"/>
                    <w:rPr>
                      <w:rFonts w:ascii="Times New Roman" w:hAnsi="Times New Roman"/>
                    </w:rPr>
                  </w:pPr>
                  <w:r>
                    <w:rPr>
                      <w:rFonts w:ascii="Times New Roman" w:hAnsi="Times New Roman"/>
                    </w:rPr>
                    <w:t>等效黏土防渗层Mb</w:t>
                  </w:r>
                  <w:r>
                    <w:rPr>
                      <w:rFonts w:hint="eastAsia" w:cs="宋体"/>
                    </w:rPr>
                    <w:t>≧</w:t>
                  </w:r>
                  <w:r>
                    <w:rPr>
                      <w:rFonts w:ascii="Times New Roman" w:hAnsi="Times New Roman"/>
                    </w:rPr>
                    <w:t>6m，K</w:t>
                  </w:r>
                  <w:r>
                    <w:rPr>
                      <w:rFonts w:hint="eastAsia" w:cs="宋体"/>
                    </w:rPr>
                    <w:t>≦</w:t>
                  </w:r>
                  <w:r>
                    <w:rPr>
                      <w:rFonts w:ascii="Times New Roman" w:hAnsi="Times New Roman"/>
                    </w:rPr>
                    <w:t>1*10</w:t>
                  </w:r>
                  <w:r>
                    <w:rPr>
                      <w:rFonts w:ascii="Times New Roman" w:hAnsi="Times New Roman"/>
                      <w:vertAlign w:val="superscript"/>
                    </w:rPr>
                    <w:t>-7</w:t>
                  </w:r>
                  <w:r>
                    <w:rPr>
                      <w:rFonts w:ascii="Times New Roman" w:hAnsi="Times New Roman"/>
                    </w:rPr>
                    <w:t>cm/s，或参照GB18598执行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9" w:type="dxa"/>
                  <w:vAlign w:val="center"/>
                </w:tcPr>
                <w:p>
                  <w:pPr>
                    <w:jc w:val="center"/>
                    <w:rPr>
                      <w:rFonts w:ascii="Times New Roman" w:hAnsi="Times New Roman"/>
                    </w:rPr>
                  </w:pPr>
                  <w:r>
                    <w:rPr>
                      <w:rFonts w:ascii="Times New Roman" w:hAnsi="Times New Roman"/>
                    </w:rPr>
                    <w:t>一般防渗区</w:t>
                  </w:r>
                </w:p>
              </w:tc>
              <w:tc>
                <w:tcPr>
                  <w:tcW w:w="2909" w:type="dxa"/>
                  <w:vAlign w:val="center"/>
                </w:tcPr>
                <w:p>
                  <w:pPr>
                    <w:jc w:val="center"/>
                    <w:rPr>
                      <w:rFonts w:ascii="Times New Roman" w:hAnsi="Times New Roman"/>
                    </w:rPr>
                  </w:pPr>
                  <w:r>
                    <w:rPr>
                      <w:rFonts w:ascii="Times New Roman" w:hAnsi="Times New Roman"/>
                    </w:rPr>
                    <w:t>一般固废暂存场所、其他生产车间、办公楼等其他区域</w:t>
                  </w:r>
                </w:p>
              </w:tc>
              <w:tc>
                <w:tcPr>
                  <w:tcW w:w="4306" w:type="dxa"/>
                  <w:vAlign w:val="center"/>
                </w:tcPr>
                <w:p>
                  <w:pPr>
                    <w:jc w:val="center"/>
                    <w:rPr>
                      <w:rFonts w:ascii="Times New Roman" w:hAnsi="Times New Roman"/>
                    </w:rPr>
                  </w:pPr>
                  <w:r>
                    <w:rPr>
                      <w:rFonts w:ascii="Times New Roman" w:hAnsi="Times New Roman"/>
                    </w:rPr>
                    <w:t>地面采取粘土铺底，再在上层铺10~15cm的水泥进行硬化，渗透系数≤1.0×10</w:t>
                  </w:r>
                  <w:r>
                    <w:rPr>
                      <w:rFonts w:ascii="Times New Roman" w:hAnsi="Times New Roman"/>
                      <w:vertAlign w:val="superscript"/>
                    </w:rPr>
                    <w:t>-7</w:t>
                  </w:r>
                  <w:r>
                    <w:rPr>
                      <w:rFonts w:ascii="Times New Roman" w:hAnsi="Times New Roman"/>
                    </w:rPr>
                    <w:t>cm/s</w:t>
                  </w:r>
                </w:p>
              </w:tc>
            </w:tr>
          </w:tbl>
          <w:p>
            <w:pPr>
              <w:pStyle w:val="55"/>
              <w:snapToGrid w:val="0"/>
              <w:ind w:left="0" w:right="0" w:firstLine="480" w:firstLineChars="200"/>
              <w:jc w:val="left"/>
              <w:rPr>
                <w:rFonts w:ascii="Times New Roman" w:hAnsi="Times New Roman" w:cs="Times New Roman"/>
                <w:color w:val="auto"/>
                <w:lang w:bidi="ar"/>
              </w:rPr>
            </w:pPr>
            <w:r>
              <w:rPr>
                <w:rFonts w:ascii="Times New Roman" w:hAnsi="Times New Roman" w:cs="Times New Roman"/>
                <w:color w:val="auto"/>
              </w:rPr>
              <w:t>经采取以上措施后，可以有效避免对土壤、地下水造成污染</w:t>
            </w:r>
            <w:r>
              <w:rPr>
                <w:rFonts w:ascii="Times New Roman" w:hAnsi="Times New Roman" w:cs="Times New Roman"/>
                <w:color w:val="auto"/>
                <w:lang w:bidi="ar"/>
              </w:rPr>
              <w:t>。</w:t>
            </w:r>
          </w:p>
          <w:p>
            <w:pPr>
              <w:adjustRightInd w:val="0"/>
              <w:snapToGrid w:val="0"/>
              <w:spacing w:line="440" w:lineRule="exact"/>
              <w:ind w:firstLine="482" w:firstLineChars="200"/>
              <w:rPr>
                <w:rFonts w:ascii="Times New Roman" w:hAnsi="Times New Roman"/>
                <w:b/>
                <w:bCs/>
                <w:sz w:val="24"/>
              </w:rPr>
            </w:pPr>
            <w:r>
              <w:rPr>
                <w:rFonts w:ascii="Times New Roman" w:hAnsi="Times New Roman"/>
                <w:b/>
                <w:bCs/>
                <w:sz w:val="24"/>
              </w:rPr>
              <w:t>六、土壤环境</w:t>
            </w:r>
          </w:p>
          <w:p>
            <w:pPr>
              <w:spacing w:line="440" w:lineRule="exact"/>
              <w:ind w:firstLine="480" w:firstLineChars="200"/>
              <w:rPr>
                <w:rFonts w:ascii="Times New Roman" w:hAnsi="Times New Roman"/>
                <w:sz w:val="24"/>
              </w:rPr>
            </w:pPr>
            <w:r>
              <w:rPr>
                <w:rFonts w:hint="eastAsia" w:cs="宋体"/>
                <w:sz w:val="24"/>
              </w:rPr>
              <w:t>①</w:t>
            </w:r>
            <w:r>
              <w:rPr>
                <w:rFonts w:ascii="Times New Roman" w:hAnsi="Times New Roman"/>
                <w:sz w:val="24"/>
              </w:rPr>
              <w:t>污染途径</w:t>
            </w:r>
          </w:p>
          <w:p>
            <w:pPr>
              <w:spacing w:line="440" w:lineRule="exact"/>
              <w:ind w:firstLine="480" w:firstLineChars="200"/>
              <w:jc w:val="both"/>
              <w:rPr>
                <w:rFonts w:ascii="Times New Roman" w:hAnsi="Times New Roman"/>
                <w:sz w:val="24"/>
              </w:rPr>
            </w:pPr>
            <w:r>
              <w:rPr>
                <w:rFonts w:ascii="Times New Roman" w:hAnsi="Times New Roman"/>
                <w:sz w:val="24"/>
              </w:rPr>
              <w:t>本项目重点防渗区为丝印车间、危废暂存间、化学品仓库、污水处理间，在做好防渗措施的前提下，项目不会造成废水、化学品药剂等泄漏，无土壤污染途径。因此，正常工况下项目不会对区域土壤环境产生不利影响。</w:t>
            </w:r>
          </w:p>
          <w:p>
            <w:pPr>
              <w:spacing w:line="440" w:lineRule="exact"/>
              <w:ind w:firstLine="480" w:firstLineChars="200"/>
              <w:jc w:val="both"/>
              <w:rPr>
                <w:rFonts w:ascii="Times New Roman" w:hAnsi="Times New Roman"/>
                <w:sz w:val="24"/>
              </w:rPr>
            </w:pPr>
            <w:r>
              <w:rPr>
                <w:rFonts w:ascii="Times New Roman" w:hAnsi="Times New Roman"/>
                <w:sz w:val="24"/>
              </w:rPr>
              <w:t>非正常情况下，如防渗措施不当或损坏，以及管理不当，造成原料仓库、危废暂存间、化学品暂存间、切削液、清洗剂、硝酸钾、丝印油墨、洗网水、废切削液、废洗网水等泄漏，如果上述污染处置不当，污染物可能进入土壤，造成土壤污染。</w:t>
            </w:r>
          </w:p>
          <w:p>
            <w:pPr>
              <w:spacing w:line="440" w:lineRule="exact"/>
              <w:ind w:firstLine="480" w:firstLineChars="200"/>
              <w:jc w:val="both"/>
              <w:rPr>
                <w:rFonts w:ascii="Times New Roman" w:hAnsi="Times New Roman"/>
                <w:sz w:val="24"/>
              </w:rPr>
            </w:pPr>
            <w:r>
              <w:rPr>
                <w:rFonts w:ascii="Times New Roman" w:hAnsi="Times New Roman"/>
                <w:sz w:val="24"/>
              </w:rPr>
              <w:t>项目土壤环境影响类型与影响途径见下表：</w:t>
            </w:r>
          </w:p>
          <w:p>
            <w:pPr>
              <w:pStyle w:val="119"/>
              <w:spacing w:line="440" w:lineRule="exact"/>
              <w:rPr>
                <w:rFonts w:cs="Times New Roman"/>
              </w:rPr>
            </w:pPr>
            <w:r>
              <w:rPr>
                <w:rFonts w:cs="Times New Roman"/>
              </w:rPr>
              <w:t>表4-20建设项目土壤环境影响类型与影响途径表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182"/>
              <w:gridCol w:w="1291"/>
              <w:gridCol w:w="1237"/>
              <w:gridCol w:w="622"/>
              <w:gridCol w:w="771"/>
              <w:gridCol w:w="775"/>
              <w:gridCol w:w="778"/>
              <w:gridCol w:w="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9" w:type="pct"/>
                  <w:vMerge w:val="restart"/>
                  <w:vAlign w:val="center"/>
                </w:tcPr>
                <w:p>
                  <w:pPr>
                    <w:jc w:val="center"/>
                    <w:rPr>
                      <w:rFonts w:ascii="Times New Roman" w:hAnsi="Times New Roman"/>
                      <w:b/>
                      <w:bCs/>
                    </w:rPr>
                  </w:pPr>
                  <w:r>
                    <w:rPr>
                      <w:rFonts w:ascii="Times New Roman" w:hAnsi="Times New Roman"/>
                      <w:b/>
                      <w:bCs/>
                    </w:rPr>
                    <w:t>不同时段</w:t>
                  </w:r>
                </w:p>
              </w:tc>
              <w:tc>
                <w:tcPr>
                  <w:tcW w:w="2522" w:type="pct"/>
                  <w:gridSpan w:val="4"/>
                  <w:vAlign w:val="center"/>
                </w:tcPr>
                <w:p>
                  <w:pPr>
                    <w:jc w:val="center"/>
                    <w:rPr>
                      <w:rFonts w:ascii="Times New Roman" w:hAnsi="Times New Roman"/>
                      <w:b/>
                      <w:bCs/>
                    </w:rPr>
                  </w:pPr>
                  <w:r>
                    <w:rPr>
                      <w:rFonts w:ascii="Times New Roman" w:hAnsi="Times New Roman"/>
                      <w:b/>
                      <w:bCs/>
                    </w:rPr>
                    <w:t>污染影响型</w:t>
                  </w:r>
                </w:p>
              </w:tc>
              <w:tc>
                <w:tcPr>
                  <w:tcW w:w="1769" w:type="pct"/>
                  <w:gridSpan w:val="4"/>
                  <w:vAlign w:val="center"/>
                </w:tcPr>
                <w:p>
                  <w:pPr>
                    <w:jc w:val="center"/>
                    <w:rPr>
                      <w:rFonts w:ascii="Times New Roman" w:hAnsi="Times New Roman"/>
                      <w:b/>
                      <w:bCs/>
                    </w:rPr>
                  </w:pPr>
                  <w:r>
                    <w:rPr>
                      <w:rFonts w:ascii="Times New Roman" w:hAnsi="Times New Roman"/>
                      <w:b/>
                      <w:bCs/>
                    </w:rPr>
                    <w:t>生态影响型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09" w:type="pct"/>
                  <w:vMerge w:val="continue"/>
                  <w:vAlign w:val="center"/>
                </w:tcPr>
                <w:p>
                  <w:pPr>
                    <w:jc w:val="center"/>
                    <w:rPr>
                      <w:rFonts w:ascii="Times New Roman" w:hAnsi="Times New Roman"/>
                      <w:b/>
                      <w:bCs/>
                    </w:rPr>
                  </w:pPr>
                </w:p>
              </w:tc>
              <w:tc>
                <w:tcPr>
                  <w:tcW w:w="688" w:type="pct"/>
                  <w:vAlign w:val="center"/>
                </w:tcPr>
                <w:p>
                  <w:pPr>
                    <w:jc w:val="center"/>
                    <w:rPr>
                      <w:rFonts w:ascii="Times New Roman" w:hAnsi="Times New Roman"/>
                      <w:b/>
                      <w:bCs/>
                    </w:rPr>
                  </w:pPr>
                  <w:r>
                    <w:rPr>
                      <w:rFonts w:ascii="Times New Roman" w:hAnsi="Times New Roman"/>
                      <w:b/>
                      <w:bCs/>
                    </w:rPr>
                    <w:t>大气沉降</w:t>
                  </w:r>
                </w:p>
              </w:tc>
              <w:tc>
                <w:tcPr>
                  <w:tcW w:w="752" w:type="pct"/>
                  <w:vAlign w:val="center"/>
                </w:tcPr>
                <w:p>
                  <w:pPr>
                    <w:jc w:val="center"/>
                    <w:rPr>
                      <w:rFonts w:ascii="Times New Roman" w:hAnsi="Times New Roman"/>
                      <w:b/>
                      <w:bCs/>
                    </w:rPr>
                  </w:pPr>
                  <w:r>
                    <w:rPr>
                      <w:rFonts w:ascii="Times New Roman" w:hAnsi="Times New Roman"/>
                      <w:b/>
                      <w:bCs/>
                    </w:rPr>
                    <w:t>地面漫流</w:t>
                  </w:r>
                </w:p>
              </w:tc>
              <w:tc>
                <w:tcPr>
                  <w:tcW w:w="720" w:type="pct"/>
                  <w:vAlign w:val="center"/>
                </w:tcPr>
                <w:p>
                  <w:pPr>
                    <w:jc w:val="center"/>
                    <w:rPr>
                      <w:rFonts w:ascii="Times New Roman" w:hAnsi="Times New Roman"/>
                      <w:b/>
                      <w:bCs/>
                    </w:rPr>
                  </w:pPr>
                  <w:r>
                    <w:rPr>
                      <w:rFonts w:ascii="Times New Roman" w:hAnsi="Times New Roman"/>
                      <w:b/>
                      <w:bCs/>
                    </w:rPr>
                    <w:t>垂直入渗</w:t>
                  </w:r>
                </w:p>
              </w:tc>
              <w:tc>
                <w:tcPr>
                  <w:tcW w:w="361" w:type="pct"/>
                  <w:vAlign w:val="center"/>
                </w:tcPr>
                <w:p>
                  <w:pPr>
                    <w:jc w:val="center"/>
                    <w:rPr>
                      <w:rFonts w:ascii="Times New Roman" w:hAnsi="Times New Roman"/>
                      <w:b/>
                      <w:bCs/>
                    </w:rPr>
                  </w:pPr>
                  <w:r>
                    <w:rPr>
                      <w:rFonts w:ascii="Times New Roman" w:hAnsi="Times New Roman"/>
                      <w:b/>
                      <w:bCs/>
                    </w:rPr>
                    <w:t>其它</w:t>
                  </w:r>
                </w:p>
              </w:tc>
              <w:tc>
                <w:tcPr>
                  <w:tcW w:w="449" w:type="pct"/>
                  <w:vAlign w:val="center"/>
                </w:tcPr>
                <w:p>
                  <w:pPr>
                    <w:jc w:val="center"/>
                    <w:rPr>
                      <w:rFonts w:ascii="Times New Roman" w:hAnsi="Times New Roman"/>
                      <w:b/>
                      <w:bCs/>
                    </w:rPr>
                  </w:pPr>
                  <w:r>
                    <w:rPr>
                      <w:rFonts w:ascii="Times New Roman" w:hAnsi="Times New Roman"/>
                      <w:b/>
                      <w:bCs/>
                    </w:rPr>
                    <w:t>盐化</w:t>
                  </w:r>
                </w:p>
              </w:tc>
              <w:tc>
                <w:tcPr>
                  <w:tcW w:w="451" w:type="pct"/>
                  <w:vAlign w:val="center"/>
                </w:tcPr>
                <w:p>
                  <w:pPr>
                    <w:jc w:val="center"/>
                    <w:rPr>
                      <w:rFonts w:ascii="Times New Roman" w:hAnsi="Times New Roman"/>
                      <w:b/>
                      <w:bCs/>
                    </w:rPr>
                  </w:pPr>
                  <w:r>
                    <w:rPr>
                      <w:rFonts w:ascii="Times New Roman" w:hAnsi="Times New Roman"/>
                      <w:b/>
                      <w:bCs/>
                    </w:rPr>
                    <w:t>碱化</w:t>
                  </w:r>
                </w:p>
              </w:tc>
              <w:tc>
                <w:tcPr>
                  <w:tcW w:w="453" w:type="pct"/>
                  <w:vAlign w:val="center"/>
                </w:tcPr>
                <w:p>
                  <w:pPr>
                    <w:jc w:val="center"/>
                    <w:rPr>
                      <w:rFonts w:ascii="Times New Roman" w:hAnsi="Times New Roman"/>
                      <w:b/>
                      <w:bCs/>
                    </w:rPr>
                  </w:pPr>
                  <w:r>
                    <w:rPr>
                      <w:rFonts w:ascii="Times New Roman" w:hAnsi="Times New Roman"/>
                      <w:b/>
                      <w:bCs/>
                    </w:rPr>
                    <w:t>酸化</w:t>
                  </w:r>
                </w:p>
              </w:tc>
              <w:tc>
                <w:tcPr>
                  <w:tcW w:w="416" w:type="pct"/>
                  <w:vAlign w:val="center"/>
                </w:tcPr>
                <w:p>
                  <w:pPr>
                    <w:jc w:val="center"/>
                    <w:rPr>
                      <w:rFonts w:ascii="Times New Roman" w:hAnsi="Times New Roman"/>
                      <w:b/>
                      <w:bCs/>
                    </w:rPr>
                  </w:pPr>
                  <w:r>
                    <w:rPr>
                      <w:rFonts w:ascii="Times New Roman" w:hAnsi="Times New Roman"/>
                      <w:b/>
                      <w:bCs/>
                    </w:rPr>
                    <w:t>其它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09" w:type="pct"/>
                  <w:vAlign w:val="center"/>
                </w:tcPr>
                <w:p>
                  <w:pPr>
                    <w:jc w:val="center"/>
                    <w:rPr>
                      <w:rFonts w:ascii="Times New Roman" w:hAnsi="Times New Roman"/>
                    </w:rPr>
                  </w:pPr>
                  <w:r>
                    <w:rPr>
                      <w:rFonts w:ascii="Times New Roman" w:hAnsi="Times New Roman"/>
                    </w:rPr>
                    <w:t>运营期</w:t>
                  </w:r>
                </w:p>
              </w:tc>
              <w:tc>
                <w:tcPr>
                  <w:tcW w:w="688" w:type="pct"/>
                  <w:vAlign w:val="center"/>
                </w:tcPr>
                <w:p>
                  <w:pPr>
                    <w:jc w:val="center"/>
                    <w:rPr>
                      <w:rFonts w:ascii="Times New Roman" w:hAnsi="Times New Roman"/>
                    </w:rPr>
                  </w:pPr>
                  <w:r>
                    <w:rPr>
                      <w:rFonts w:ascii="Times New Roman" w:hAnsi="Times New Roman"/>
                    </w:rPr>
                    <w:t>/</w:t>
                  </w:r>
                </w:p>
              </w:tc>
              <w:tc>
                <w:tcPr>
                  <w:tcW w:w="752" w:type="pct"/>
                  <w:vAlign w:val="center"/>
                </w:tcPr>
                <w:p>
                  <w:pPr>
                    <w:jc w:val="center"/>
                    <w:rPr>
                      <w:rFonts w:ascii="Times New Roman" w:hAnsi="Times New Roman"/>
                    </w:rPr>
                  </w:pPr>
                  <w:r>
                    <w:rPr>
                      <w:rFonts w:ascii="Times New Roman" w:hAnsi="Times New Roman"/>
                    </w:rPr>
                    <w:t>/</w:t>
                  </w:r>
                </w:p>
              </w:tc>
              <w:tc>
                <w:tcPr>
                  <w:tcW w:w="720" w:type="pct"/>
                  <w:vAlign w:val="center"/>
                </w:tcPr>
                <w:p>
                  <w:pPr>
                    <w:jc w:val="center"/>
                    <w:rPr>
                      <w:rFonts w:ascii="Times New Roman" w:hAnsi="Times New Roman"/>
                    </w:rPr>
                  </w:pPr>
                  <w:r>
                    <w:rPr>
                      <w:rFonts w:ascii="Times New Roman" w:hAnsi="Times New Roman"/>
                    </w:rPr>
                    <w:t>√</w:t>
                  </w:r>
                </w:p>
              </w:tc>
              <w:tc>
                <w:tcPr>
                  <w:tcW w:w="361" w:type="pct"/>
                  <w:vAlign w:val="center"/>
                </w:tcPr>
                <w:p>
                  <w:pPr>
                    <w:jc w:val="center"/>
                    <w:rPr>
                      <w:rFonts w:ascii="Times New Roman" w:hAnsi="Times New Roman"/>
                    </w:rPr>
                  </w:pPr>
                  <w:r>
                    <w:rPr>
                      <w:rFonts w:ascii="Times New Roman" w:hAnsi="Times New Roman"/>
                    </w:rPr>
                    <w:t>/</w:t>
                  </w:r>
                </w:p>
              </w:tc>
              <w:tc>
                <w:tcPr>
                  <w:tcW w:w="449" w:type="pct"/>
                  <w:vAlign w:val="center"/>
                </w:tcPr>
                <w:p>
                  <w:pPr>
                    <w:jc w:val="center"/>
                    <w:rPr>
                      <w:rFonts w:ascii="Times New Roman" w:hAnsi="Times New Roman"/>
                    </w:rPr>
                  </w:pPr>
                  <w:r>
                    <w:rPr>
                      <w:rFonts w:ascii="Times New Roman" w:hAnsi="Times New Roman"/>
                    </w:rPr>
                    <w:t>/</w:t>
                  </w:r>
                </w:p>
              </w:tc>
              <w:tc>
                <w:tcPr>
                  <w:tcW w:w="451" w:type="pct"/>
                  <w:vAlign w:val="center"/>
                </w:tcPr>
                <w:p>
                  <w:pPr>
                    <w:jc w:val="center"/>
                    <w:rPr>
                      <w:rFonts w:ascii="Times New Roman" w:hAnsi="Times New Roman"/>
                    </w:rPr>
                  </w:pPr>
                  <w:r>
                    <w:rPr>
                      <w:rFonts w:ascii="Times New Roman" w:hAnsi="Times New Roman"/>
                    </w:rPr>
                    <w:t>/</w:t>
                  </w:r>
                </w:p>
              </w:tc>
              <w:tc>
                <w:tcPr>
                  <w:tcW w:w="453" w:type="pct"/>
                  <w:vAlign w:val="center"/>
                </w:tcPr>
                <w:p>
                  <w:pPr>
                    <w:jc w:val="center"/>
                    <w:rPr>
                      <w:rFonts w:ascii="Times New Roman" w:hAnsi="Times New Roman"/>
                    </w:rPr>
                  </w:pPr>
                  <w:r>
                    <w:rPr>
                      <w:rFonts w:ascii="Times New Roman" w:hAnsi="Times New Roman"/>
                    </w:rPr>
                    <w:t>/</w:t>
                  </w:r>
                </w:p>
              </w:tc>
              <w:tc>
                <w:tcPr>
                  <w:tcW w:w="416" w:type="pct"/>
                  <w:vAlign w:val="center"/>
                </w:tcPr>
                <w:p>
                  <w:pPr>
                    <w:jc w:val="center"/>
                    <w:rPr>
                      <w:rFonts w:ascii="Times New Roman" w:hAnsi="Times New Roman"/>
                    </w:rPr>
                  </w:pPr>
                  <w:r>
                    <w:rPr>
                      <w:rFonts w:ascii="Times New Roman" w:hAnsi="Times New Roman"/>
                    </w:rPr>
                    <w:t>/</w:t>
                  </w:r>
                </w:p>
              </w:tc>
            </w:tr>
          </w:tbl>
          <w:p>
            <w:pPr>
              <w:spacing w:line="440" w:lineRule="exact"/>
              <w:ind w:firstLine="480" w:firstLineChars="200"/>
              <w:jc w:val="both"/>
              <w:rPr>
                <w:rFonts w:ascii="Times New Roman" w:hAnsi="Times New Roman"/>
                <w:sz w:val="24"/>
              </w:rPr>
            </w:pPr>
            <w:r>
              <w:rPr>
                <w:rFonts w:hint="eastAsia" w:cs="宋体"/>
                <w:sz w:val="24"/>
              </w:rPr>
              <w:t>②</w:t>
            </w:r>
            <w:r>
              <w:rPr>
                <w:rFonts w:ascii="Times New Roman" w:hAnsi="Times New Roman"/>
                <w:sz w:val="24"/>
              </w:rPr>
              <w:t>土壤污染防治措施</w:t>
            </w:r>
          </w:p>
          <w:p>
            <w:pPr>
              <w:spacing w:line="440" w:lineRule="exact"/>
              <w:ind w:firstLine="480" w:firstLineChars="200"/>
              <w:jc w:val="both"/>
              <w:rPr>
                <w:rFonts w:ascii="Times New Roman" w:hAnsi="Times New Roman"/>
                <w:sz w:val="24"/>
              </w:rPr>
            </w:pPr>
            <w:r>
              <w:rPr>
                <w:rFonts w:ascii="Times New Roman" w:hAnsi="Times New Roman"/>
                <w:sz w:val="24"/>
              </w:rPr>
              <w:t>A、源头控制措施</w:t>
            </w:r>
          </w:p>
          <w:p>
            <w:pPr>
              <w:spacing w:line="440" w:lineRule="exact"/>
              <w:ind w:firstLine="480" w:firstLineChars="200"/>
              <w:jc w:val="both"/>
              <w:rPr>
                <w:rFonts w:ascii="Times New Roman" w:hAnsi="Times New Roman"/>
                <w:sz w:val="24"/>
              </w:rPr>
            </w:pPr>
            <w:r>
              <w:rPr>
                <w:rFonts w:ascii="Times New Roman" w:hAnsi="Times New Roman"/>
                <w:sz w:val="24"/>
              </w:rPr>
              <w:t>从原料的储存、装卸、运输、生产过程、污染处理装置等全过程控制各种有毒有害原辅材料（含跑、冒、滴、漏），同时对有害物质可能泄漏到地面的区域采取防渗措施，阻止其进入土壤中，即从源头到末端全方位采取控制措施，防止项目的建设对土壤造成污染。</w:t>
            </w:r>
          </w:p>
          <w:p>
            <w:pPr>
              <w:spacing w:line="440" w:lineRule="exact"/>
              <w:ind w:firstLine="480" w:firstLineChars="200"/>
              <w:jc w:val="both"/>
              <w:rPr>
                <w:rFonts w:ascii="Times New Roman" w:hAnsi="Times New Roman"/>
                <w:sz w:val="24"/>
              </w:rPr>
            </w:pPr>
            <w:r>
              <w:rPr>
                <w:rFonts w:ascii="Times New Roman" w:hAnsi="Times New Roman"/>
                <w:sz w:val="24"/>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pPr>
              <w:spacing w:line="440" w:lineRule="exact"/>
              <w:ind w:firstLine="480" w:firstLineChars="200"/>
              <w:jc w:val="both"/>
              <w:rPr>
                <w:rFonts w:ascii="Times New Roman" w:hAnsi="Times New Roman"/>
                <w:sz w:val="24"/>
              </w:rPr>
            </w:pPr>
            <w:r>
              <w:rPr>
                <w:rFonts w:ascii="Times New Roman" w:hAnsi="Times New Roman"/>
                <w:sz w:val="24"/>
              </w:rPr>
              <w:t>B、过程控制措施</w:t>
            </w:r>
          </w:p>
          <w:p>
            <w:pPr>
              <w:spacing w:line="440" w:lineRule="exact"/>
              <w:ind w:firstLine="480" w:firstLineChars="200"/>
              <w:jc w:val="both"/>
              <w:rPr>
                <w:rFonts w:ascii="Times New Roman" w:hAnsi="Times New Roman"/>
                <w:sz w:val="24"/>
              </w:rPr>
            </w:pPr>
            <w:r>
              <w:rPr>
                <w:rFonts w:ascii="Times New Roman" w:hAnsi="Times New Roman"/>
                <w:sz w:val="24"/>
              </w:rPr>
              <w:t>项目按重点污染防治区、一般防渗区分别采取不同等级的防渗措施，其中：危废暂存间、化学品暂存间、污水处理间</w:t>
            </w:r>
            <w:r>
              <w:rPr>
                <w:rFonts w:ascii="Times New Roman" w:hAnsi="Times New Roman"/>
              </w:rPr>
              <w:t>、</w:t>
            </w:r>
            <w:r>
              <w:rPr>
                <w:rFonts w:ascii="Times New Roman" w:hAnsi="Times New Roman"/>
                <w:sz w:val="24"/>
              </w:rPr>
              <w:t>清洗车间、丝印车间等为重点防渗区域，基础底部夯实，上面铺装防渗层，等效黏土防渗层Mb≥6.0m，K≤1×10</w:t>
            </w:r>
            <w:r>
              <w:rPr>
                <w:rFonts w:ascii="Times New Roman" w:hAnsi="Times New Roman"/>
                <w:sz w:val="24"/>
                <w:vertAlign w:val="superscript"/>
              </w:rPr>
              <w:t>-7</w:t>
            </w:r>
            <w:r>
              <w:rPr>
                <w:rFonts w:ascii="Times New Roman" w:hAnsi="Times New Roman"/>
                <w:sz w:val="24"/>
              </w:rPr>
              <w:t>cm/s。危废暂存间按照《危险废物贮存污染控制标准》（GB18579-2001）中的要求实施防渗。对车间等一般防渗区采取基底夯实、基础防渗及表层硬化措施，等效黏土防渗层厚度≥1.5m，渗透系数≤10</w:t>
            </w:r>
            <w:r>
              <w:rPr>
                <w:rFonts w:ascii="Times New Roman" w:hAnsi="Times New Roman"/>
                <w:sz w:val="24"/>
                <w:vertAlign w:val="superscript"/>
              </w:rPr>
              <w:t>-7</w:t>
            </w:r>
            <w:r>
              <w:rPr>
                <w:rFonts w:ascii="Times New Roman" w:hAnsi="Times New Roman"/>
                <w:sz w:val="24"/>
              </w:rPr>
              <w:t>cm/s。企业在管理方面严加管理，并采取相应的防渗措施可有效防治危险废物暂存和处置过程中因物料泄漏造成对区域土壤环境的污染。</w:t>
            </w:r>
          </w:p>
          <w:p>
            <w:pPr>
              <w:adjustRightInd w:val="0"/>
              <w:snapToGrid w:val="0"/>
              <w:spacing w:line="440" w:lineRule="exact"/>
              <w:ind w:firstLine="482" w:firstLineChars="200"/>
              <w:rPr>
                <w:rFonts w:ascii="Times New Roman" w:hAnsi="Times New Roman"/>
                <w:b/>
                <w:bCs/>
                <w:sz w:val="24"/>
              </w:rPr>
            </w:pPr>
            <w:r>
              <w:rPr>
                <w:rFonts w:ascii="Times New Roman" w:hAnsi="Times New Roman"/>
                <w:b/>
                <w:bCs/>
                <w:sz w:val="24"/>
              </w:rPr>
              <w:t>七、环境风险</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环境风险评价是对项目建设和运营期间发生的可预测突发事件（一般不包括人为破坏和自然灾害）或事故引起有毒有害、易燃易爆等物质泄露，或突发事件产生的新的有毒有害物质，所造成的人身安全和环境的影响进行评估，并提出防范、应急与缓解措施。根据《建设项目环境风险评价技术导则》（HJ169-2018）的要求，本次环评将着重从风险识别、源项分析、事故后果分析、事故防范措施、事故应急预案等方面对本项目存在的环境风险进行评价；再根据评价结果，对项目提出可行的风险防范措施和建议，达到降低风险性、危害程度，保护环境之目的。</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本次环境风险评价重点主要对项目运营期间可能存在的危险、有害因素进行分析，并对可能发生的突发性事件及事故所造成的人身安全与环境影响、损害程度，提出合理可行的防范、应急与减缓措施。</w:t>
            </w:r>
          </w:p>
          <w:p>
            <w:pPr>
              <w:pStyle w:val="55"/>
              <w:snapToGrid w:val="0"/>
              <w:ind w:left="0" w:firstLine="482" w:firstLineChars="200"/>
              <w:jc w:val="left"/>
              <w:rPr>
                <w:rFonts w:ascii="Times New Roman" w:hAnsi="Times New Roman" w:cs="Times New Roman"/>
                <w:b/>
                <w:bCs/>
                <w:color w:val="auto"/>
              </w:rPr>
            </w:pPr>
            <w:r>
              <w:rPr>
                <w:rFonts w:ascii="Times New Roman" w:hAnsi="Times New Roman" w:cs="Times New Roman"/>
                <w:b/>
                <w:bCs/>
                <w:color w:val="auto"/>
              </w:rPr>
              <w:t>1、评价依据：</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（1）物质风险性调查</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与《建设项目环境风险评价技术导则》（HJ169-2018）附录B中重点关注的危险物质进行对比，硝酸钾、清洗剂、油墨属于重点关注的危险物质。</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（2）风险潜势初判</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计算所涉及的每种危险物质在厂界内的最大存在总量与其在《建设项目环境风险评价技术导则》（HJ169-2018）附录B中对应临界量的比值Q。在不同厂区的同一种物质，按其在厂界内的最大存在总量计算。</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当只涉及一种危险物质时，计算该物质的总量与其临界量比值，即为Q；</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当存在多种危险物质时，则按下式计算物质总量与其临界量比值Q；</w:t>
            </w:r>
          </w:p>
          <w:p>
            <w:pPr>
              <w:adjustRightInd w:val="0"/>
              <w:snapToGrid w:val="0"/>
              <w:jc w:val="center"/>
              <w:rPr>
                <w:rFonts w:ascii="Times New Roman" w:hAnsi="Times New Roman"/>
                <w:sz w:val="24"/>
              </w:rPr>
            </w:pPr>
            <w:r>
              <w:rPr>
                <w:rFonts w:ascii="Times New Roman" w:hAnsi="Times New Roman"/>
                <w:position w:val="-30"/>
                <w:sz w:val="24"/>
              </w:rPr>
              <w:object>
                <v:shape id="_x0000_i1027" o:spt="75" type="#_x0000_t75" style="height:37.65pt;width:100.45pt;" o:ole="t" filled="f" o:preferrelative="t" stroked="f" coordsize="21600,21600">
                  <v:path/>
                  <v:fill on="f" focussize="0,0"/>
                  <v:stroke on="f" joinstyle="miter"/>
                  <v:imagedata r:id="rId31" o:title=""/>
                  <o:lock v:ext="edit" aspectratio="t"/>
                  <w10:wrap type="none"/>
                  <w10:anchorlock/>
                </v:shape>
                <o:OLEObject Type="Embed" ProgID="Equation.3" ShapeID="_x0000_i1027" DrawAspect="Content" ObjectID="_1468075727" r:id="rId30">
                  <o:LockedField>false</o:LockedField>
                </o:OLEObject>
              </w:objec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式中：q</w:t>
            </w:r>
            <w:r>
              <w:rPr>
                <w:rFonts w:ascii="Times New Roman" w:hAnsi="Times New Roman"/>
                <w:sz w:val="24"/>
                <w:vertAlign w:val="subscript"/>
              </w:rPr>
              <w:t>1</w:t>
            </w:r>
            <w:r>
              <w:rPr>
                <w:rFonts w:ascii="Times New Roman" w:hAnsi="Times New Roman"/>
                <w:sz w:val="24"/>
              </w:rPr>
              <w:t>、q</w:t>
            </w:r>
            <w:r>
              <w:rPr>
                <w:rFonts w:ascii="Times New Roman" w:hAnsi="Times New Roman"/>
                <w:sz w:val="24"/>
                <w:vertAlign w:val="subscript"/>
              </w:rPr>
              <w:t>2</w:t>
            </w:r>
            <w:r>
              <w:rPr>
                <w:rFonts w:ascii="Times New Roman" w:hAnsi="Times New Roman"/>
                <w:sz w:val="24"/>
              </w:rPr>
              <w:t>…q</w:t>
            </w:r>
            <w:r>
              <w:rPr>
                <w:rFonts w:ascii="Times New Roman" w:hAnsi="Times New Roman"/>
                <w:sz w:val="24"/>
                <w:vertAlign w:val="subscript"/>
              </w:rPr>
              <w:t>n</w:t>
            </w:r>
            <w:r>
              <w:rPr>
                <w:rFonts w:ascii="Times New Roman" w:hAnsi="Times New Roman"/>
                <w:sz w:val="24"/>
              </w:rPr>
              <w:t>——每种危险废物实际存在量，t。</w:t>
            </w:r>
          </w:p>
          <w:p>
            <w:pPr>
              <w:adjustRightInd w:val="0"/>
              <w:snapToGrid w:val="0"/>
              <w:spacing w:line="440" w:lineRule="exact"/>
              <w:ind w:firstLine="1200" w:firstLineChars="500"/>
              <w:jc w:val="both"/>
              <w:rPr>
                <w:rFonts w:ascii="Times New Roman" w:hAnsi="Times New Roman"/>
                <w:sz w:val="24"/>
              </w:rPr>
            </w:pPr>
            <w:r>
              <w:rPr>
                <w:rFonts w:ascii="Times New Roman" w:hAnsi="Times New Roman"/>
                <w:sz w:val="24"/>
              </w:rPr>
              <w:t>Q</w:t>
            </w:r>
            <w:r>
              <w:rPr>
                <w:rFonts w:ascii="Times New Roman" w:hAnsi="Times New Roman"/>
                <w:sz w:val="24"/>
                <w:vertAlign w:val="subscript"/>
              </w:rPr>
              <w:t>1</w:t>
            </w:r>
            <w:r>
              <w:rPr>
                <w:rFonts w:ascii="Times New Roman" w:hAnsi="Times New Roman"/>
                <w:sz w:val="24"/>
              </w:rPr>
              <w:t>、Q</w:t>
            </w:r>
            <w:r>
              <w:rPr>
                <w:rFonts w:ascii="Times New Roman" w:hAnsi="Times New Roman"/>
                <w:sz w:val="24"/>
                <w:vertAlign w:val="subscript"/>
              </w:rPr>
              <w:t>2</w:t>
            </w:r>
            <w:r>
              <w:rPr>
                <w:rFonts w:ascii="Times New Roman" w:hAnsi="Times New Roman"/>
                <w:sz w:val="24"/>
              </w:rPr>
              <w:t>…Q</w:t>
            </w:r>
            <w:r>
              <w:rPr>
                <w:rFonts w:ascii="Times New Roman" w:hAnsi="Times New Roman"/>
                <w:sz w:val="24"/>
                <w:vertAlign w:val="subscript"/>
              </w:rPr>
              <w:t>n</w:t>
            </w:r>
            <w:r>
              <w:rPr>
                <w:rFonts w:ascii="Times New Roman" w:hAnsi="Times New Roman"/>
                <w:sz w:val="24"/>
              </w:rPr>
              <w:t>——与各危险物质相对应的生产场所或贮存区的临界量，t。</w:t>
            </w:r>
          </w:p>
          <w:p>
            <w:pPr>
              <w:pStyle w:val="55"/>
              <w:ind w:left="0" w:right="0" w:firstLine="480" w:firstLineChars="200"/>
              <w:jc w:val="both"/>
              <w:rPr>
                <w:rFonts w:ascii="Times New Roman" w:hAnsi="Times New Roman" w:cs="Times New Roman"/>
                <w:color w:val="auto"/>
              </w:rPr>
            </w:pPr>
            <w:r>
              <w:rPr>
                <w:rFonts w:ascii="Times New Roman" w:hAnsi="Times New Roman" w:cs="Times New Roman"/>
                <w:color w:val="auto"/>
              </w:rPr>
              <w:t>当Q&lt;1时，该项目风险潜势为</w:t>
            </w:r>
            <w:r>
              <w:rPr>
                <w:rFonts w:hint="eastAsia"/>
                <w:color w:val="auto"/>
              </w:rPr>
              <w:t>Ⅰ</w:t>
            </w:r>
            <w:r>
              <w:rPr>
                <w:rFonts w:ascii="Times New Roman" w:hAnsi="Times New Roman" w:cs="Times New Roman"/>
                <w:color w:val="auto"/>
              </w:rPr>
              <w:t>。</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当Q≥1时，将Q值划分为：（1）1≤Q&lt;10；（2）10≤Q&lt;100；（3）Q≥100。</w:t>
            </w:r>
          </w:p>
          <w:p>
            <w:pPr>
              <w:snapToGrid w:val="0"/>
              <w:spacing w:line="440" w:lineRule="exact"/>
              <w:ind w:firstLine="471"/>
              <w:rPr>
                <w:rFonts w:ascii="Times New Roman" w:hAnsi="Times New Roman"/>
                <w:sz w:val="24"/>
              </w:rPr>
            </w:pPr>
            <w:r>
              <w:rPr>
                <w:rFonts w:ascii="Times New Roman" w:hAnsi="Times New Roman"/>
                <w:sz w:val="24"/>
              </w:rPr>
              <w:t>本项目生产过程中，项目涉及的各危险物料重大危险源识别见下表。</w:t>
            </w:r>
          </w:p>
          <w:p>
            <w:pPr>
              <w:pStyle w:val="119"/>
              <w:spacing w:line="440" w:lineRule="exact"/>
              <w:ind w:left="288"/>
              <w:rPr>
                <w:rFonts w:cs="Times New Roman"/>
              </w:rPr>
            </w:pPr>
            <w:r>
              <w:rPr>
                <w:rFonts w:cs="Times New Roman"/>
              </w:rPr>
              <w:t>表4-21危险物质储存量与临界量一览表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2106"/>
              <w:gridCol w:w="2015"/>
              <w:gridCol w:w="2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b/>
                      <w:bCs/>
                    </w:rPr>
                  </w:pPr>
                  <w:r>
                    <w:rPr>
                      <w:rFonts w:ascii="Times New Roman" w:hAnsi="Times New Roman"/>
                      <w:b/>
                      <w:bCs/>
                    </w:rPr>
                    <w:t>物质名称</w:t>
                  </w:r>
                </w:p>
              </w:tc>
              <w:tc>
                <w:tcPr>
                  <w:tcW w:w="1226" w:type="pct"/>
                  <w:vAlign w:val="center"/>
                </w:tcPr>
                <w:p>
                  <w:pPr>
                    <w:adjustRightInd w:val="0"/>
                    <w:snapToGrid w:val="0"/>
                    <w:jc w:val="center"/>
                    <w:rPr>
                      <w:rFonts w:ascii="Times New Roman" w:hAnsi="Times New Roman"/>
                      <w:b/>
                      <w:bCs/>
                    </w:rPr>
                  </w:pPr>
                  <w:r>
                    <w:rPr>
                      <w:rFonts w:ascii="Times New Roman" w:hAnsi="Times New Roman"/>
                      <w:b/>
                      <w:bCs/>
                    </w:rPr>
                    <w:t>最大储存量，t</w:t>
                  </w:r>
                </w:p>
              </w:tc>
              <w:tc>
                <w:tcPr>
                  <w:tcW w:w="1172" w:type="pct"/>
                  <w:vAlign w:val="center"/>
                </w:tcPr>
                <w:p>
                  <w:pPr>
                    <w:adjustRightInd w:val="0"/>
                    <w:snapToGrid w:val="0"/>
                    <w:jc w:val="center"/>
                    <w:rPr>
                      <w:rFonts w:ascii="Times New Roman" w:hAnsi="Times New Roman"/>
                      <w:b/>
                      <w:bCs/>
                    </w:rPr>
                  </w:pPr>
                  <w:r>
                    <w:rPr>
                      <w:rFonts w:ascii="Times New Roman" w:hAnsi="Times New Roman"/>
                      <w:b/>
                      <w:bCs/>
                    </w:rPr>
                    <w:t>临界量，t</w:t>
                  </w:r>
                </w:p>
              </w:tc>
              <w:tc>
                <w:tcPr>
                  <w:tcW w:w="1229" w:type="pct"/>
                  <w:vAlign w:val="center"/>
                </w:tcPr>
                <w:p>
                  <w:pPr>
                    <w:adjustRightInd w:val="0"/>
                    <w:snapToGrid w:val="0"/>
                    <w:jc w:val="center"/>
                    <w:rPr>
                      <w:rFonts w:ascii="Times New Roman" w:hAnsi="Times New Roman"/>
                      <w:b/>
                      <w:bCs/>
                    </w:rPr>
                  </w:pPr>
                  <w:r>
                    <w:rPr>
                      <w:rFonts w:ascii="Times New Roman" w:hAnsi="Times New Roman"/>
                      <w:b/>
                      <w:bCs/>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保护液</w:t>
                  </w:r>
                </w:p>
              </w:tc>
              <w:tc>
                <w:tcPr>
                  <w:tcW w:w="1226" w:type="pct"/>
                  <w:vAlign w:val="center"/>
                </w:tcPr>
                <w:p>
                  <w:pPr>
                    <w:adjustRightInd w:val="0"/>
                    <w:snapToGrid w:val="0"/>
                    <w:jc w:val="center"/>
                    <w:rPr>
                      <w:rFonts w:ascii="Times New Roman" w:hAnsi="Times New Roman"/>
                    </w:rPr>
                  </w:pPr>
                  <w:r>
                    <w:rPr>
                      <w:rFonts w:ascii="Times New Roman" w:hAnsi="Times New Roman"/>
                    </w:rPr>
                    <w:t>0.2</w:t>
                  </w:r>
                </w:p>
              </w:tc>
              <w:tc>
                <w:tcPr>
                  <w:tcW w:w="1172" w:type="pct"/>
                  <w:vAlign w:val="center"/>
                </w:tcPr>
                <w:p>
                  <w:pPr>
                    <w:adjustRightInd w:val="0"/>
                    <w:snapToGrid w:val="0"/>
                    <w:jc w:val="center"/>
                    <w:rPr>
                      <w:rFonts w:ascii="Times New Roman" w:hAnsi="Times New Roman"/>
                    </w:rPr>
                  </w:pPr>
                  <w:r>
                    <w:rPr>
                      <w:rFonts w:ascii="Times New Roman" w:hAnsi="Times New Roman"/>
                    </w:rPr>
                    <w:t>2500</w:t>
                  </w:r>
                </w:p>
              </w:tc>
              <w:tc>
                <w:tcPr>
                  <w:tcW w:w="1229" w:type="pct"/>
                  <w:vAlign w:val="center"/>
                </w:tcPr>
                <w:p>
                  <w:pPr>
                    <w:adjustRightInd w:val="0"/>
                    <w:snapToGrid w:val="0"/>
                    <w:jc w:val="center"/>
                    <w:rPr>
                      <w:rFonts w:ascii="Times New Roman" w:hAnsi="Times New Roman"/>
                    </w:rPr>
                  </w:pPr>
                  <w:r>
                    <w:rPr>
                      <w:rFonts w:ascii="Times New Roman" w:hAnsi="Times New Roman"/>
                    </w:rPr>
                    <w:t>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切削液</w:t>
                  </w:r>
                </w:p>
              </w:tc>
              <w:tc>
                <w:tcPr>
                  <w:tcW w:w="1226" w:type="pct"/>
                  <w:vAlign w:val="center"/>
                </w:tcPr>
                <w:p>
                  <w:pPr>
                    <w:adjustRightInd w:val="0"/>
                    <w:snapToGrid w:val="0"/>
                    <w:jc w:val="center"/>
                    <w:rPr>
                      <w:rFonts w:ascii="Times New Roman" w:hAnsi="Times New Roman"/>
                    </w:rPr>
                  </w:pPr>
                  <w:r>
                    <w:rPr>
                      <w:rFonts w:ascii="Times New Roman" w:hAnsi="Times New Roman"/>
                    </w:rPr>
                    <w:t>0.5</w:t>
                  </w:r>
                </w:p>
              </w:tc>
              <w:tc>
                <w:tcPr>
                  <w:tcW w:w="1172" w:type="pct"/>
                  <w:vAlign w:val="center"/>
                </w:tcPr>
                <w:p>
                  <w:pPr>
                    <w:adjustRightInd w:val="0"/>
                    <w:snapToGrid w:val="0"/>
                    <w:jc w:val="center"/>
                    <w:rPr>
                      <w:rFonts w:ascii="Times New Roman" w:hAnsi="Times New Roman"/>
                    </w:rPr>
                  </w:pPr>
                  <w:r>
                    <w:rPr>
                      <w:rFonts w:ascii="Times New Roman" w:hAnsi="Times New Roman"/>
                    </w:rPr>
                    <w:t>50</w:t>
                  </w:r>
                </w:p>
              </w:tc>
              <w:tc>
                <w:tcPr>
                  <w:tcW w:w="1229" w:type="pct"/>
                  <w:vAlign w:val="center"/>
                </w:tcPr>
                <w:p>
                  <w:pPr>
                    <w:adjustRightInd w:val="0"/>
                    <w:snapToGrid w:val="0"/>
                    <w:jc w:val="center"/>
                    <w:rPr>
                      <w:rFonts w:ascii="Times New Roman" w:hAnsi="Times New Roman"/>
                    </w:rPr>
                  </w:pPr>
                  <w:r>
                    <w:rPr>
                      <w:rFonts w:ascii="Times New Roman" w:hAnsi="Times New Roma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清洗剂</w:t>
                  </w:r>
                </w:p>
              </w:tc>
              <w:tc>
                <w:tcPr>
                  <w:tcW w:w="1226" w:type="pct"/>
                  <w:vAlign w:val="center"/>
                </w:tcPr>
                <w:p>
                  <w:pPr>
                    <w:adjustRightInd w:val="0"/>
                    <w:snapToGrid w:val="0"/>
                    <w:jc w:val="center"/>
                    <w:rPr>
                      <w:rFonts w:ascii="Times New Roman" w:hAnsi="Times New Roman"/>
                    </w:rPr>
                  </w:pPr>
                  <w:r>
                    <w:rPr>
                      <w:rFonts w:ascii="Times New Roman" w:hAnsi="Times New Roman"/>
                    </w:rPr>
                    <w:t>1</w:t>
                  </w:r>
                </w:p>
              </w:tc>
              <w:tc>
                <w:tcPr>
                  <w:tcW w:w="1172" w:type="pct"/>
                  <w:vAlign w:val="center"/>
                </w:tcPr>
                <w:p>
                  <w:pPr>
                    <w:adjustRightInd w:val="0"/>
                    <w:snapToGrid w:val="0"/>
                    <w:jc w:val="center"/>
                    <w:rPr>
                      <w:rFonts w:ascii="Times New Roman" w:hAnsi="Times New Roman"/>
                    </w:rPr>
                  </w:pPr>
                  <w:r>
                    <w:rPr>
                      <w:rFonts w:ascii="Times New Roman" w:hAnsi="Times New Roman"/>
                    </w:rPr>
                    <w:t>50</w:t>
                  </w:r>
                </w:p>
              </w:tc>
              <w:tc>
                <w:tcPr>
                  <w:tcW w:w="1229" w:type="pct"/>
                  <w:vAlign w:val="center"/>
                </w:tcPr>
                <w:p>
                  <w:pPr>
                    <w:adjustRightInd w:val="0"/>
                    <w:snapToGrid w:val="0"/>
                    <w:jc w:val="center"/>
                    <w:rPr>
                      <w:rFonts w:ascii="Times New Roman" w:hAnsi="Times New Roman"/>
                    </w:rPr>
                  </w:pPr>
                  <w:r>
                    <w:rPr>
                      <w:rFonts w:ascii="Times New Roman" w:hAnsi="Times New Roma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丝印油墨</w:t>
                  </w:r>
                </w:p>
              </w:tc>
              <w:tc>
                <w:tcPr>
                  <w:tcW w:w="1226" w:type="pct"/>
                  <w:vAlign w:val="center"/>
                </w:tcPr>
                <w:p>
                  <w:pPr>
                    <w:adjustRightInd w:val="0"/>
                    <w:snapToGrid w:val="0"/>
                    <w:jc w:val="center"/>
                    <w:rPr>
                      <w:rFonts w:ascii="Times New Roman" w:hAnsi="Times New Roman"/>
                    </w:rPr>
                  </w:pPr>
                  <w:r>
                    <w:rPr>
                      <w:rFonts w:ascii="Times New Roman" w:hAnsi="Times New Roman"/>
                    </w:rPr>
                    <w:t>0.08</w:t>
                  </w:r>
                </w:p>
              </w:tc>
              <w:tc>
                <w:tcPr>
                  <w:tcW w:w="1172" w:type="pct"/>
                  <w:vAlign w:val="center"/>
                </w:tcPr>
                <w:p>
                  <w:pPr>
                    <w:adjustRightInd w:val="0"/>
                    <w:snapToGrid w:val="0"/>
                    <w:jc w:val="center"/>
                    <w:rPr>
                      <w:rFonts w:ascii="Times New Roman" w:hAnsi="Times New Roman"/>
                    </w:rPr>
                  </w:pPr>
                  <w:r>
                    <w:rPr>
                      <w:rFonts w:ascii="Times New Roman" w:hAnsi="Times New Roman"/>
                    </w:rPr>
                    <w:t>50</w:t>
                  </w:r>
                </w:p>
              </w:tc>
              <w:tc>
                <w:tcPr>
                  <w:tcW w:w="1229" w:type="pct"/>
                  <w:vAlign w:val="center"/>
                </w:tcPr>
                <w:p>
                  <w:pPr>
                    <w:adjustRightInd w:val="0"/>
                    <w:snapToGrid w:val="0"/>
                    <w:jc w:val="center"/>
                    <w:rPr>
                      <w:rFonts w:ascii="Times New Roman" w:hAnsi="Times New Roman"/>
                    </w:rPr>
                  </w:pPr>
                  <w:r>
                    <w:rPr>
                      <w:rFonts w:ascii="Times New Roman" w:hAnsi="Times New Roman"/>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72" w:type="pct"/>
                  <w:vAlign w:val="center"/>
                </w:tcPr>
                <w:p>
                  <w:pPr>
                    <w:adjustRightInd w:val="0"/>
                    <w:snapToGrid w:val="0"/>
                    <w:jc w:val="center"/>
                    <w:rPr>
                      <w:rFonts w:ascii="Times New Roman" w:hAnsi="Times New Roman"/>
                    </w:rPr>
                  </w:pPr>
                  <w:r>
                    <w:rPr>
                      <w:rFonts w:hint="eastAsia" w:ascii="Times New Roman" w:hAnsi="Times New Roman"/>
                    </w:rPr>
                    <w:t>U</w:t>
                  </w:r>
                  <w:r>
                    <w:rPr>
                      <w:rFonts w:ascii="Times New Roman" w:hAnsi="Times New Roman"/>
                    </w:rPr>
                    <w:t>V</w:t>
                  </w:r>
                  <w:r>
                    <w:rPr>
                      <w:rFonts w:hint="eastAsia" w:ascii="Times New Roman" w:hAnsi="Times New Roman"/>
                    </w:rPr>
                    <w:t>油墨</w:t>
                  </w:r>
                </w:p>
              </w:tc>
              <w:tc>
                <w:tcPr>
                  <w:tcW w:w="1226" w:type="pct"/>
                  <w:vAlign w:val="center"/>
                </w:tcPr>
                <w:p>
                  <w:pPr>
                    <w:adjustRightInd w:val="0"/>
                    <w:snapToGrid w:val="0"/>
                    <w:jc w:val="center"/>
                    <w:rPr>
                      <w:rFonts w:ascii="Times New Roman" w:hAnsi="Times New Roman"/>
                    </w:rPr>
                  </w:pPr>
                  <w:r>
                    <w:rPr>
                      <w:rFonts w:hint="eastAsia" w:ascii="Times New Roman" w:hAnsi="Times New Roman"/>
                    </w:rPr>
                    <w:t>0</w:t>
                  </w:r>
                  <w:r>
                    <w:rPr>
                      <w:rFonts w:ascii="Times New Roman" w:hAnsi="Times New Roman"/>
                    </w:rPr>
                    <w:t>.02</w:t>
                  </w:r>
                </w:p>
              </w:tc>
              <w:tc>
                <w:tcPr>
                  <w:tcW w:w="1172" w:type="pct"/>
                  <w:vAlign w:val="center"/>
                </w:tcPr>
                <w:p>
                  <w:pPr>
                    <w:adjustRightInd w:val="0"/>
                    <w:snapToGrid w:val="0"/>
                    <w:jc w:val="center"/>
                    <w:rPr>
                      <w:rFonts w:ascii="Times New Roman" w:hAnsi="Times New Roman"/>
                    </w:rPr>
                  </w:pPr>
                  <w:r>
                    <w:rPr>
                      <w:rFonts w:hint="eastAsia" w:ascii="Times New Roman" w:hAnsi="Times New Roman"/>
                    </w:rPr>
                    <w:t>5</w:t>
                  </w:r>
                  <w:r>
                    <w:rPr>
                      <w:rFonts w:ascii="Times New Roman" w:hAnsi="Times New Roman"/>
                    </w:rPr>
                    <w:t>0</w:t>
                  </w:r>
                </w:p>
              </w:tc>
              <w:tc>
                <w:tcPr>
                  <w:tcW w:w="1229" w:type="pct"/>
                  <w:vAlign w:val="center"/>
                </w:tcPr>
                <w:p>
                  <w:pPr>
                    <w:adjustRightInd w:val="0"/>
                    <w:snapToGrid w:val="0"/>
                    <w:jc w:val="center"/>
                    <w:rPr>
                      <w:rFonts w:ascii="Times New Roman" w:hAnsi="Times New Roman"/>
                    </w:rPr>
                  </w:pPr>
                  <w:r>
                    <w:rPr>
                      <w:rFonts w:hint="eastAsia" w:ascii="Times New Roman" w:hAnsi="Times New Roman"/>
                    </w:rPr>
                    <w:t>0</w:t>
                  </w:r>
                  <w:r>
                    <w:rPr>
                      <w:rFonts w:ascii="Times New Roman" w:hAnsi="Times New Roman"/>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全氟聚醚（AF）</w:t>
                  </w:r>
                </w:p>
              </w:tc>
              <w:tc>
                <w:tcPr>
                  <w:tcW w:w="1226" w:type="pct"/>
                  <w:vAlign w:val="center"/>
                </w:tcPr>
                <w:p>
                  <w:pPr>
                    <w:adjustRightInd w:val="0"/>
                    <w:snapToGrid w:val="0"/>
                    <w:jc w:val="center"/>
                    <w:rPr>
                      <w:rFonts w:ascii="Times New Roman" w:hAnsi="Times New Roman"/>
                    </w:rPr>
                  </w:pPr>
                  <w:r>
                    <w:rPr>
                      <w:rFonts w:ascii="Times New Roman" w:hAnsi="Times New Roman"/>
                    </w:rPr>
                    <w:t>0.08</w:t>
                  </w:r>
                </w:p>
              </w:tc>
              <w:tc>
                <w:tcPr>
                  <w:tcW w:w="1172" w:type="pct"/>
                  <w:vAlign w:val="center"/>
                </w:tcPr>
                <w:p>
                  <w:pPr>
                    <w:adjustRightInd w:val="0"/>
                    <w:snapToGrid w:val="0"/>
                    <w:jc w:val="center"/>
                    <w:rPr>
                      <w:rFonts w:ascii="Times New Roman" w:hAnsi="Times New Roman"/>
                    </w:rPr>
                  </w:pPr>
                  <w:r>
                    <w:rPr>
                      <w:rFonts w:ascii="Times New Roman" w:hAnsi="Times New Roman"/>
                    </w:rPr>
                    <w:t>50</w:t>
                  </w:r>
                </w:p>
              </w:tc>
              <w:tc>
                <w:tcPr>
                  <w:tcW w:w="1229" w:type="pct"/>
                  <w:vAlign w:val="center"/>
                </w:tcPr>
                <w:p>
                  <w:pPr>
                    <w:adjustRightInd w:val="0"/>
                    <w:snapToGrid w:val="0"/>
                    <w:jc w:val="center"/>
                    <w:rPr>
                      <w:rFonts w:ascii="Times New Roman" w:hAnsi="Times New Roman"/>
                    </w:rPr>
                  </w:pPr>
                  <w:r>
                    <w:rPr>
                      <w:rFonts w:ascii="Times New Roman" w:hAnsi="Times New Roman"/>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洗网水</w:t>
                  </w:r>
                </w:p>
              </w:tc>
              <w:tc>
                <w:tcPr>
                  <w:tcW w:w="1226" w:type="pct"/>
                  <w:vAlign w:val="center"/>
                </w:tcPr>
                <w:p>
                  <w:pPr>
                    <w:adjustRightInd w:val="0"/>
                    <w:snapToGrid w:val="0"/>
                    <w:jc w:val="center"/>
                    <w:rPr>
                      <w:rFonts w:ascii="Times New Roman" w:hAnsi="Times New Roman"/>
                    </w:rPr>
                  </w:pPr>
                  <w:r>
                    <w:rPr>
                      <w:rFonts w:ascii="Times New Roman" w:hAnsi="Times New Roman"/>
                    </w:rPr>
                    <w:t>0.1</w:t>
                  </w:r>
                </w:p>
              </w:tc>
              <w:tc>
                <w:tcPr>
                  <w:tcW w:w="1172" w:type="pct"/>
                  <w:vAlign w:val="center"/>
                </w:tcPr>
                <w:p>
                  <w:pPr>
                    <w:adjustRightInd w:val="0"/>
                    <w:snapToGrid w:val="0"/>
                    <w:jc w:val="center"/>
                    <w:rPr>
                      <w:rFonts w:ascii="Times New Roman" w:hAnsi="Times New Roman"/>
                    </w:rPr>
                  </w:pPr>
                  <w:r>
                    <w:rPr>
                      <w:rFonts w:ascii="Times New Roman" w:hAnsi="Times New Roman"/>
                    </w:rPr>
                    <w:t>50</w:t>
                  </w:r>
                </w:p>
              </w:tc>
              <w:tc>
                <w:tcPr>
                  <w:tcW w:w="1229" w:type="pct"/>
                  <w:vAlign w:val="center"/>
                </w:tcPr>
                <w:p>
                  <w:pPr>
                    <w:adjustRightInd w:val="0"/>
                    <w:snapToGrid w:val="0"/>
                    <w:jc w:val="center"/>
                    <w:rPr>
                      <w:rFonts w:ascii="Times New Roman" w:hAnsi="Times New Roman"/>
                    </w:rPr>
                  </w:pPr>
                  <w:r>
                    <w:rPr>
                      <w:rFonts w:ascii="Times New Roman" w:hAnsi="Times New Roma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废切削液</w:t>
                  </w:r>
                </w:p>
              </w:tc>
              <w:tc>
                <w:tcPr>
                  <w:tcW w:w="1226" w:type="pct"/>
                  <w:vAlign w:val="center"/>
                </w:tcPr>
                <w:p>
                  <w:pPr>
                    <w:adjustRightInd w:val="0"/>
                    <w:snapToGrid w:val="0"/>
                    <w:jc w:val="center"/>
                    <w:rPr>
                      <w:rFonts w:ascii="Times New Roman" w:hAnsi="Times New Roman"/>
                    </w:rPr>
                  </w:pPr>
                  <w:r>
                    <w:rPr>
                      <w:rFonts w:ascii="Times New Roman" w:hAnsi="Times New Roman"/>
                    </w:rPr>
                    <w:t>2</w:t>
                  </w:r>
                </w:p>
              </w:tc>
              <w:tc>
                <w:tcPr>
                  <w:tcW w:w="1172" w:type="pct"/>
                  <w:vAlign w:val="center"/>
                </w:tcPr>
                <w:p>
                  <w:pPr>
                    <w:adjustRightInd w:val="0"/>
                    <w:snapToGrid w:val="0"/>
                    <w:jc w:val="center"/>
                    <w:rPr>
                      <w:rFonts w:ascii="Times New Roman" w:hAnsi="Times New Roman"/>
                    </w:rPr>
                  </w:pPr>
                  <w:r>
                    <w:rPr>
                      <w:rFonts w:ascii="Times New Roman" w:hAnsi="Times New Roman"/>
                    </w:rPr>
                    <w:t>50</w:t>
                  </w:r>
                </w:p>
              </w:tc>
              <w:tc>
                <w:tcPr>
                  <w:tcW w:w="1229" w:type="pct"/>
                  <w:vAlign w:val="center"/>
                </w:tcPr>
                <w:p>
                  <w:pPr>
                    <w:adjustRightInd w:val="0"/>
                    <w:snapToGrid w:val="0"/>
                    <w:jc w:val="center"/>
                    <w:rPr>
                      <w:rFonts w:ascii="Times New Roman" w:hAnsi="Times New Roman"/>
                    </w:rPr>
                  </w:pPr>
                  <w:r>
                    <w:rPr>
                      <w:rFonts w:ascii="Times New Roman" w:hAnsi="Times New Roma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废洗网水</w:t>
                  </w:r>
                </w:p>
              </w:tc>
              <w:tc>
                <w:tcPr>
                  <w:tcW w:w="1226" w:type="pct"/>
                  <w:vAlign w:val="center"/>
                </w:tcPr>
                <w:p>
                  <w:pPr>
                    <w:adjustRightInd w:val="0"/>
                    <w:snapToGrid w:val="0"/>
                    <w:jc w:val="center"/>
                    <w:rPr>
                      <w:rFonts w:ascii="Times New Roman" w:hAnsi="Times New Roman"/>
                    </w:rPr>
                  </w:pPr>
                  <w:r>
                    <w:rPr>
                      <w:rFonts w:ascii="Times New Roman" w:hAnsi="Times New Roman"/>
                    </w:rPr>
                    <w:t>0.025</w:t>
                  </w:r>
                </w:p>
              </w:tc>
              <w:tc>
                <w:tcPr>
                  <w:tcW w:w="1172" w:type="pct"/>
                  <w:vAlign w:val="center"/>
                </w:tcPr>
                <w:p>
                  <w:pPr>
                    <w:adjustRightInd w:val="0"/>
                    <w:snapToGrid w:val="0"/>
                    <w:jc w:val="center"/>
                    <w:rPr>
                      <w:rFonts w:ascii="Times New Roman" w:hAnsi="Times New Roman"/>
                    </w:rPr>
                  </w:pPr>
                  <w:r>
                    <w:rPr>
                      <w:rFonts w:ascii="Times New Roman" w:hAnsi="Times New Roman"/>
                    </w:rPr>
                    <w:t>50</w:t>
                  </w:r>
                </w:p>
              </w:tc>
              <w:tc>
                <w:tcPr>
                  <w:tcW w:w="1229" w:type="pct"/>
                  <w:vAlign w:val="center"/>
                </w:tcPr>
                <w:p>
                  <w:pPr>
                    <w:adjustRightInd w:val="0"/>
                    <w:snapToGrid w:val="0"/>
                    <w:jc w:val="center"/>
                    <w:rPr>
                      <w:rFonts w:ascii="Times New Roman" w:hAnsi="Times New Roman"/>
                    </w:rPr>
                  </w:pPr>
                  <w:r>
                    <w:rPr>
                      <w:rFonts w:ascii="Times New Roman" w:hAnsi="Times New Roman"/>
                    </w:rPr>
                    <w:t>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污泥</w:t>
                  </w:r>
                </w:p>
              </w:tc>
              <w:tc>
                <w:tcPr>
                  <w:tcW w:w="1226" w:type="pct"/>
                  <w:vAlign w:val="center"/>
                </w:tcPr>
                <w:p>
                  <w:pPr>
                    <w:adjustRightInd w:val="0"/>
                    <w:snapToGrid w:val="0"/>
                    <w:jc w:val="center"/>
                    <w:rPr>
                      <w:rFonts w:ascii="Times New Roman" w:hAnsi="Times New Roman"/>
                    </w:rPr>
                  </w:pPr>
                  <w:r>
                    <w:rPr>
                      <w:rFonts w:ascii="Times New Roman" w:hAnsi="Times New Roman"/>
                    </w:rPr>
                    <w:t>5</w:t>
                  </w:r>
                </w:p>
              </w:tc>
              <w:tc>
                <w:tcPr>
                  <w:tcW w:w="1172" w:type="pct"/>
                  <w:vAlign w:val="center"/>
                </w:tcPr>
                <w:p>
                  <w:pPr>
                    <w:adjustRightInd w:val="0"/>
                    <w:snapToGrid w:val="0"/>
                    <w:jc w:val="center"/>
                    <w:rPr>
                      <w:rFonts w:ascii="Times New Roman" w:hAnsi="Times New Roman"/>
                    </w:rPr>
                  </w:pPr>
                  <w:r>
                    <w:rPr>
                      <w:rFonts w:ascii="Times New Roman" w:hAnsi="Times New Roman"/>
                    </w:rPr>
                    <w:t>50</w:t>
                  </w:r>
                </w:p>
              </w:tc>
              <w:tc>
                <w:tcPr>
                  <w:tcW w:w="1229" w:type="pct"/>
                  <w:vAlign w:val="center"/>
                </w:tcPr>
                <w:p>
                  <w:pPr>
                    <w:adjustRightInd w:val="0"/>
                    <w:snapToGrid w:val="0"/>
                    <w:jc w:val="center"/>
                    <w:rPr>
                      <w:rFonts w:ascii="Times New Roman" w:hAnsi="Times New Roman"/>
                    </w:rPr>
                  </w:pPr>
                  <w:r>
                    <w:rPr>
                      <w:rFonts w:ascii="Times New Roman" w:hAnsi="Times New Roma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废润滑油</w:t>
                  </w:r>
                </w:p>
              </w:tc>
              <w:tc>
                <w:tcPr>
                  <w:tcW w:w="1226" w:type="pct"/>
                  <w:vAlign w:val="center"/>
                </w:tcPr>
                <w:p>
                  <w:pPr>
                    <w:adjustRightInd w:val="0"/>
                    <w:snapToGrid w:val="0"/>
                    <w:jc w:val="center"/>
                    <w:rPr>
                      <w:rFonts w:ascii="Times New Roman" w:hAnsi="Times New Roman"/>
                    </w:rPr>
                  </w:pPr>
                  <w:r>
                    <w:rPr>
                      <w:rFonts w:ascii="Times New Roman" w:hAnsi="Times New Roman"/>
                    </w:rPr>
                    <w:t>0.3</w:t>
                  </w:r>
                </w:p>
              </w:tc>
              <w:tc>
                <w:tcPr>
                  <w:tcW w:w="1172" w:type="pct"/>
                  <w:vAlign w:val="center"/>
                </w:tcPr>
                <w:p>
                  <w:pPr>
                    <w:adjustRightInd w:val="0"/>
                    <w:snapToGrid w:val="0"/>
                    <w:jc w:val="center"/>
                    <w:rPr>
                      <w:rFonts w:ascii="Times New Roman" w:hAnsi="Times New Roman"/>
                    </w:rPr>
                  </w:pPr>
                  <w:r>
                    <w:rPr>
                      <w:rFonts w:ascii="Times New Roman" w:hAnsi="Times New Roman"/>
                    </w:rPr>
                    <w:t>2500</w:t>
                  </w:r>
                </w:p>
              </w:tc>
              <w:tc>
                <w:tcPr>
                  <w:tcW w:w="1229" w:type="pct"/>
                  <w:vAlign w:val="center"/>
                </w:tcPr>
                <w:p>
                  <w:pPr>
                    <w:adjustRightInd w:val="0"/>
                    <w:snapToGrid w:val="0"/>
                    <w:jc w:val="center"/>
                    <w:rPr>
                      <w:rFonts w:ascii="Times New Roman" w:hAnsi="Times New Roman"/>
                    </w:rPr>
                  </w:pPr>
                  <w:r>
                    <w:rPr>
                      <w:rFonts w:ascii="Times New Roman" w:hAnsi="Times New Roman"/>
                    </w:rPr>
                    <w:t>1.2×10</w:t>
                  </w:r>
                  <w:r>
                    <w:rPr>
                      <w:rFonts w:ascii="Times New Roman" w:hAnsi="Times New Roman"/>
                      <w:vertAlign w:val="superscript"/>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废油墨渣</w:t>
                  </w:r>
                </w:p>
              </w:tc>
              <w:tc>
                <w:tcPr>
                  <w:tcW w:w="1226" w:type="pct"/>
                  <w:vAlign w:val="center"/>
                </w:tcPr>
                <w:p>
                  <w:pPr>
                    <w:adjustRightInd w:val="0"/>
                    <w:snapToGrid w:val="0"/>
                    <w:jc w:val="center"/>
                    <w:rPr>
                      <w:rFonts w:ascii="Times New Roman" w:hAnsi="Times New Roman"/>
                    </w:rPr>
                  </w:pPr>
                  <w:r>
                    <w:rPr>
                      <w:rFonts w:ascii="Times New Roman" w:hAnsi="Times New Roman"/>
                    </w:rPr>
                    <w:t>0.01</w:t>
                  </w:r>
                </w:p>
              </w:tc>
              <w:tc>
                <w:tcPr>
                  <w:tcW w:w="1172" w:type="pct"/>
                  <w:vAlign w:val="center"/>
                </w:tcPr>
                <w:p>
                  <w:pPr>
                    <w:adjustRightInd w:val="0"/>
                    <w:snapToGrid w:val="0"/>
                    <w:jc w:val="center"/>
                    <w:rPr>
                      <w:rFonts w:ascii="Times New Roman" w:hAnsi="Times New Roman"/>
                    </w:rPr>
                  </w:pPr>
                  <w:r>
                    <w:rPr>
                      <w:rFonts w:ascii="Times New Roman" w:hAnsi="Times New Roman"/>
                    </w:rPr>
                    <w:t>50</w:t>
                  </w:r>
                </w:p>
              </w:tc>
              <w:tc>
                <w:tcPr>
                  <w:tcW w:w="1229" w:type="pct"/>
                  <w:vAlign w:val="center"/>
                </w:tcPr>
                <w:p>
                  <w:pPr>
                    <w:adjustRightInd w:val="0"/>
                    <w:snapToGrid w:val="0"/>
                    <w:jc w:val="center"/>
                    <w:rPr>
                      <w:rFonts w:ascii="Times New Roman" w:hAnsi="Times New Roman"/>
                    </w:rPr>
                  </w:pPr>
                  <w:r>
                    <w:rPr>
                      <w:rFonts w:ascii="Times New Roman" w:hAnsi="Times New Roma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废AF药水</w:t>
                  </w:r>
                </w:p>
              </w:tc>
              <w:tc>
                <w:tcPr>
                  <w:tcW w:w="1226" w:type="pct"/>
                  <w:vAlign w:val="center"/>
                </w:tcPr>
                <w:p>
                  <w:pPr>
                    <w:adjustRightInd w:val="0"/>
                    <w:snapToGrid w:val="0"/>
                    <w:jc w:val="center"/>
                    <w:rPr>
                      <w:rFonts w:ascii="Times New Roman" w:hAnsi="Times New Roman"/>
                    </w:rPr>
                  </w:pPr>
                  <w:r>
                    <w:rPr>
                      <w:rFonts w:ascii="Times New Roman" w:hAnsi="Times New Roman"/>
                    </w:rPr>
                    <w:t>0.16</w:t>
                  </w:r>
                </w:p>
              </w:tc>
              <w:tc>
                <w:tcPr>
                  <w:tcW w:w="1172" w:type="pct"/>
                  <w:vAlign w:val="center"/>
                </w:tcPr>
                <w:p>
                  <w:pPr>
                    <w:adjustRightInd w:val="0"/>
                    <w:snapToGrid w:val="0"/>
                    <w:jc w:val="center"/>
                    <w:rPr>
                      <w:rFonts w:ascii="Times New Roman" w:hAnsi="Times New Roman"/>
                    </w:rPr>
                  </w:pPr>
                  <w:r>
                    <w:rPr>
                      <w:rFonts w:ascii="Times New Roman" w:hAnsi="Times New Roman"/>
                    </w:rPr>
                    <w:t>2500</w:t>
                  </w:r>
                </w:p>
              </w:tc>
              <w:tc>
                <w:tcPr>
                  <w:tcW w:w="1229" w:type="pct"/>
                  <w:vAlign w:val="center"/>
                </w:tcPr>
                <w:p>
                  <w:pPr>
                    <w:adjustRightInd w:val="0"/>
                    <w:snapToGrid w:val="0"/>
                    <w:jc w:val="center"/>
                    <w:rPr>
                      <w:rFonts w:ascii="Times New Roman" w:hAnsi="Times New Roman"/>
                    </w:rPr>
                  </w:pPr>
                  <w:r>
                    <w:rPr>
                      <w:rFonts w:ascii="Times New Roman" w:hAnsi="Times New Roman"/>
                    </w:rPr>
                    <w:t>6.4×10</w:t>
                  </w:r>
                  <w:r>
                    <w:rPr>
                      <w:rFonts w:ascii="Times New Roman" w:hAnsi="Times New Roman"/>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2" w:type="pct"/>
                  <w:vAlign w:val="center"/>
                </w:tcPr>
                <w:p>
                  <w:pPr>
                    <w:adjustRightInd w:val="0"/>
                    <w:snapToGrid w:val="0"/>
                    <w:jc w:val="center"/>
                    <w:rPr>
                      <w:rFonts w:ascii="Times New Roman" w:hAnsi="Times New Roman"/>
                    </w:rPr>
                  </w:pPr>
                  <w:r>
                    <w:rPr>
                      <w:rFonts w:ascii="Times New Roman" w:hAnsi="Times New Roman"/>
                    </w:rPr>
                    <w:t>废显影液</w:t>
                  </w:r>
                </w:p>
              </w:tc>
              <w:tc>
                <w:tcPr>
                  <w:tcW w:w="1226" w:type="pct"/>
                  <w:vAlign w:val="center"/>
                </w:tcPr>
                <w:p>
                  <w:pPr>
                    <w:adjustRightInd w:val="0"/>
                    <w:snapToGrid w:val="0"/>
                    <w:jc w:val="center"/>
                    <w:rPr>
                      <w:rFonts w:ascii="Times New Roman" w:hAnsi="Times New Roman"/>
                    </w:rPr>
                  </w:pPr>
                  <w:r>
                    <w:rPr>
                      <w:rFonts w:ascii="Times New Roman" w:hAnsi="Times New Roman"/>
                    </w:rPr>
                    <w:t>0.3</w:t>
                  </w:r>
                </w:p>
              </w:tc>
              <w:tc>
                <w:tcPr>
                  <w:tcW w:w="1172" w:type="pct"/>
                  <w:vAlign w:val="center"/>
                </w:tcPr>
                <w:p>
                  <w:pPr>
                    <w:adjustRightInd w:val="0"/>
                    <w:snapToGrid w:val="0"/>
                    <w:jc w:val="center"/>
                    <w:rPr>
                      <w:rFonts w:ascii="Times New Roman" w:hAnsi="Times New Roman"/>
                    </w:rPr>
                  </w:pPr>
                  <w:r>
                    <w:rPr>
                      <w:rFonts w:ascii="Times New Roman" w:hAnsi="Times New Roman"/>
                    </w:rPr>
                    <w:t>2500</w:t>
                  </w:r>
                </w:p>
              </w:tc>
              <w:tc>
                <w:tcPr>
                  <w:tcW w:w="1229" w:type="pct"/>
                  <w:vAlign w:val="center"/>
                </w:tcPr>
                <w:p>
                  <w:pPr>
                    <w:adjustRightInd w:val="0"/>
                    <w:snapToGrid w:val="0"/>
                    <w:jc w:val="center"/>
                    <w:rPr>
                      <w:rFonts w:ascii="Times New Roman" w:hAnsi="Times New Roman"/>
                    </w:rPr>
                  </w:pPr>
                  <w:r>
                    <w:rPr>
                      <w:rFonts w:ascii="Times New Roman" w:hAnsi="Times New Roman"/>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1" w:type="pct"/>
                  <w:gridSpan w:val="3"/>
                  <w:vAlign w:val="center"/>
                </w:tcPr>
                <w:p>
                  <w:pPr>
                    <w:adjustRightInd w:val="0"/>
                    <w:snapToGrid w:val="0"/>
                    <w:jc w:val="center"/>
                    <w:rPr>
                      <w:rFonts w:ascii="Times New Roman" w:hAnsi="Times New Roman"/>
                    </w:rPr>
                  </w:pPr>
                  <w:r>
                    <w:rPr>
                      <w:rFonts w:ascii="Times New Roman" w:hAnsi="Times New Roman"/>
                    </w:rPr>
                    <w:t>合计</w:t>
                  </w:r>
                </w:p>
              </w:tc>
              <w:tc>
                <w:tcPr>
                  <w:tcW w:w="1229" w:type="pct"/>
                  <w:vAlign w:val="center"/>
                </w:tcPr>
                <w:p>
                  <w:pPr>
                    <w:adjustRightInd w:val="0"/>
                    <w:snapToGrid w:val="0"/>
                    <w:jc w:val="center"/>
                    <w:rPr>
                      <w:rFonts w:ascii="Times New Roman" w:hAnsi="Times New Roman"/>
                    </w:rPr>
                  </w:pPr>
                  <w:r>
                    <w:rPr>
                      <w:rFonts w:ascii="Times New Roman" w:hAnsi="Times New Roman"/>
                    </w:rPr>
                    <w:t>0.17657</w:t>
                  </w:r>
                </w:p>
              </w:tc>
            </w:tr>
          </w:tbl>
          <w:p>
            <w:pPr>
              <w:adjustRightInd w:val="0"/>
              <w:snapToGrid w:val="0"/>
              <w:spacing w:before="120" w:beforeLines="50" w:line="440" w:lineRule="exact"/>
              <w:ind w:firstLine="480" w:firstLineChars="200"/>
              <w:rPr>
                <w:rFonts w:ascii="Times New Roman" w:hAnsi="Times New Roman"/>
                <w:sz w:val="24"/>
              </w:rPr>
            </w:pPr>
            <w:r>
              <w:rPr>
                <w:rFonts w:ascii="Times New Roman" w:hAnsi="Times New Roman"/>
                <w:sz w:val="24"/>
              </w:rPr>
              <w:t>由上表知，本项目物质总量与其临界量比值Q=</w:t>
            </w:r>
            <w:r>
              <w:rPr>
                <w:rFonts w:ascii="Times New Roman" w:hAnsi="Times New Roman"/>
                <w:sz w:val="24"/>
                <w:szCs w:val="24"/>
              </w:rPr>
              <w:t>0.17657</w:t>
            </w:r>
            <w:r>
              <w:rPr>
                <w:rFonts w:ascii="Times New Roman" w:hAnsi="Times New Roman"/>
                <w:sz w:val="24"/>
              </w:rPr>
              <w:t>&lt;1。根据《建设项目环境风险评价技术导则》（HJ/T169-2018），当Q&lt;1时，该项目环境风险潜势为</w:t>
            </w:r>
            <w:r>
              <w:rPr>
                <w:rFonts w:hint="eastAsia" w:cs="宋体"/>
                <w:sz w:val="24"/>
              </w:rPr>
              <w:t>Ⅰ</w:t>
            </w:r>
            <w:r>
              <w:rPr>
                <w:rFonts w:ascii="Times New Roman" w:hAnsi="Times New Roman"/>
                <w:sz w:val="24"/>
              </w:rPr>
              <w:t>。</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（3）环境风险评价等级</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按照《建设项目环境风险评价技术导则》（HJ169-2018），根据建设项目设计的物质及工艺系统危险性和所在地的环境敏感性确定环境风险潜势，本项目风险潜势为</w:t>
            </w:r>
            <w:r>
              <w:rPr>
                <w:rFonts w:hint="eastAsia" w:cs="宋体"/>
                <w:sz w:val="24"/>
              </w:rPr>
              <w:t>Ⅰ</w:t>
            </w:r>
            <w:r>
              <w:rPr>
                <w:rFonts w:ascii="Times New Roman" w:hAnsi="Times New Roman"/>
                <w:sz w:val="24"/>
              </w:rPr>
              <w:t>，开展简单分析，在描述危险物质、环境影响途径、环境危害后果、风险防范措施等方面给出定性的说明。</w:t>
            </w:r>
          </w:p>
          <w:p>
            <w:pPr>
              <w:pStyle w:val="119"/>
              <w:spacing w:line="440" w:lineRule="exact"/>
              <w:ind w:left="288"/>
              <w:rPr>
                <w:rFonts w:cs="Times New Roman"/>
              </w:rPr>
            </w:pPr>
            <w:r>
              <w:rPr>
                <w:rFonts w:cs="Times New Roman"/>
              </w:rPr>
              <w:t>表4-22评级工作等级划分</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192"/>
              <w:gridCol w:w="1281"/>
              <w:gridCol w:w="1240"/>
              <w:gridCol w:w="1286"/>
              <w:gridCol w:w="20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2" w:type="pct"/>
                  <w:vAlign w:val="center"/>
                </w:tcPr>
                <w:p>
                  <w:pPr>
                    <w:pStyle w:val="72"/>
                    <w:adjustRightInd w:val="0"/>
                    <w:snapToGrid w:val="0"/>
                    <w:spacing w:before="48" w:beforeLines="20" w:line="440" w:lineRule="exact"/>
                    <w:rPr>
                      <w:b/>
                      <w:bCs/>
                    </w:rPr>
                  </w:pPr>
                  <w:r>
                    <w:rPr>
                      <w:b/>
                      <w:bCs/>
                    </w:rPr>
                    <w:t>环境风险潜势</w:t>
                  </w:r>
                </w:p>
              </w:tc>
              <w:tc>
                <w:tcPr>
                  <w:tcW w:w="694" w:type="pct"/>
                  <w:vAlign w:val="center"/>
                </w:tcPr>
                <w:p>
                  <w:pPr>
                    <w:pStyle w:val="72"/>
                    <w:adjustRightInd w:val="0"/>
                    <w:snapToGrid w:val="0"/>
                    <w:spacing w:before="48" w:beforeLines="20" w:line="440" w:lineRule="exact"/>
                    <w:rPr>
                      <w:b/>
                      <w:bCs/>
                    </w:rPr>
                  </w:pPr>
                  <w:r>
                    <w:rPr>
                      <w:rFonts w:hint="eastAsia" w:ascii="宋体" w:hAnsi="宋体" w:cs="宋体"/>
                      <w:b/>
                      <w:bCs/>
                    </w:rPr>
                    <w:t>Ⅳ</w:t>
                  </w:r>
                  <w:r>
                    <w:rPr>
                      <w:b/>
                      <w:bCs/>
                      <w:vertAlign w:val="superscript"/>
                    </w:rPr>
                    <w:t>+</w:t>
                  </w:r>
                  <w:r>
                    <w:rPr>
                      <w:b/>
                      <w:bCs/>
                    </w:rPr>
                    <w:t>、</w:t>
                  </w:r>
                  <w:r>
                    <w:rPr>
                      <w:rFonts w:hint="eastAsia" w:ascii="宋体" w:hAnsi="宋体" w:cs="宋体"/>
                      <w:b/>
                      <w:bCs/>
                    </w:rPr>
                    <w:t>Ⅳ</w:t>
                  </w:r>
                </w:p>
              </w:tc>
              <w:tc>
                <w:tcPr>
                  <w:tcW w:w="746" w:type="pct"/>
                  <w:vAlign w:val="center"/>
                </w:tcPr>
                <w:p>
                  <w:pPr>
                    <w:pStyle w:val="72"/>
                    <w:adjustRightInd w:val="0"/>
                    <w:snapToGrid w:val="0"/>
                    <w:spacing w:before="48" w:beforeLines="20" w:line="440" w:lineRule="exact"/>
                    <w:rPr>
                      <w:b/>
                      <w:bCs/>
                    </w:rPr>
                  </w:pPr>
                  <w:r>
                    <w:rPr>
                      <w:rFonts w:hint="eastAsia" w:ascii="宋体" w:hAnsi="宋体" w:cs="宋体"/>
                      <w:b/>
                      <w:bCs/>
                    </w:rPr>
                    <w:t>Ⅲ</w:t>
                  </w:r>
                </w:p>
              </w:tc>
              <w:tc>
                <w:tcPr>
                  <w:tcW w:w="722" w:type="pct"/>
                  <w:vAlign w:val="center"/>
                </w:tcPr>
                <w:p>
                  <w:pPr>
                    <w:pStyle w:val="72"/>
                    <w:adjustRightInd w:val="0"/>
                    <w:snapToGrid w:val="0"/>
                    <w:spacing w:before="48" w:beforeLines="20" w:line="440" w:lineRule="exact"/>
                    <w:rPr>
                      <w:b/>
                      <w:bCs/>
                    </w:rPr>
                  </w:pPr>
                  <w:r>
                    <w:rPr>
                      <w:rFonts w:hint="eastAsia" w:ascii="宋体" w:hAnsi="宋体" w:cs="宋体"/>
                      <w:b/>
                      <w:bCs/>
                    </w:rPr>
                    <w:t>Ⅱ</w:t>
                  </w:r>
                </w:p>
              </w:tc>
              <w:tc>
                <w:tcPr>
                  <w:tcW w:w="749" w:type="pct"/>
                  <w:vAlign w:val="center"/>
                </w:tcPr>
                <w:p>
                  <w:pPr>
                    <w:pStyle w:val="72"/>
                    <w:adjustRightInd w:val="0"/>
                    <w:snapToGrid w:val="0"/>
                    <w:spacing w:before="48" w:beforeLines="20" w:line="440" w:lineRule="exact"/>
                    <w:rPr>
                      <w:b/>
                      <w:bCs/>
                    </w:rPr>
                  </w:pPr>
                  <w:r>
                    <w:rPr>
                      <w:rFonts w:hint="eastAsia" w:ascii="宋体" w:hAnsi="宋体" w:cs="宋体"/>
                      <w:b/>
                      <w:bCs/>
                    </w:rPr>
                    <w:t>Ⅰ</w:t>
                  </w:r>
                </w:p>
              </w:tc>
              <w:tc>
                <w:tcPr>
                  <w:tcW w:w="1177" w:type="pct"/>
                  <w:vAlign w:val="center"/>
                </w:tcPr>
                <w:p>
                  <w:pPr>
                    <w:pStyle w:val="72"/>
                    <w:adjustRightInd w:val="0"/>
                    <w:snapToGrid w:val="0"/>
                    <w:spacing w:before="48" w:beforeLines="20" w:line="440" w:lineRule="exact"/>
                    <w:rPr>
                      <w:b/>
                      <w:bCs/>
                    </w:rPr>
                  </w:pPr>
                  <w:r>
                    <w:rPr>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2" w:type="pct"/>
                  <w:vAlign w:val="center"/>
                </w:tcPr>
                <w:p>
                  <w:pPr>
                    <w:pStyle w:val="72"/>
                    <w:adjustRightInd w:val="0"/>
                    <w:snapToGrid w:val="0"/>
                    <w:spacing w:before="48" w:beforeLines="20" w:line="440" w:lineRule="exact"/>
                  </w:pPr>
                  <w:r>
                    <w:t>评价工作等级</w:t>
                  </w:r>
                </w:p>
              </w:tc>
              <w:tc>
                <w:tcPr>
                  <w:tcW w:w="694" w:type="pct"/>
                  <w:vAlign w:val="center"/>
                </w:tcPr>
                <w:p>
                  <w:pPr>
                    <w:pStyle w:val="72"/>
                    <w:adjustRightInd w:val="0"/>
                    <w:snapToGrid w:val="0"/>
                    <w:spacing w:before="48" w:beforeLines="20" w:line="440" w:lineRule="exact"/>
                  </w:pPr>
                  <w:r>
                    <w:t>一</w:t>
                  </w:r>
                </w:p>
              </w:tc>
              <w:tc>
                <w:tcPr>
                  <w:tcW w:w="746" w:type="pct"/>
                  <w:vAlign w:val="center"/>
                </w:tcPr>
                <w:p>
                  <w:pPr>
                    <w:pStyle w:val="72"/>
                    <w:adjustRightInd w:val="0"/>
                    <w:snapToGrid w:val="0"/>
                    <w:spacing w:before="48" w:beforeLines="20" w:line="440" w:lineRule="exact"/>
                  </w:pPr>
                  <w:r>
                    <w:t>二</w:t>
                  </w:r>
                </w:p>
              </w:tc>
              <w:tc>
                <w:tcPr>
                  <w:tcW w:w="722" w:type="pct"/>
                  <w:vAlign w:val="center"/>
                </w:tcPr>
                <w:p>
                  <w:pPr>
                    <w:pStyle w:val="72"/>
                    <w:adjustRightInd w:val="0"/>
                    <w:snapToGrid w:val="0"/>
                    <w:spacing w:before="48" w:beforeLines="20" w:line="440" w:lineRule="exact"/>
                  </w:pPr>
                  <w:r>
                    <w:t>三</w:t>
                  </w:r>
                </w:p>
              </w:tc>
              <w:tc>
                <w:tcPr>
                  <w:tcW w:w="749" w:type="pct"/>
                  <w:vAlign w:val="center"/>
                </w:tcPr>
                <w:p>
                  <w:pPr>
                    <w:pStyle w:val="72"/>
                    <w:adjustRightInd w:val="0"/>
                    <w:snapToGrid w:val="0"/>
                    <w:spacing w:before="48" w:beforeLines="20" w:line="440" w:lineRule="exact"/>
                  </w:pPr>
                  <w:r>
                    <w:t>简单分析</w:t>
                  </w:r>
                  <w:r>
                    <w:rPr>
                      <w:vertAlign w:val="superscript"/>
                    </w:rPr>
                    <w:t>a</w:t>
                  </w:r>
                </w:p>
              </w:tc>
              <w:tc>
                <w:tcPr>
                  <w:tcW w:w="1177" w:type="pct"/>
                  <w:vAlign w:val="center"/>
                </w:tcPr>
                <w:p>
                  <w:pPr>
                    <w:pStyle w:val="72"/>
                    <w:adjustRightInd w:val="0"/>
                    <w:snapToGrid w:val="0"/>
                    <w:spacing w:before="48" w:beforeLines="20" w:line="440" w:lineRule="exact"/>
                  </w:pPr>
                  <w:r>
                    <w:t>本项目风险潜势为</w:t>
                  </w:r>
                  <w:r>
                    <w:rPr>
                      <w:rFonts w:hint="eastAsia" w:ascii="宋体" w:hAnsi="宋体" w:cs="宋体"/>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6"/>
                  <w:vAlign w:val="center"/>
                </w:tcPr>
                <w:p>
                  <w:pPr>
                    <w:pStyle w:val="72"/>
                    <w:adjustRightInd w:val="0"/>
                    <w:snapToGrid w:val="0"/>
                    <w:spacing w:before="48" w:beforeLines="20" w:line="440" w:lineRule="exact"/>
                    <w:jc w:val="left"/>
                  </w:pPr>
                  <w:r>
                    <w:t>a是相对于详细评价工作内容而言，在描述危险物质、环境影响途径、环境危害后果、风险防范措施等方面给出定性的说明。</w:t>
                  </w:r>
                </w:p>
              </w:tc>
            </w:tr>
          </w:tbl>
          <w:p>
            <w:pPr>
              <w:pStyle w:val="55"/>
              <w:snapToGrid w:val="0"/>
              <w:spacing w:before="120" w:beforeLines="50"/>
              <w:ind w:left="0" w:firstLine="482" w:firstLineChars="200"/>
              <w:jc w:val="left"/>
              <w:rPr>
                <w:rFonts w:ascii="Times New Roman" w:hAnsi="Times New Roman" w:cs="Times New Roman"/>
                <w:b/>
                <w:bCs/>
                <w:color w:val="auto"/>
              </w:rPr>
            </w:pPr>
            <w:r>
              <w:rPr>
                <w:rFonts w:ascii="Times New Roman" w:hAnsi="Times New Roman" w:cs="Times New Roman"/>
                <w:b/>
                <w:bCs/>
                <w:color w:val="auto"/>
              </w:rPr>
              <w:t>2、环境风险识别：</w:t>
            </w:r>
          </w:p>
          <w:p>
            <w:pPr>
              <w:pStyle w:val="118"/>
              <w:adjustRightInd w:val="0"/>
              <w:snapToGrid w:val="0"/>
              <w:spacing w:line="440" w:lineRule="exact"/>
              <w:ind w:firstLine="480"/>
              <w:rPr>
                <w:color w:val="auto"/>
              </w:rPr>
            </w:pPr>
            <w:r>
              <w:rPr>
                <w:color w:val="auto"/>
              </w:rPr>
              <w:t>（1）物质风险识别</w:t>
            </w:r>
          </w:p>
          <w:p>
            <w:pPr>
              <w:pStyle w:val="118"/>
              <w:adjustRightInd w:val="0"/>
              <w:snapToGrid w:val="0"/>
              <w:spacing w:line="440" w:lineRule="exact"/>
              <w:ind w:firstLine="480"/>
              <w:rPr>
                <w:color w:val="auto"/>
              </w:rPr>
            </w:pPr>
            <w:r>
              <w:rPr>
                <w:color w:val="auto"/>
              </w:rPr>
              <w:t>本项目物质环境风险识别见下表。</w:t>
            </w:r>
          </w:p>
          <w:p>
            <w:pPr>
              <w:pStyle w:val="119"/>
              <w:spacing w:line="440" w:lineRule="exact"/>
              <w:ind w:left="288"/>
              <w:rPr>
                <w:rFonts w:cs="Times New Roman"/>
              </w:rPr>
            </w:pPr>
            <w:r>
              <w:rPr>
                <w:rFonts w:cs="Times New Roman"/>
              </w:rPr>
              <w:t>表4-23物质环境风险识别</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6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19" w:type="pct"/>
                  <w:vAlign w:val="center"/>
                </w:tcPr>
                <w:p>
                  <w:pPr>
                    <w:pStyle w:val="217"/>
                    <w:spacing w:line="440" w:lineRule="exact"/>
                    <w:rPr>
                      <w:rFonts w:eastAsia="宋体"/>
                      <w:sz w:val="21"/>
                      <w:szCs w:val="21"/>
                    </w:rPr>
                  </w:pPr>
                  <w:r>
                    <w:rPr>
                      <w:rFonts w:eastAsia="宋体"/>
                      <w:sz w:val="21"/>
                      <w:szCs w:val="21"/>
                    </w:rPr>
                    <w:t>危险物质</w:t>
                  </w:r>
                </w:p>
              </w:tc>
              <w:tc>
                <w:tcPr>
                  <w:tcW w:w="3781" w:type="pct"/>
                  <w:vAlign w:val="center"/>
                </w:tcPr>
                <w:p>
                  <w:pPr>
                    <w:pStyle w:val="217"/>
                    <w:spacing w:line="440" w:lineRule="exact"/>
                    <w:rPr>
                      <w:rFonts w:eastAsia="宋体"/>
                      <w:sz w:val="21"/>
                      <w:szCs w:val="21"/>
                    </w:rPr>
                  </w:pPr>
                  <w:r>
                    <w:rPr>
                      <w:rFonts w:eastAsia="宋体"/>
                      <w:sz w:val="21"/>
                      <w:szCs w:val="21"/>
                    </w:rPr>
                    <w:t>保护液、切削液、清洗剂、丝印油墨、洗网水、含切削液废水、废洗网水、污泥、废润滑油、废油渣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19" w:type="pct"/>
                  <w:vAlign w:val="center"/>
                </w:tcPr>
                <w:p>
                  <w:pPr>
                    <w:pStyle w:val="217"/>
                    <w:spacing w:line="440" w:lineRule="exact"/>
                    <w:rPr>
                      <w:rFonts w:eastAsia="宋体"/>
                      <w:sz w:val="21"/>
                      <w:szCs w:val="21"/>
                    </w:rPr>
                  </w:pPr>
                  <w:r>
                    <w:rPr>
                      <w:rFonts w:eastAsia="宋体"/>
                      <w:sz w:val="21"/>
                      <w:szCs w:val="21"/>
                    </w:rPr>
                    <w:t>危险单元分布情况</w:t>
                  </w:r>
                </w:p>
              </w:tc>
              <w:tc>
                <w:tcPr>
                  <w:tcW w:w="3781" w:type="pct"/>
                  <w:vAlign w:val="center"/>
                </w:tcPr>
                <w:p>
                  <w:pPr>
                    <w:pStyle w:val="217"/>
                    <w:spacing w:line="440" w:lineRule="exact"/>
                    <w:rPr>
                      <w:rFonts w:eastAsia="宋体"/>
                      <w:sz w:val="21"/>
                      <w:szCs w:val="21"/>
                    </w:rPr>
                  </w:pPr>
                  <w:r>
                    <w:rPr>
                      <w:rFonts w:eastAsia="宋体"/>
                      <w:sz w:val="21"/>
                      <w:szCs w:val="21"/>
                    </w:rPr>
                    <w:t>主要分布在化学品仓、丝印车间、危废仓库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9" w:type="pct"/>
                  <w:vAlign w:val="center"/>
                </w:tcPr>
                <w:p>
                  <w:pPr>
                    <w:pStyle w:val="217"/>
                    <w:spacing w:line="440" w:lineRule="exact"/>
                    <w:rPr>
                      <w:rFonts w:eastAsia="宋体"/>
                      <w:sz w:val="21"/>
                      <w:szCs w:val="21"/>
                    </w:rPr>
                  </w:pPr>
                  <w:r>
                    <w:rPr>
                      <w:rFonts w:eastAsia="宋体"/>
                      <w:sz w:val="21"/>
                      <w:szCs w:val="21"/>
                    </w:rPr>
                    <w:t>可能影响环境途径</w:t>
                  </w:r>
                </w:p>
              </w:tc>
              <w:tc>
                <w:tcPr>
                  <w:tcW w:w="3781" w:type="pct"/>
                  <w:vAlign w:val="center"/>
                </w:tcPr>
                <w:p>
                  <w:pPr>
                    <w:pStyle w:val="217"/>
                    <w:spacing w:line="440" w:lineRule="exact"/>
                    <w:rPr>
                      <w:rFonts w:eastAsia="宋体"/>
                      <w:sz w:val="21"/>
                      <w:szCs w:val="21"/>
                    </w:rPr>
                  </w:pPr>
                  <w:r>
                    <w:rPr>
                      <w:rFonts w:eastAsia="宋体"/>
                      <w:sz w:val="21"/>
                      <w:szCs w:val="21"/>
                    </w:rPr>
                    <w:t>化学品仓库、丝印车间：切削液、清洗剂、丝印油墨、洗网水等泄漏、火灾爆炸产生的伴生/次生污染物CO、挥发性有机物通过大气扩散影响周边大气环境质量。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19" w:type="pct"/>
                  <w:vAlign w:val="center"/>
                </w:tcPr>
                <w:p>
                  <w:pPr>
                    <w:pStyle w:val="217"/>
                    <w:spacing w:line="440" w:lineRule="exact"/>
                    <w:rPr>
                      <w:rFonts w:eastAsia="宋体"/>
                      <w:sz w:val="21"/>
                      <w:szCs w:val="21"/>
                    </w:rPr>
                  </w:pPr>
                  <w:r>
                    <w:rPr>
                      <w:rFonts w:eastAsia="宋体"/>
                      <w:sz w:val="21"/>
                      <w:szCs w:val="21"/>
                    </w:rPr>
                    <w:t>风险类型</w:t>
                  </w:r>
                </w:p>
              </w:tc>
              <w:tc>
                <w:tcPr>
                  <w:tcW w:w="3781" w:type="pct"/>
                  <w:vAlign w:val="center"/>
                </w:tcPr>
                <w:p>
                  <w:pPr>
                    <w:pStyle w:val="217"/>
                    <w:spacing w:line="440" w:lineRule="exact"/>
                    <w:rPr>
                      <w:rFonts w:eastAsia="宋体"/>
                      <w:sz w:val="21"/>
                      <w:szCs w:val="21"/>
                    </w:rPr>
                  </w:pPr>
                  <w:r>
                    <w:rPr>
                      <w:rFonts w:eastAsia="宋体"/>
                      <w:sz w:val="21"/>
                      <w:szCs w:val="21"/>
                    </w:rPr>
                    <w:t>泄漏，火灾，爆炸</w:t>
                  </w:r>
                </w:p>
              </w:tc>
            </w:tr>
          </w:tbl>
          <w:p>
            <w:pPr>
              <w:pStyle w:val="118"/>
              <w:adjustRightInd w:val="0"/>
              <w:snapToGrid w:val="0"/>
              <w:spacing w:line="440" w:lineRule="exact"/>
              <w:ind w:firstLine="480"/>
              <w:rPr>
                <w:color w:val="auto"/>
              </w:rPr>
            </w:pPr>
            <w:r>
              <w:rPr>
                <w:color w:val="auto"/>
              </w:rPr>
              <w:t>（2）生产单元风险识别</w:t>
            </w:r>
          </w:p>
          <w:p>
            <w:pPr>
              <w:pStyle w:val="118"/>
              <w:adjustRightInd w:val="0"/>
              <w:snapToGrid w:val="0"/>
              <w:spacing w:line="440" w:lineRule="exact"/>
              <w:ind w:firstLine="480"/>
              <w:rPr>
                <w:color w:val="auto"/>
              </w:rPr>
            </w:pPr>
            <w:r>
              <w:rPr>
                <w:color w:val="auto"/>
              </w:rPr>
              <w:t>针对项目生产工艺的特点，结合物质危险性识别以及各生产系统和环节对周边环境的影响程度，项目生产过程中的环境风险及有害因素主要为废气事故排放，具体如下：</w:t>
            </w:r>
          </w:p>
          <w:p>
            <w:pPr>
              <w:pStyle w:val="118"/>
              <w:adjustRightInd w:val="0"/>
              <w:snapToGrid w:val="0"/>
              <w:spacing w:line="440" w:lineRule="exact"/>
              <w:ind w:firstLine="480"/>
              <w:rPr>
                <w:color w:val="auto"/>
              </w:rPr>
            </w:pPr>
            <w:r>
              <w:rPr>
                <w:color w:val="auto"/>
              </w:rPr>
              <w:t>1）废气处理装置故障或活性炭吸附饱和失效，导致废气未经处理直接排放；</w:t>
            </w:r>
          </w:p>
          <w:p>
            <w:pPr>
              <w:pStyle w:val="118"/>
              <w:adjustRightInd w:val="0"/>
              <w:snapToGrid w:val="0"/>
              <w:spacing w:line="440" w:lineRule="exact"/>
              <w:ind w:firstLine="480"/>
              <w:rPr>
                <w:color w:val="auto"/>
              </w:rPr>
            </w:pPr>
            <w:r>
              <w:rPr>
                <w:color w:val="auto"/>
              </w:rPr>
              <w:t>2）活性炭吸附饱和失效，导致挥发性有机废气超标排放。</w:t>
            </w:r>
          </w:p>
          <w:p>
            <w:pPr>
              <w:pStyle w:val="55"/>
              <w:snapToGrid w:val="0"/>
              <w:ind w:left="0" w:firstLine="482" w:firstLineChars="200"/>
              <w:jc w:val="left"/>
              <w:rPr>
                <w:rFonts w:ascii="Times New Roman" w:hAnsi="Times New Roman" w:cs="Times New Roman"/>
                <w:b/>
                <w:bCs/>
                <w:color w:val="auto"/>
              </w:rPr>
            </w:pPr>
            <w:r>
              <w:rPr>
                <w:rFonts w:ascii="Times New Roman" w:hAnsi="Times New Roman" w:cs="Times New Roman"/>
                <w:b/>
                <w:bCs/>
                <w:color w:val="auto"/>
              </w:rPr>
              <w:t>3、环境风险分析：</w:t>
            </w:r>
          </w:p>
          <w:p>
            <w:pPr>
              <w:pStyle w:val="118"/>
              <w:adjustRightInd w:val="0"/>
              <w:snapToGrid w:val="0"/>
              <w:spacing w:line="440" w:lineRule="exact"/>
              <w:ind w:firstLine="480"/>
              <w:rPr>
                <w:color w:val="auto"/>
              </w:rPr>
            </w:pPr>
            <w:r>
              <w:rPr>
                <w:color w:val="auto"/>
              </w:rPr>
              <w:t>本项目环境风险危害后果见下表。</w:t>
            </w:r>
          </w:p>
          <w:p>
            <w:pPr>
              <w:pStyle w:val="119"/>
              <w:spacing w:line="440" w:lineRule="exact"/>
              <w:ind w:left="288"/>
              <w:rPr>
                <w:rFonts w:cs="Times New Roman"/>
              </w:rPr>
            </w:pPr>
            <w:r>
              <w:rPr>
                <w:rFonts w:cs="Times New Roman"/>
              </w:rPr>
              <w:t>表4-24危害后果详表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3628"/>
              <w:gridCol w:w="1364"/>
              <w:gridCol w:w="1364"/>
              <w:gridCol w:w="1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92" w:type="dxa"/>
                  <w:vMerge w:val="restart"/>
                  <w:vAlign w:val="center"/>
                </w:tcPr>
                <w:p>
                  <w:pPr>
                    <w:pStyle w:val="217"/>
                    <w:rPr>
                      <w:rFonts w:eastAsia="宋体"/>
                      <w:b/>
                      <w:bCs/>
                      <w:sz w:val="21"/>
                      <w:szCs w:val="18"/>
                    </w:rPr>
                  </w:pPr>
                  <w:r>
                    <w:rPr>
                      <w:rFonts w:eastAsia="宋体"/>
                      <w:b/>
                      <w:bCs/>
                      <w:sz w:val="21"/>
                      <w:szCs w:val="18"/>
                    </w:rPr>
                    <w:t>事故类型</w:t>
                  </w:r>
                </w:p>
              </w:tc>
              <w:tc>
                <w:tcPr>
                  <w:tcW w:w="7426" w:type="dxa"/>
                  <w:gridSpan w:val="4"/>
                  <w:vAlign w:val="center"/>
                </w:tcPr>
                <w:p>
                  <w:pPr>
                    <w:pStyle w:val="217"/>
                    <w:rPr>
                      <w:rFonts w:eastAsia="宋体"/>
                      <w:b/>
                      <w:bCs/>
                      <w:sz w:val="21"/>
                      <w:szCs w:val="18"/>
                    </w:rPr>
                  </w:pPr>
                  <w:r>
                    <w:rPr>
                      <w:rFonts w:eastAsia="宋体"/>
                      <w:b/>
                      <w:bCs/>
                      <w:sz w:val="21"/>
                      <w:szCs w:val="18"/>
                    </w:rPr>
                    <w:t>危害后果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92" w:type="dxa"/>
                  <w:vMerge w:val="continue"/>
                  <w:vAlign w:val="center"/>
                </w:tcPr>
                <w:p>
                  <w:pPr>
                    <w:pStyle w:val="217"/>
                    <w:rPr>
                      <w:rFonts w:eastAsia="宋体"/>
                      <w:b/>
                      <w:bCs/>
                      <w:sz w:val="21"/>
                      <w:szCs w:val="18"/>
                    </w:rPr>
                  </w:pPr>
                </w:p>
              </w:tc>
              <w:tc>
                <w:tcPr>
                  <w:tcW w:w="3472" w:type="dxa"/>
                  <w:vAlign w:val="center"/>
                </w:tcPr>
                <w:p>
                  <w:pPr>
                    <w:pStyle w:val="217"/>
                    <w:rPr>
                      <w:rFonts w:eastAsia="宋体"/>
                      <w:b/>
                      <w:bCs/>
                      <w:sz w:val="21"/>
                      <w:szCs w:val="18"/>
                    </w:rPr>
                  </w:pPr>
                  <w:r>
                    <w:rPr>
                      <w:rFonts w:eastAsia="宋体"/>
                      <w:b/>
                      <w:bCs/>
                      <w:sz w:val="21"/>
                      <w:szCs w:val="18"/>
                    </w:rPr>
                    <w:t>环境空气</w:t>
                  </w:r>
                </w:p>
              </w:tc>
              <w:tc>
                <w:tcPr>
                  <w:tcW w:w="1305" w:type="dxa"/>
                  <w:vAlign w:val="center"/>
                </w:tcPr>
                <w:p>
                  <w:pPr>
                    <w:pStyle w:val="217"/>
                    <w:rPr>
                      <w:rFonts w:eastAsia="宋体"/>
                      <w:b/>
                      <w:bCs/>
                      <w:sz w:val="21"/>
                      <w:szCs w:val="18"/>
                    </w:rPr>
                  </w:pPr>
                  <w:r>
                    <w:rPr>
                      <w:rFonts w:eastAsia="宋体"/>
                      <w:b/>
                      <w:bCs/>
                      <w:sz w:val="21"/>
                      <w:szCs w:val="18"/>
                    </w:rPr>
                    <w:t>地表水</w:t>
                  </w:r>
                </w:p>
              </w:tc>
              <w:tc>
                <w:tcPr>
                  <w:tcW w:w="1305" w:type="dxa"/>
                  <w:vAlign w:val="center"/>
                </w:tcPr>
                <w:p>
                  <w:pPr>
                    <w:pStyle w:val="217"/>
                    <w:rPr>
                      <w:rFonts w:eastAsia="宋体"/>
                      <w:b/>
                      <w:bCs/>
                      <w:sz w:val="21"/>
                      <w:szCs w:val="18"/>
                    </w:rPr>
                  </w:pPr>
                  <w:r>
                    <w:rPr>
                      <w:rFonts w:eastAsia="宋体"/>
                      <w:b/>
                      <w:bCs/>
                      <w:sz w:val="21"/>
                      <w:szCs w:val="18"/>
                    </w:rPr>
                    <w:t>地下水</w:t>
                  </w:r>
                </w:p>
              </w:tc>
              <w:tc>
                <w:tcPr>
                  <w:tcW w:w="1344" w:type="dxa"/>
                  <w:vAlign w:val="center"/>
                </w:tcPr>
                <w:p>
                  <w:pPr>
                    <w:pStyle w:val="217"/>
                    <w:rPr>
                      <w:rFonts w:eastAsia="宋体"/>
                      <w:b/>
                      <w:bCs/>
                      <w:sz w:val="21"/>
                      <w:szCs w:val="18"/>
                    </w:rPr>
                  </w:pPr>
                  <w:r>
                    <w:rPr>
                      <w:rFonts w:eastAsia="宋体"/>
                      <w:b/>
                      <w:bCs/>
                      <w:sz w:val="21"/>
                      <w:szCs w:val="18"/>
                    </w:rPr>
                    <w:t>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792" w:type="dxa"/>
                  <w:vAlign w:val="center"/>
                </w:tcPr>
                <w:p>
                  <w:pPr>
                    <w:pStyle w:val="217"/>
                    <w:rPr>
                      <w:rFonts w:eastAsia="宋体"/>
                      <w:sz w:val="21"/>
                      <w:szCs w:val="18"/>
                    </w:rPr>
                  </w:pPr>
                  <w:r>
                    <w:rPr>
                      <w:rFonts w:eastAsia="宋体"/>
                      <w:sz w:val="21"/>
                      <w:szCs w:val="18"/>
                    </w:rPr>
                    <w:t>泄漏</w:t>
                  </w:r>
                </w:p>
              </w:tc>
              <w:tc>
                <w:tcPr>
                  <w:tcW w:w="3472" w:type="dxa"/>
                  <w:vAlign w:val="center"/>
                </w:tcPr>
                <w:p>
                  <w:pPr>
                    <w:pStyle w:val="217"/>
                    <w:rPr>
                      <w:rFonts w:eastAsia="宋体"/>
                      <w:sz w:val="21"/>
                      <w:szCs w:val="18"/>
                    </w:rPr>
                  </w:pPr>
                  <w:r>
                    <w:rPr>
                      <w:rFonts w:eastAsia="宋体"/>
                      <w:sz w:val="21"/>
                      <w:szCs w:val="18"/>
                    </w:rPr>
                    <w:t>挥发性物料会挥发进入大气，降低环境空气质量。</w:t>
                  </w:r>
                </w:p>
              </w:tc>
              <w:tc>
                <w:tcPr>
                  <w:tcW w:w="1305" w:type="dxa"/>
                  <w:vAlign w:val="center"/>
                </w:tcPr>
                <w:p>
                  <w:pPr>
                    <w:pStyle w:val="217"/>
                    <w:rPr>
                      <w:rFonts w:eastAsia="宋体"/>
                      <w:sz w:val="21"/>
                      <w:szCs w:val="18"/>
                    </w:rPr>
                  </w:pPr>
                  <w:r>
                    <w:rPr>
                      <w:rFonts w:eastAsia="宋体"/>
                      <w:sz w:val="21"/>
                      <w:szCs w:val="18"/>
                    </w:rPr>
                    <w:t>/</w:t>
                  </w:r>
                </w:p>
              </w:tc>
              <w:tc>
                <w:tcPr>
                  <w:tcW w:w="2649" w:type="dxa"/>
                  <w:gridSpan w:val="2"/>
                  <w:vAlign w:val="center"/>
                </w:tcPr>
                <w:p>
                  <w:pPr>
                    <w:pStyle w:val="217"/>
                    <w:rPr>
                      <w:rFonts w:eastAsia="宋体"/>
                      <w:sz w:val="21"/>
                      <w:szCs w:val="18"/>
                    </w:rPr>
                  </w:pPr>
                  <w:r>
                    <w:rPr>
                      <w:rFonts w:eastAsia="宋体"/>
                      <w:sz w:val="21"/>
                      <w:szCs w:val="18"/>
                    </w:rPr>
                    <w:t>切削液、清洗剂、丝印油墨、洗网水等泄漏污染土壤、地下水环境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92" w:type="dxa"/>
                  <w:vAlign w:val="center"/>
                </w:tcPr>
                <w:p>
                  <w:pPr>
                    <w:pStyle w:val="217"/>
                    <w:rPr>
                      <w:rFonts w:eastAsia="宋体"/>
                      <w:sz w:val="21"/>
                      <w:szCs w:val="18"/>
                    </w:rPr>
                  </w:pPr>
                  <w:r>
                    <w:rPr>
                      <w:rFonts w:eastAsia="宋体"/>
                      <w:sz w:val="21"/>
                      <w:szCs w:val="18"/>
                    </w:rPr>
                    <w:t>火灾、爆炸</w:t>
                  </w:r>
                </w:p>
              </w:tc>
              <w:tc>
                <w:tcPr>
                  <w:tcW w:w="3472" w:type="dxa"/>
                  <w:vAlign w:val="center"/>
                </w:tcPr>
                <w:p>
                  <w:pPr>
                    <w:pStyle w:val="217"/>
                    <w:rPr>
                      <w:rFonts w:eastAsia="宋体"/>
                      <w:sz w:val="21"/>
                      <w:szCs w:val="18"/>
                    </w:rPr>
                  </w:pPr>
                  <w:r>
                    <w:rPr>
                      <w:rFonts w:eastAsia="宋体"/>
                      <w:sz w:val="21"/>
                      <w:szCs w:val="21"/>
                    </w:rPr>
                    <w:t>化学品仓库、危废暂存间、切削液、清洗剂、丝印油墨、洗网水</w:t>
                  </w:r>
                  <w:r>
                    <w:rPr>
                      <w:rFonts w:eastAsia="宋体"/>
                      <w:sz w:val="21"/>
                      <w:szCs w:val="18"/>
                    </w:rPr>
                    <w:t>等泄露、火灾爆炸产生的伴生/次生污染物CO、挥发性有机物通过大气扩散影响周边大气环境质量。</w:t>
                  </w:r>
                </w:p>
              </w:tc>
              <w:tc>
                <w:tcPr>
                  <w:tcW w:w="1305" w:type="dxa"/>
                  <w:vAlign w:val="center"/>
                </w:tcPr>
                <w:p>
                  <w:pPr>
                    <w:pStyle w:val="217"/>
                    <w:rPr>
                      <w:rFonts w:eastAsia="宋体"/>
                      <w:sz w:val="21"/>
                      <w:szCs w:val="18"/>
                    </w:rPr>
                  </w:pPr>
                  <w:r>
                    <w:rPr>
                      <w:rFonts w:eastAsia="宋体"/>
                      <w:sz w:val="21"/>
                      <w:szCs w:val="18"/>
                    </w:rPr>
                    <w:t>/</w:t>
                  </w:r>
                </w:p>
              </w:tc>
              <w:tc>
                <w:tcPr>
                  <w:tcW w:w="1305" w:type="dxa"/>
                  <w:vAlign w:val="center"/>
                </w:tcPr>
                <w:p>
                  <w:pPr>
                    <w:pStyle w:val="217"/>
                    <w:rPr>
                      <w:rFonts w:eastAsia="宋体"/>
                      <w:sz w:val="21"/>
                      <w:szCs w:val="18"/>
                    </w:rPr>
                  </w:pPr>
                  <w:r>
                    <w:rPr>
                      <w:rFonts w:eastAsia="宋体"/>
                      <w:sz w:val="21"/>
                      <w:szCs w:val="18"/>
                    </w:rPr>
                    <w:t>/</w:t>
                  </w:r>
                </w:p>
              </w:tc>
              <w:tc>
                <w:tcPr>
                  <w:tcW w:w="1344" w:type="dxa"/>
                  <w:vAlign w:val="center"/>
                </w:tcPr>
                <w:p>
                  <w:pPr>
                    <w:pStyle w:val="217"/>
                    <w:rPr>
                      <w:rFonts w:eastAsia="宋体"/>
                      <w:sz w:val="21"/>
                      <w:szCs w:val="18"/>
                    </w:rPr>
                  </w:pPr>
                  <w:r>
                    <w:rPr>
                      <w:rFonts w:eastAsia="宋体"/>
                      <w:sz w:val="21"/>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92" w:type="dxa"/>
                  <w:vAlign w:val="center"/>
                </w:tcPr>
                <w:p>
                  <w:pPr>
                    <w:pStyle w:val="217"/>
                    <w:rPr>
                      <w:rFonts w:eastAsia="宋体"/>
                      <w:sz w:val="21"/>
                      <w:szCs w:val="18"/>
                    </w:rPr>
                  </w:pPr>
                  <w:r>
                    <w:rPr>
                      <w:rFonts w:eastAsia="宋体"/>
                      <w:sz w:val="21"/>
                      <w:szCs w:val="18"/>
                    </w:rPr>
                    <w:t>废气事故排放</w:t>
                  </w:r>
                </w:p>
              </w:tc>
              <w:tc>
                <w:tcPr>
                  <w:tcW w:w="3472" w:type="dxa"/>
                  <w:vAlign w:val="center"/>
                </w:tcPr>
                <w:p>
                  <w:pPr>
                    <w:pStyle w:val="217"/>
                    <w:rPr>
                      <w:rFonts w:eastAsia="宋体"/>
                      <w:sz w:val="21"/>
                      <w:szCs w:val="18"/>
                    </w:rPr>
                  </w:pPr>
                  <w:r>
                    <w:rPr>
                      <w:rFonts w:eastAsia="宋体"/>
                      <w:sz w:val="21"/>
                      <w:szCs w:val="18"/>
                    </w:rPr>
                    <w:t>废气处理装置故障，VOCs可能超标排放，对比正常工况下最大落地浓度将大大增加，降低周边环境空气质量。</w:t>
                  </w:r>
                </w:p>
              </w:tc>
              <w:tc>
                <w:tcPr>
                  <w:tcW w:w="1305" w:type="dxa"/>
                  <w:vAlign w:val="center"/>
                </w:tcPr>
                <w:p>
                  <w:pPr>
                    <w:pStyle w:val="217"/>
                    <w:rPr>
                      <w:rFonts w:eastAsia="宋体"/>
                      <w:sz w:val="21"/>
                      <w:szCs w:val="18"/>
                      <w:u w:val="single"/>
                    </w:rPr>
                  </w:pPr>
                  <w:r>
                    <w:rPr>
                      <w:rFonts w:eastAsia="宋体"/>
                      <w:sz w:val="21"/>
                      <w:szCs w:val="21"/>
                    </w:rPr>
                    <w:t>污水处理站事故排放污染周边地表水水质。</w:t>
                  </w:r>
                </w:p>
              </w:tc>
              <w:tc>
                <w:tcPr>
                  <w:tcW w:w="1305" w:type="dxa"/>
                  <w:vAlign w:val="center"/>
                </w:tcPr>
                <w:p>
                  <w:pPr>
                    <w:pStyle w:val="217"/>
                    <w:rPr>
                      <w:rFonts w:eastAsia="宋体"/>
                      <w:sz w:val="21"/>
                      <w:szCs w:val="18"/>
                      <w:u w:val="single"/>
                    </w:rPr>
                  </w:pPr>
                  <w:r>
                    <w:rPr>
                      <w:rFonts w:eastAsia="宋体"/>
                      <w:sz w:val="21"/>
                      <w:szCs w:val="21"/>
                    </w:rPr>
                    <w:t>污水处理站事故排放污染周边地下水水质。</w:t>
                  </w:r>
                </w:p>
              </w:tc>
              <w:tc>
                <w:tcPr>
                  <w:tcW w:w="1344" w:type="dxa"/>
                  <w:vAlign w:val="center"/>
                </w:tcPr>
                <w:p>
                  <w:pPr>
                    <w:pStyle w:val="217"/>
                    <w:rPr>
                      <w:rFonts w:eastAsia="宋体"/>
                      <w:sz w:val="21"/>
                      <w:szCs w:val="18"/>
                      <w:u w:val="single"/>
                    </w:rPr>
                  </w:pPr>
                  <w:r>
                    <w:rPr>
                      <w:rFonts w:eastAsia="宋体"/>
                      <w:sz w:val="21"/>
                      <w:szCs w:val="21"/>
                    </w:rPr>
                    <w:t>污水处理站事故排放污水下渗污染土壤环境。</w:t>
                  </w:r>
                </w:p>
              </w:tc>
            </w:tr>
          </w:tbl>
          <w:p>
            <w:pPr>
              <w:adjustRightInd w:val="0"/>
              <w:snapToGrid w:val="0"/>
              <w:spacing w:line="440" w:lineRule="exact"/>
              <w:ind w:firstLine="482" w:firstLineChars="200"/>
              <w:rPr>
                <w:rFonts w:ascii="Times New Roman" w:hAnsi="Times New Roman"/>
                <w:b/>
                <w:bCs/>
                <w:sz w:val="24"/>
              </w:rPr>
            </w:pPr>
            <w:r>
              <w:rPr>
                <w:rFonts w:ascii="Times New Roman" w:hAnsi="Times New Roman"/>
                <w:b/>
                <w:bCs/>
                <w:sz w:val="24"/>
              </w:rPr>
              <w:t>4、环境风险防范措施：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环境风险防范措施及应急要求</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为了减轻危险物品发生泄漏事故的危害后果、频率、影响程度和范围，达到同行业可接受水平，建设单位必须采取相应的风险防范措施，本评价提出以下建议：</w:t>
            </w:r>
          </w:p>
          <w:p>
            <w:pPr>
              <w:adjustRightInd w:val="0"/>
              <w:snapToGrid w:val="0"/>
              <w:spacing w:line="440" w:lineRule="exact"/>
              <w:ind w:firstLine="480" w:firstLineChars="200"/>
              <w:rPr>
                <w:rFonts w:ascii="Times New Roman" w:hAnsi="Times New Roman"/>
                <w:sz w:val="24"/>
              </w:rPr>
            </w:pPr>
            <w:r>
              <w:rPr>
                <w:rFonts w:hint="eastAsia" w:cs="宋体"/>
                <w:sz w:val="24"/>
              </w:rPr>
              <w:t>①</w:t>
            </w:r>
            <w:r>
              <w:rPr>
                <w:rFonts w:ascii="Times New Roman" w:hAnsi="Times New Roman"/>
                <w:sz w:val="24"/>
              </w:rPr>
              <w:t>总图布置和建筑安全方面</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在总平面布置中配套设置应急救援设施、救援通道、应急疏散避难所等防护措施。根据火灾危险性等级和防火、防爆要求，建筑物的防火等级均采用国家现行规范要求按一、二级耐火等级设计，满足建筑防火要求。凡禁火区均设置明显标识牌。各种易燃易爆物料储存于阴凉、通风处，远离火源。根据生产装置的特点，在生产车间按物料性质和人身可能意外接触到有害物质而引起烧伤、刺激或伤害皮肤的区域内，均设置紧急淋雨和洗眼器，并加以明显标记。并在装置区设置救护箱，工作人员配备必要的个人防护用品。</w:t>
            </w:r>
          </w:p>
          <w:p>
            <w:pPr>
              <w:adjustRightInd w:val="0"/>
              <w:snapToGrid w:val="0"/>
              <w:spacing w:line="440" w:lineRule="exact"/>
              <w:ind w:firstLine="480" w:firstLineChars="200"/>
              <w:rPr>
                <w:rFonts w:ascii="Times New Roman" w:hAnsi="Times New Roman"/>
                <w:sz w:val="24"/>
              </w:rPr>
            </w:pPr>
            <w:r>
              <w:rPr>
                <w:rFonts w:hint="eastAsia" w:cs="宋体"/>
                <w:sz w:val="24"/>
              </w:rPr>
              <w:t>②</w:t>
            </w:r>
            <w:r>
              <w:rPr>
                <w:rFonts w:ascii="Times New Roman" w:hAnsi="Times New Roman"/>
                <w:sz w:val="24"/>
              </w:rPr>
              <w:t>日常管理方面</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在日常生产过程中对物料的储存、使用等方面做好管理；操作人员必须经过专门培训，严格遵守操作规程。</w:t>
            </w:r>
          </w:p>
          <w:p>
            <w:pPr>
              <w:adjustRightInd w:val="0"/>
              <w:snapToGrid w:val="0"/>
              <w:spacing w:line="440" w:lineRule="exact"/>
              <w:ind w:firstLine="480" w:firstLineChars="200"/>
              <w:rPr>
                <w:rFonts w:ascii="Times New Roman" w:hAnsi="Times New Roman"/>
                <w:sz w:val="24"/>
              </w:rPr>
            </w:pPr>
            <w:r>
              <w:rPr>
                <w:rFonts w:hint="eastAsia" w:cs="宋体"/>
                <w:sz w:val="24"/>
              </w:rPr>
              <w:t>③</w:t>
            </w:r>
            <w:r>
              <w:rPr>
                <w:rFonts w:ascii="Times New Roman" w:hAnsi="Times New Roman"/>
                <w:sz w:val="24"/>
              </w:rPr>
              <w:t>废气事故性排放对策</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为了减轻本项目对周围大气环境的影响程度和范围，保证该地区的可持续发展，建设方须建立严格、规范的大气污染应急预案，加强废气净化设施的日常管理、维护。当废气处理设备出现故障不能正常运行时，应尽快停产进行维修，避免对周围环境造成污染影响。</w:t>
            </w:r>
          </w:p>
          <w:p>
            <w:pPr>
              <w:adjustRightInd w:val="0"/>
              <w:snapToGrid w:val="0"/>
              <w:spacing w:line="440" w:lineRule="exact"/>
              <w:ind w:firstLine="480" w:firstLineChars="200"/>
              <w:rPr>
                <w:rFonts w:ascii="Times New Roman" w:hAnsi="Times New Roman"/>
                <w:sz w:val="24"/>
              </w:rPr>
            </w:pPr>
            <w:r>
              <w:rPr>
                <w:rFonts w:hint="eastAsia" w:cs="宋体"/>
                <w:sz w:val="24"/>
              </w:rPr>
              <w:t>④</w:t>
            </w:r>
            <w:r>
              <w:rPr>
                <w:rFonts w:ascii="Times New Roman" w:hAnsi="Times New Roman"/>
                <w:sz w:val="24"/>
              </w:rPr>
              <w:t>制定严格的事故应急预案并经常演练使之启动运转及时，是减轻风险事故环境影响的有效措施。</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本项目通过采取相应的风险防范措施，可以将项目的环境风险水平降到较低的水平，因此本项目的风险水平在可接受的范围。</w:t>
            </w:r>
          </w:p>
          <w:p>
            <w:pPr>
              <w:adjustRightInd w:val="0"/>
              <w:snapToGrid w:val="0"/>
              <w:spacing w:line="360" w:lineRule="auto"/>
              <w:ind w:firstLine="472" w:firstLineChars="197"/>
              <w:rPr>
                <w:rFonts w:ascii="Times New Roman" w:hAnsi="Times New Roman"/>
                <w:sz w:val="24"/>
                <w:szCs w:val="24"/>
              </w:rPr>
            </w:pPr>
            <w:r>
              <w:rPr>
                <w:rFonts w:hint="eastAsia" w:cs="宋体"/>
                <w:sz w:val="24"/>
                <w:szCs w:val="24"/>
              </w:rPr>
              <w:t>⑤</w:t>
            </w:r>
            <w:r>
              <w:rPr>
                <w:rFonts w:ascii="Times New Roman" w:hAnsi="Times New Roman"/>
                <w:sz w:val="24"/>
                <w:szCs w:val="24"/>
              </w:rPr>
              <w:t>设置应急事故池</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由于</w:t>
            </w:r>
            <w:r>
              <w:rPr>
                <w:rFonts w:hint="eastAsia" w:ascii="Times New Roman" w:hAnsi="Times New Roman"/>
                <w:sz w:val="24"/>
                <w:szCs w:val="24"/>
              </w:rPr>
              <w:t>本</w:t>
            </w:r>
            <w:r>
              <w:rPr>
                <w:rFonts w:ascii="Times New Roman" w:hAnsi="Times New Roman"/>
                <w:sz w:val="24"/>
                <w:szCs w:val="24"/>
              </w:rPr>
              <w:t>项目未设置应急池，本项目综合考虑全厂设置1个200m</w:t>
            </w:r>
            <w:r>
              <w:rPr>
                <w:rFonts w:ascii="Times New Roman" w:hAnsi="Times New Roman"/>
                <w:sz w:val="24"/>
                <w:szCs w:val="24"/>
                <w:vertAlign w:val="superscript"/>
              </w:rPr>
              <w:t>3</w:t>
            </w:r>
            <w:r>
              <w:rPr>
                <w:rFonts w:ascii="Times New Roman" w:hAnsi="Times New Roman"/>
                <w:sz w:val="24"/>
                <w:szCs w:val="24"/>
              </w:rPr>
              <w:t>事故池，发生火灾事故时，关闭雨水阀门，将消防废水引入事故池和初期水池，集中处理，消除隐患后排放。</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参考《水体污染防控紧急措施设计导则》，事故储池总有效容积按下式计算：</w:t>
            </w:r>
          </w:p>
          <w:p>
            <w:pPr>
              <w:adjustRightInd w:val="0"/>
              <w:snapToGrid w:val="0"/>
              <w:spacing w:line="360" w:lineRule="auto"/>
              <w:jc w:val="center"/>
              <w:rPr>
                <w:rFonts w:ascii="Times New Roman" w:hAnsi="Times New Roman"/>
                <w:sz w:val="24"/>
                <w:szCs w:val="24"/>
                <w:lang w:val="en-US"/>
              </w:rPr>
            </w:pPr>
            <w:r>
              <w:rPr>
                <w:rFonts w:ascii="Times New Roman" w:hAnsi="Times New Roman"/>
                <w:sz w:val="24"/>
                <w:szCs w:val="24"/>
                <w:lang w:val="en-US"/>
              </w:rPr>
              <w:t>V=（V</w:t>
            </w:r>
            <w:r>
              <w:rPr>
                <w:rFonts w:ascii="Times New Roman" w:hAnsi="Times New Roman"/>
                <w:sz w:val="24"/>
                <w:szCs w:val="24"/>
                <w:vertAlign w:val="subscript"/>
                <w:lang w:val="en-US"/>
              </w:rPr>
              <w:t>1</w:t>
            </w:r>
            <w:r>
              <w:rPr>
                <w:rFonts w:ascii="Times New Roman" w:hAnsi="Times New Roman"/>
                <w:sz w:val="24"/>
                <w:szCs w:val="24"/>
                <w:lang w:val="en-US"/>
              </w:rPr>
              <w:t>+V</w:t>
            </w:r>
            <w:r>
              <w:rPr>
                <w:rFonts w:ascii="Times New Roman" w:hAnsi="Times New Roman"/>
                <w:sz w:val="24"/>
                <w:szCs w:val="24"/>
                <w:vertAlign w:val="subscript"/>
                <w:lang w:val="en-US"/>
              </w:rPr>
              <w:t>2</w:t>
            </w:r>
            <w:r>
              <w:rPr>
                <w:rFonts w:ascii="Times New Roman" w:hAnsi="Times New Roman"/>
                <w:sz w:val="24"/>
                <w:szCs w:val="24"/>
                <w:lang w:val="en-US"/>
              </w:rPr>
              <w:t>-V</w:t>
            </w:r>
            <w:r>
              <w:rPr>
                <w:rFonts w:ascii="Times New Roman" w:hAnsi="Times New Roman"/>
                <w:sz w:val="24"/>
                <w:szCs w:val="24"/>
                <w:vertAlign w:val="subscript"/>
                <w:lang w:val="en-US"/>
              </w:rPr>
              <w:t>3</w:t>
            </w:r>
            <w:r>
              <w:rPr>
                <w:rFonts w:ascii="Times New Roman" w:hAnsi="Times New Roman"/>
                <w:sz w:val="24"/>
                <w:szCs w:val="24"/>
                <w:lang w:val="en-US"/>
              </w:rPr>
              <w:t>）max+V</w:t>
            </w:r>
            <w:r>
              <w:rPr>
                <w:rFonts w:ascii="Times New Roman" w:hAnsi="Times New Roman"/>
                <w:sz w:val="24"/>
                <w:szCs w:val="24"/>
                <w:vertAlign w:val="subscript"/>
                <w:lang w:val="en-US"/>
              </w:rPr>
              <w:t>4</w:t>
            </w:r>
            <w:r>
              <w:rPr>
                <w:rFonts w:ascii="Times New Roman" w:hAnsi="Times New Roman"/>
                <w:sz w:val="24"/>
                <w:szCs w:val="24"/>
                <w:lang w:val="en-US"/>
              </w:rPr>
              <w:t>+V</w:t>
            </w:r>
            <w:r>
              <w:rPr>
                <w:rFonts w:ascii="Times New Roman" w:hAnsi="Times New Roman"/>
                <w:sz w:val="24"/>
                <w:szCs w:val="24"/>
                <w:vertAlign w:val="subscript"/>
                <w:lang w:val="en-US"/>
              </w:rPr>
              <w:t>5</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式中：（V</w:t>
            </w:r>
            <w:r>
              <w:rPr>
                <w:rFonts w:ascii="Times New Roman" w:hAnsi="Times New Roman"/>
                <w:sz w:val="24"/>
                <w:szCs w:val="24"/>
                <w:vertAlign w:val="subscript"/>
              </w:rPr>
              <w:t>1</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-V</w:t>
            </w:r>
            <w:r>
              <w:rPr>
                <w:rFonts w:ascii="Times New Roman" w:hAnsi="Times New Roman"/>
                <w:sz w:val="24"/>
                <w:szCs w:val="24"/>
                <w:vertAlign w:val="subscript"/>
              </w:rPr>
              <w:t>3</w:t>
            </w:r>
            <w:r>
              <w:rPr>
                <w:rFonts w:ascii="Times New Roman" w:hAnsi="Times New Roman"/>
                <w:sz w:val="24"/>
                <w:szCs w:val="24"/>
              </w:rPr>
              <w:t>）max 指对收集系统范围内不同装置分别计算V</w:t>
            </w:r>
            <w:r>
              <w:rPr>
                <w:rFonts w:ascii="Times New Roman" w:hAnsi="Times New Roman"/>
                <w:sz w:val="24"/>
                <w:szCs w:val="24"/>
                <w:vertAlign w:val="subscript"/>
              </w:rPr>
              <w:t>1</w:t>
            </w: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-V</w:t>
            </w:r>
            <w:r>
              <w:rPr>
                <w:rFonts w:ascii="Times New Roman" w:hAnsi="Times New Roman"/>
                <w:sz w:val="24"/>
                <w:szCs w:val="24"/>
                <w:vertAlign w:val="subscript"/>
              </w:rPr>
              <w:t>3</w:t>
            </w:r>
            <w:r>
              <w:rPr>
                <w:rFonts w:ascii="Times New Roman" w:hAnsi="Times New Roman"/>
                <w:sz w:val="24"/>
                <w:szCs w:val="24"/>
              </w:rPr>
              <w:t>，取其中最大值。</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1</w:t>
            </w:r>
            <w:r>
              <w:rPr>
                <w:rFonts w:ascii="Times New Roman" w:hAnsi="Times New Roman"/>
                <w:sz w:val="24"/>
                <w:szCs w:val="24"/>
              </w:rPr>
              <w:t>—收集系统范围内发生事故的一套装置的物料量，本项目工程建成后，考虑危废间废液泄漏，V</w:t>
            </w:r>
            <w:r>
              <w:rPr>
                <w:rFonts w:ascii="Times New Roman" w:hAnsi="Times New Roman"/>
                <w:sz w:val="24"/>
                <w:szCs w:val="24"/>
                <w:vertAlign w:val="subscript"/>
              </w:rPr>
              <w:t>1</w:t>
            </w:r>
            <w:r>
              <w:rPr>
                <w:rFonts w:ascii="Times New Roman" w:hAnsi="Times New Roman"/>
                <w:sz w:val="24"/>
                <w:szCs w:val="24"/>
              </w:rPr>
              <w:t>=15.433m</w:t>
            </w:r>
            <w:r>
              <w:rPr>
                <w:rFonts w:ascii="Times New Roman" w:hAnsi="Times New Roman"/>
                <w:sz w:val="24"/>
                <w:szCs w:val="24"/>
                <w:vertAlign w:val="superscript"/>
              </w:rPr>
              <w:t>3</w:t>
            </w:r>
            <w:r>
              <w:rPr>
                <w:rFonts w:ascii="Times New Roman" w:hAnsi="Times New Roman"/>
                <w:sz w:val="24"/>
                <w:szCs w:val="24"/>
              </w:rPr>
              <w:t>；；</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2</w:t>
            </w:r>
            <w:r>
              <w:rPr>
                <w:rFonts w:ascii="Times New Roman" w:hAnsi="Times New Roman"/>
                <w:sz w:val="24"/>
                <w:szCs w:val="24"/>
              </w:rPr>
              <w:t>—收集事故的储罐或装置的消防水量，m</w:t>
            </w:r>
            <w:r>
              <w:rPr>
                <w:rFonts w:ascii="Times New Roman" w:hAnsi="Times New Roman"/>
                <w:sz w:val="24"/>
                <w:szCs w:val="24"/>
                <w:vertAlign w:val="superscript"/>
              </w:rPr>
              <w:t>3</w:t>
            </w:r>
            <w:r>
              <w:rPr>
                <w:rFonts w:ascii="Times New Roman" w:hAnsi="Times New Roman"/>
                <w:sz w:val="24"/>
                <w:szCs w:val="24"/>
              </w:rPr>
              <w:t>，参照《消防给水及消火栓系统技术规范》（GB50974-2014）消防用水按照20L/s 计，灭火时间以1h 计，集水率按90%计，计算得V</w:t>
            </w:r>
            <w:r>
              <w:rPr>
                <w:rFonts w:ascii="Times New Roman" w:hAnsi="Times New Roman"/>
                <w:sz w:val="24"/>
                <w:szCs w:val="24"/>
                <w:vertAlign w:val="subscript"/>
              </w:rPr>
              <w:t>2</w:t>
            </w:r>
            <w:r>
              <w:rPr>
                <w:rFonts w:ascii="Times New Roman" w:hAnsi="Times New Roman"/>
                <w:sz w:val="24"/>
                <w:szCs w:val="24"/>
              </w:rPr>
              <w:t>=72m</w:t>
            </w:r>
            <w:r>
              <w:rPr>
                <w:rFonts w:ascii="Times New Roman" w:hAnsi="Times New Roman"/>
                <w:sz w:val="24"/>
                <w:szCs w:val="24"/>
                <w:vertAlign w:val="superscript"/>
              </w:rPr>
              <w:t>3</w:t>
            </w:r>
            <w:r>
              <w:rPr>
                <w:rFonts w:ascii="Times New Roman" w:hAnsi="Times New Roman"/>
                <w:sz w:val="24"/>
                <w:szCs w:val="24"/>
              </w:rPr>
              <w:t>；</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3</w:t>
            </w:r>
            <w:r>
              <w:rPr>
                <w:rFonts w:ascii="Times New Roman" w:hAnsi="Times New Roman"/>
                <w:sz w:val="24"/>
                <w:szCs w:val="24"/>
              </w:rPr>
              <w:t>—发生事故时可以转输到其他储存系统或处理设施的物料量，m</w:t>
            </w:r>
            <w:r>
              <w:rPr>
                <w:rFonts w:ascii="Times New Roman" w:hAnsi="Times New Roman"/>
                <w:sz w:val="24"/>
                <w:szCs w:val="24"/>
                <w:vertAlign w:val="superscript"/>
              </w:rPr>
              <w:t>3</w:t>
            </w:r>
            <w:r>
              <w:rPr>
                <w:rFonts w:ascii="Times New Roman" w:hAnsi="Times New Roman"/>
                <w:sz w:val="24"/>
                <w:szCs w:val="24"/>
              </w:rPr>
              <w:t>；</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4</w:t>
            </w:r>
            <w:r>
              <w:rPr>
                <w:rFonts w:ascii="Times New Roman" w:hAnsi="Times New Roman"/>
                <w:sz w:val="24"/>
                <w:szCs w:val="24"/>
              </w:rPr>
              <w:t>—发生事故时仍然必须进入该收集系统的生产废水量，m</w:t>
            </w:r>
            <w:r>
              <w:rPr>
                <w:rFonts w:ascii="Times New Roman" w:hAnsi="Times New Roman"/>
                <w:sz w:val="24"/>
                <w:szCs w:val="24"/>
                <w:vertAlign w:val="superscript"/>
              </w:rPr>
              <w:t>3</w:t>
            </w:r>
            <w:r>
              <w:rPr>
                <w:rFonts w:ascii="Times New Roman" w:hAnsi="Times New Roman"/>
                <w:sz w:val="24"/>
                <w:szCs w:val="24"/>
              </w:rPr>
              <w:t>，本项目没有必须进入该收集系统的生产废水量；</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vertAlign w:val="subscript"/>
              </w:rPr>
              <w:t>5</w:t>
            </w:r>
            <w:r>
              <w:rPr>
                <w:rFonts w:ascii="Times New Roman" w:hAnsi="Times New Roman"/>
                <w:sz w:val="24"/>
                <w:szCs w:val="24"/>
              </w:rPr>
              <w:t>—发生事故时可能进入该收集系统的降雨量，m</w:t>
            </w:r>
            <w:r>
              <w:rPr>
                <w:rFonts w:ascii="Times New Roman" w:hAnsi="Times New Roman"/>
                <w:sz w:val="24"/>
                <w:szCs w:val="24"/>
                <w:vertAlign w:val="superscript"/>
              </w:rPr>
              <w:t>3</w:t>
            </w:r>
            <w:r>
              <w:rPr>
                <w:rFonts w:ascii="Times New Roman" w:hAnsi="Times New Roman"/>
                <w:sz w:val="24"/>
                <w:szCs w:val="24"/>
              </w:rPr>
              <w:t>，根据初期雨水量核算，进入该收集系统的降雨量为100.4m</w:t>
            </w:r>
            <w:r>
              <w:rPr>
                <w:rFonts w:ascii="Times New Roman" w:hAnsi="Times New Roman"/>
                <w:sz w:val="24"/>
                <w:szCs w:val="24"/>
                <w:vertAlign w:val="superscript"/>
              </w:rPr>
              <w:t>3</w:t>
            </w:r>
            <w:r>
              <w:rPr>
                <w:rFonts w:ascii="Times New Roman" w:hAnsi="Times New Roman"/>
                <w:sz w:val="24"/>
                <w:szCs w:val="24"/>
              </w:rPr>
              <w:t>；</w:t>
            </w:r>
          </w:p>
          <w:p>
            <w:pPr>
              <w:adjustRightInd w:val="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根据我国城市暴雨强度查询表可知，淮南暴雨强度公式如下： </w:t>
            </w:r>
          </w:p>
          <w:p>
            <w:pPr>
              <w:adjustRightInd w:val="0"/>
              <w:spacing w:line="360" w:lineRule="auto"/>
              <w:jc w:val="center"/>
              <w:rPr>
                <w:rFonts w:ascii="Times New Roman" w:hAnsi="Times New Roman"/>
                <w:sz w:val="24"/>
                <w:szCs w:val="24"/>
              </w:rPr>
            </w:pPr>
            <w:r>
              <w:rPr>
                <w:rFonts w:ascii="Times New Roman" w:hAnsi="Times New Roman"/>
                <w:sz w:val="24"/>
                <w:szCs w:val="24"/>
                <w:lang w:val="en-US" w:bidi="ar-SA"/>
              </w:rPr>
              <w:drawing>
                <wp:inline distT="0" distB="0" distL="0" distR="0">
                  <wp:extent cx="2181860" cy="434340"/>
                  <wp:effectExtent l="0" t="0" r="889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81860" cy="434340"/>
                          </a:xfrm>
                          <a:prstGeom prst="rect">
                            <a:avLst/>
                          </a:prstGeom>
                          <a:noFill/>
                          <a:ln>
                            <a:noFill/>
                          </a:ln>
                          <a:effectLst/>
                        </pic:spPr>
                      </pic:pic>
                    </a:graphicData>
                  </a:graphic>
                </wp:inline>
              </w:drawing>
            </w:r>
          </w:p>
          <w:p>
            <w:pPr>
              <w:adjustRightInd w:val="0"/>
              <w:spacing w:line="360" w:lineRule="auto"/>
              <w:ind w:firstLine="480" w:firstLineChars="200"/>
              <w:jc w:val="both"/>
              <w:rPr>
                <w:rFonts w:ascii="Times New Roman" w:hAnsi="Times New Roman"/>
                <w:sz w:val="24"/>
                <w:szCs w:val="24"/>
              </w:rPr>
            </w:pPr>
            <w:r>
              <w:rPr>
                <w:rFonts w:ascii="Times New Roman" w:hAnsi="Times New Roman"/>
                <w:sz w:val="24"/>
                <w:szCs w:val="24"/>
              </w:rPr>
              <w:t>式中：i—设计暴雨强度，L/s.hm</w:t>
            </w:r>
            <w:r>
              <w:rPr>
                <w:rFonts w:ascii="Times New Roman" w:hAnsi="Times New Roman"/>
                <w:sz w:val="24"/>
                <w:szCs w:val="24"/>
                <w:vertAlign w:val="superscript"/>
              </w:rPr>
              <w:t>2</w:t>
            </w:r>
            <w:r>
              <w:rPr>
                <w:rFonts w:ascii="Times New Roman" w:hAnsi="Times New Roman"/>
                <w:sz w:val="24"/>
                <w:szCs w:val="24"/>
              </w:rPr>
              <w:t>；</w:t>
            </w:r>
          </w:p>
          <w:p>
            <w:pPr>
              <w:adjustRightInd w:val="0"/>
              <w:spacing w:line="360" w:lineRule="auto"/>
              <w:ind w:firstLine="1200" w:firstLineChars="500"/>
              <w:jc w:val="both"/>
              <w:rPr>
                <w:rFonts w:ascii="Times New Roman" w:hAnsi="Times New Roman"/>
                <w:sz w:val="24"/>
                <w:szCs w:val="24"/>
              </w:rPr>
            </w:pPr>
            <w:r>
              <w:rPr>
                <w:rFonts w:ascii="Times New Roman" w:hAnsi="Times New Roman"/>
                <w:sz w:val="24"/>
                <w:szCs w:val="24"/>
              </w:rPr>
              <w:t>P—设计重现期，a；</w:t>
            </w:r>
          </w:p>
          <w:p>
            <w:pPr>
              <w:adjustRightInd w:val="0"/>
              <w:spacing w:line="360" w:lineRule="auto"/>
              <w:ind w:firstLine="1200" w:firstLineChars="500"/>
              <w:jc w:val="both"/>
              <w:rPr>
                <w:rFonts w:ascii="Times New Roman" w:hAnsi="Times New Roman"/>
                <w:sz w:val="24"/>
                <w:szCs w:val="24"/>
              </w:rPr>
            </w:pPr>
            <w:r>
              <w:rPr>
                <w:rFonts w:ascii="Times New Roman" w:hAnsi="Times New Roman"/>
                <w:sz w:val="24"/>
                <w:szCs w:val="24"/>
              </w:rPr>
              <w:t>t—降雨历时，min。</w:t>
            </w:r>
          </w:p>
          <w:p>
            <w:pPr>
              <w:adjustRightInd w:val="0"/>
              <w:spacing w:line="360" w:lineRule="auto"/>
              <w:ind w:firstLine="480" w:firstLineChars="200"/>
              <w:jc w:val="both"/>
              <w:rPr>
                <w:rFonts w:ascii="Times New Roman" w:hAnsi="Times New Roman"/>
                <w:sz w:val="24"/>
                <w:szCs w:val="24"/>
              </w:rPr>
            </w:pPr>
            <w:r>
              <w:rPr>
                <w:rFonts w:ascii="Times New Roman" w:hAnsi="Times New Roman"/>
                <w:sz w:val="24"/>
                <w:szCs w:val="24"/>
              </w:rPr>
              <w:t>按P=3a，t=15min计算，得暴雨强度i=309.88L/s·hm</w:t>
            </w:r>
            <w:r>
              <w:rPr>
                <w:rFonts w:ascii="Times New Roman" w:hAnsi="Times New Roman"/>
                <w:sz w:val="24"/>
                <w:szCs w:val="24"/>
                <w:vertAlign w:val="superscript"/>
              </w:rPr>
              <w:t>2</w:t>
            </w:r>
            <w:r>
              <w:rPr>
                <w:rFonts w:ascii="Times New Roman" w:hAnsi="Times New Roman"/>
                <w:sz w:val="24"/>
                <w:szCs w:val="24"/>
              </w:rPr>
              <w:t>。</w:t>
            </w:r>
          </w:p>
          <w:p>
            <w:pPr>
              <w:adjustRightInd w:val="0"/>
              <w:spacing w:line="360" w:lineRule="auto"/>
              <w:ind w:firstLine="480" w:firstLineChars="200"/>
              <w:jc w:val="both"/>
              <w:rPr>
                <w:rFonts w:ascii="Times New Roman" w:hAnsi="Times New Roman"/>
                <w:sz w:val="24"/>
                <w:szCs w:val="24"/>
              </w:rPr>
            </w:pPr>
            <w:r>
              <w:rPr>
                <w:rFonts w:ascii="Times New Roman" w:hAnsi="Times New Roman"/>
                <w:sz w:val="24"/>
                <w:szCs w:val="24"/>
              </w:rPr>
              <w:t>本项目厂区地面全部硬化，根据《建筑给水排水设计标准》（GB50015-2019）5.3.13节混凝土和沥青路面雨水径流系数取0.9；项目收水面积为4000m</w:t>
            </w:r>
            <w:r>
              <w:rPr>
                <w:rFonts w:ascii="Times New Roman" w:hAnsi="Times New Roman"/>
                <w:sz w:val="24"/>
                <w:szCs w:val="24"/>
                <w:vertAlign w:val="superscript"/>
              </w:rPr>
              <w:t>2</w:t>
            </w:r>
            <w:r>
              <w:rPr>
                <w:rFonts w:ascii="Times New Roman" w:hAnsi="Times New Roman"/>
                <w:sz w:val="24"/>
                <w:szCs w:val="24"/>
              </w:rPr>
              <w:t>，径流系数取0.9，从而得出雨水设计流量为：111.56L/s。</w:t>
            </w:r>
          </w:p>
          <w:p>
            <w:pPr>
              <w:adjustRightInd w:val="0"/>
              <w:spacing w:line="360" w:lineRule="auto"/>
              <w:ind w:firstLine="480" w:firstLineChars="200"/>
              <w:jc w:val="both"/>
              <w:rPr>
                <w:rFonts w:ascii="Times New Roman" w:hAnsi="Times New Roman"/>
                <w:sz w:val="24"/>
                <w:szCs w:val="24"/>
              </w:rPr>
            </w:pPr>
            <w:r>
              <w:rPr>
                <w:rFonts w:ascii="Times New Roman" w:hAnsi="Times New Roman"/>
                <w:sz w:val="24"/>
                <w:szCs w:val="24"/>
              </w:rPr>
              <w:t>根据以上公式及参数计算，项目15分钟初期雨水量计算取值为100.4m</w:t>
            </w:r>
            <w:r>
              <w:rPr>
                <w:rFonts w:ascii="Times New Roman" w:hAnsi="Times New Roman"/>
                <w:sz w:val="24"/>
                <w:szCs w:val="24"/>
                <w:vertAlign w:val="superscript"/>
              </w:rPr>
              <w:t>3</w:t>
            </w:r>
            <w:r>
              <w:rPr>
                <w:rFonts w:ascii="Times New Roman" w:hAnsi="Times New Roman"/>
                <w:sz w:val="24"/>
                <w:szCs w:val="24"/>
              </w:rPr>
              <w:t>。</w:t>
            </w:r>
          </w:p>
          <w:p>
            <w:pPr>
              <w:pStyle w:val="15"/>
              <w:spacing w:line="360" w:lineRule="auto"/>
              <w:jc w:val="both"/>
              <w:rPr>
                <w:rFonts w:ascii="Times New Roman" w:hAnsi="Times New Roman" w:cs="Times New Roman"/>
              </w:rPr>
            </w:pPr>
            <w:r>
              <w:rPr>
                <w:rFonts w:ascii="Times New Roman" w:hAnsi="Times New Roman" w:cs="Times New Roman"/>
              </w:rPr>
              <w:t>雨水经集水沟收集前15分钟初期雨水至初期雨水池暂存。根据计算结果，本项目区域暴雨强度为初期雨水量100.4m</w:t>
            </w:r>
            <w:r>
              <w:rPr>
                <w:rFonts w:ascii="Times New Roman" w:hAnsi="Times New Roman" w:cs="Times New Roman"/>
                <w:vertAlign w:val="superscript"/>
              </w:rPr>
              <w:t>3</w:t>
            </w:r>
            <w:r>
              <w:rPr>
                <w:rFonts w:ascii="Times New Roman" w:hAnsi="Times New Roman" w:cs="Times New Roman"/>
              </w:rPr>
              <w:t>/次。</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综上所述，发生事故时，消防废水量为15.433m</w:t>
            </w:r>
            <w:r>
              <w:rPr>
                <w:rFonts w:ascii="Times New Roman" w:hAnsi="Times New Roman"/>
                <w:sz w:val="24"/>
                <w:szCs w:val="24"/>
                <w:vertAlign w:val="superscript"/>
              </w:rPr>
              <w:t>3</w:t>
            </w:r>
            <w:r>
              <w:rPr>
                <w:rFonts w:ascii="Times New Roman" w:hAnsi="Times New Roman"/>
                <w:sz w:val="24"/>
                <w:szCs w:val="24"/>
              </w:rPr>
              <w:t>+72m</w:t>
            </w:r>
            <w:r>
              <w:rPr>
                <w:rFonts w:ascii="Times New Roman" w:hAnsi="Times New Roman"/>
                <w:sz w:val="24"/>
                <w:szCs w:val="24"/>
                <w:vertAlign w:val="superscript"/>
              </w:rPr>
              <w:t>3</w:t>
            </w:r>
            <w:r>
              <w:rPr>
                <w:rFonts w:ascii="Times New Roman" w:hAnsi="Times New Roman"/>
                <w:sz w:val="24"/>
                <w:szCs w:val="24"/>
              </w:rPr>
              <w:t>+100.4m</w:t>
            </w:r>
            <w:r>
              <w:rPr>
                <w:rFonts w:ascii="Times New Roman" w:hAnsi="Times New Roman"/>
                <w:sz w:val="24"/>
                <w:szCs w:val="24"/>
                <w:vertAlign w:val="superscript"/>
              </w:rPr>
              <w:t>3</w:t>
            </w:r>
            <w:r>
              <w:rPr>
                <w:rFonts w:ascii="Times New Roman" w:hAnsi="Times New Roman"/>
                <w:sz w:val="24"/>
                <w:szCs w:val="24"/>
              </w:rPr>
              <w:t>+0 m</w:t>
            </w:r>
            <w:r>
              <w:rPr>
                <w:rFonts w:ascii="Times New Roman" w:hAnsi="Times New Roman"/>
                <w:sz w:val="24"/>
                <w:szCs w:val="24"/>
                <w:vertAlign w:val="superscript"/>
              </w:rPr>
              <w:t>3</w:t>
            </w:r>
            <w:r>
              <w:rPr>
                <w:rFonts w:ascii="Times New Roman" w:hAnsi="Times New Roman"/>
                <w:sz w:val="24"/>
                <w:szCs w:val="24"/>
              </w:rPr>
              <w:t>=187.833m</w:t>
            </w:r>
            <w:r>
              <w:rPr>
                <w:rFonts w:ascii="Times New Roman" w:hAnsi="Times New Roman"/>
                <w:sz w:val="24"/>
                <w:szCs w:val="24"/>
                <w:vertAlign w:val="superscript"/>
              </w:rPr>
              <w:t>3</w:t>
            </w:r>
            <w:r>
              <w:rPr>
                <w:rFonts w:ascii="Times New Roman" w:hAnsi="Times New Roman"/>
                <w:sz w:val="24"/>
                <w:szCs w:val="24"/>
              </w:rPr>
              <w:t>。</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因此建议本项目拟建的应急池容积为200m</w:t>
            </w:r>
            <w:r>
              <w:rPr>
                <w:rFonts w:ascii="Times New Roman" w:hAnsi="Times New Roman"/>
                <w:sz w:val="24"/>
                <w:szCs w:val="24"/>
                <w:vertAlign w:val="superscript"/>
              </w:rPr>
              <w:t>3</w:t>
            </w:r>
            <w:r>
              <w:rPr>
                <w:rFonts w:ascii="Times New Roman" w:hAnsi="Times New Roman"/>
                <w:sz w:val="24"/>
                <w:szCs w:val="24"/>
              </w:rPr>
              <w:t>，该应急事故池兼做初期雨水收集池，应急事故池容积能够满足应急要求。</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本项目建造雨水收集系统，厂房消防废水与厂房初期雨水共用收集系统，事故池兼初期雨水池出水口上设置切断阀。事故情况下，事故池入口阀门开启，切断排水沟与外界的通道，确保发生事故时产生的事故消防废水能够及时进入事故池，事故池内设有提升泵，能够将事故废水、受污染的雨水送至厂区污水处理设施处理；正常工况遇到降雨天气时，需及时关闭事故池入口阀门，便于未受污染的雨水外排。</w:t>
            </w:r>
          </w:p>
          <w:p>
            <w:pPr>
              <w:adjustRightInd w:val="0"/>
              <w:snapToGrid w:val="0"/>
              <w:spacing w:line="360" w:lineRule="auto"/>
              <w:ind w:firstLine="472" w:firstLineChars="197"/>
              <w:jc w:val="both"/>
              <w:rPr>
                <w:rFonts w:ascii="Times New Roman" w:hAnsi="Times New Roman"/>
                <w:sz w:val="24"/>
                <w:szCs w:val="24"/>
              </w:rPr>
            </w:pPr>
            <w:r>
              <w:rPr>
                <w:rFonts w:ascii="Times New Roman" w:hAnsi="Times New Roman"/>
                <w:sz w:val="24"/>
                <w:szCs w:val="24"/>
              </w:rPr>
              <w:t>因此，项目拟设置200m</w:t>
            </w:r>
            <w:r>
              <w:rPr>
                <w:rFonts w:ascii="Times New Roman" w:hAnsi="Times New Roman"/>
                <w:sz w:val="24"/>
                <w:szCs w:val="24"/>
                <w:vertAlign w:val="superscript"/>
              </w:rPr>
              <w:t>3</w:t>
            </w:r>
            <w:r>
              <w:rPr>
                <w:rFonts w:ascii="Times New Roman" w:hAnsi="Times New Roman"/>
                <w:sz w:val="24"/>
                <w:szCs w:val="24"/>
              </w:rPr>
              <w:t>的事故应急池。一旦发生故障，须按照事故情形确保将收集的消防废水等事故废水引流排入应急水池暂存，再根据事故处理情况采取相应处理措施，若1天之内故障仍未排除，企业必须停产，待故障排除时才能恢复生产。从而保证项目各应急水池发挥相应作用，确保各废水不外排。事故后检测消防废水水质，如果消防水污染，应作为废液由厂区污水处理系统或委托有资质的单位进行处理。</w:t>
            </w:r>
          </w:p>
          <w:p>
            <w:pPr>
              <w:adjustRightInd w:val="0"/>
              <w:snapToGrid w:val="0"/>
              <w:spacing w:line="440" w:lineRule="exact"/>
              <w:ind w:firstLine="482" w:firstLineChars="200"/>
              <w:rPr>
                <w:rFonts w:ascii="Times New Roman" w:hAnsi="Times New Roman"/>
                <w:b/>
                <w:bCs/>
                <w:sz w:val="24"/>
                <w:lang w:bidi="ar"/>
              </w:rPr>
            </w:pPr>
            <w:r>
              <w:rPr>
                <w:rFonts w:ascii="Times New Roman" w:hAnsi="Times New Roman"/>
                <w:b/>
                <w:bCs/>
                <w:sz w:val="24"/>
                <w:lang w:bidi="ar"/>
              </w:rPr>
              <w:t>八、排污口规范化设置</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按照《安徽省污染源排放口规范化整治管理办法》（环法函[2005]114号），排污口规范化整治应遵循便于采集样品，便于计量监测，便于日常现场监督检查的原则，建设项目按有关规定对排污口施行规范化管理，在各排污口和污染物排放电源竖立标志牌，建立管理档案。</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（1）废气排放口规范化</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废气排放口必须符合规定的高度和按照《污染源监测技术规范》便于采样、监测的要求，设置直径不大于75mm的采样口。如无法满足要求的，其采样口与环境监测部门共同确认。</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（2）污水排放口规范化</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应在厂区总排口处设置标志牌，应符合“一明显，二合理，三便于”的要求，设置合理，便于采取水样。</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（3）固定噪声污染源规范化整治</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参照《工业企业厂界环境噪声排放标准》（GB12348－2008）的规定，定期监测，设置环境噪声监测点，并在该处附近醒目处设置环境保护图形标志牌。</w:t>
            </w:r>
          </w:p>
          <w:p>
            <w:pPr>
              <w:adjustRightInd w:val="0"/>
              <w:snapToGrid w:val="0"/>
              <w:spacing w:line="440" w:lineRule="exact"/>
              <w:ind w:firstLine="480" w:firstLineChars="200"/>
              <w:jc w:val="both"/>
              <w:rPr>
                <w:rFonts w:ascii="Times New Roman" w:hAnsi="Times New Roman"/>
                <w:sz w:val="24"/>
              </w:rPr>
            </w:pPr>
            <w:r>
              <w:rPr>
                <w:rFonts w:ascii="Times New Roman" w:hAnsi="Times New Roman"/>
                <w:sz w:val="24"/>
              </w:rPr>
              <w:t>（4）固体废物：对于一般固体废物应设置专用贮存、堆放场地。各类固体废物贮存场所均应设置醒目的标志牌。</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（5）环境保护图形标志</w:t>
            </w:r>
          </w:p>
          <w:p>
            <w:pPr>
              <w:adjustRightInd w:val="0"/>
              <w:snapToGrid w:val="0"/>
              <w:spacing w:line="440" w:lineRule="exact"/>
              <w:ind w:firstLine="480" w:firstLineChars="200"/>
              <w:rPr>
                <w:rFonts w:ascii="Times New Roman" w:hAnsi="Times New Roman"/>
                <w:sz w:val="24"/>
              </w:rPr>
            </w:pPr>
            <w:r>
              <w:rPr>
                <w:rFonts w:ascii="Times New Roman" w:hAnsi="Times New Roman"/>
                <w:sz w:val="24"/>
              </w:rPr>
              <w:t>在厂区的废气排放源、固体废物贮存处置场应设置环境保护图形标志，图形符号分为提示图形和警告图形符号两种，分别按GB15562.1-1995、GB15562.2-1995执行。环境保护图形标志的形状及颜色见下表，环境保护图形符号见下表。</w:t>
            </w:r>
          </w:p>
          <w:p>
            <w:pPr>
              <w:pStyle w:val="119"/>
              <w:spacing w:line="440" w:lineRule="exact"/>
              <w:ind w:left="288"/>
              <w:rPr>
                <w:rFonts w:cs="Times New Roman"/>
              </w:rPr>
            </w:pPr>
            <w:r>
              <w:rPr>
                <w:rFonts w:cs="Times New Roman"/>
              </w:rPr>
              <w:t>表4-25环境保护图形标志的形状及颜色表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3"/>
              <w:gridCol w:w="2193"/>
              <w:gridCol w:w="2195"/>
              <w:gridCol w:w="2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3" w:hRule="atLeast"/>
                <w:jc w:val="center"/>
              </w:trPr>
              <w:tc>
                <w:tcPr>
                  <w:tcW w:w="1277" w:type="pct"/>
                  <w:vAlign w:val="center"/>
                </w:tcPr>
                <w:p>
                  <w:pPr>
                    <w:adjustRightInd w:val="0"/>
                    <w:snapToGrid w:val="0"/>
                    <w:jc w:val="center"/>
                    <w:rPr>
                      <w:rFonts w:ascii="Times New Roman" w:hAnsi="Times New Roman"/>
                      <w:b/>
                      <w:bCs/>
                    </w:rPr>
                  </w:pPr>
                  <w:r>
                    <w:rPr>
                      <w:rFonts w:ascii="Times New Roman" w:hAnsi="Times New Roman"/>
                      <w:b/>
                      <w:bCs/>
                    </w:rPr>
                    <w:t>标志名称</w:t>
                  </w:r>
                </w:p>
              </w:tc>
              <w:tc>
                <w:tcPr>
                  <w:tcW w:w="1277" w:type="pct"/>
                  <w:vAlign w:val="center"/>
                </w:tcPr>
                <w:p>
                  <w:pPr>
                    <w:adjustRightInd w:val="0"/>
                    <w:snapToGrid w:val="0"/>
                    <w:jc w:val="center"/>
                    <w:rPr>
                      <w:rFonts w:ascii="Times New Roman" w:hAnsi="Times New Roman"/>
                      <w:b/>
                      <w:bCs/>
                    </w:rPr>
                  </w:pPr>
                  <w:r>
                    <w:rPr>
                      <w:rFonts w:ascii="Times New Roman" w:hAnsi="Times New Roman"/>
                      <w:b/>
                      <w:bCs/>
                    </w:rPr>
                    <w:t>形状</w:t>
                  </w:r>
                </w:p>
              </w:tc>
              <w:tc>
                <w:tcPr>
                  <w:tcW w:w="1278" w:type="pct"/>
                  <w:vAlign w:val="center"/>
                </w:tcPr>
                <w:p>
                  <w:pPr>
                    <w:adjustRightInd w:val="0"/>
                    <w:snapToGrid w:val="0"/>
                    <w:jc w:val="center"/>
                    <w:rPr>
                      <w:rFonts w:ascii="Times New Roman" w:hAnsi="Times New Roman"/>
                      <w:b/>
                      <w:bCs/>
                    </w:rPr>
                  </w:pPr>
                  <w:r>
                    <w:rPr>
                      <w:rFonts w:ascii="Times New Roman" w:hAnsi="Times New Roman"/>
                      <w:b/>
                      <w:bCs/>
                    </w:rPr>
                    <w:t>背景颜色</w:t>
                  </w:r>
                </w:p>
              </w:tc>
              <w:tc>
                <w:tcPr>
                  <w:tcW w:w="1168" w:type="pct"/>
                  <w:vAlign w:val="center"/>
                </w:tcPr>
                <w:p>
                  <w:pPr>
                    <w:adjustRightInd w:val="0"/>
                    <w:snapToGrid w:val="0"/>
                    <w:jc w:val="center"/>
                    <w:rPr>
                      <w:rFonts w:ascii="Times New Roman" w:hAnsi="Times New Roman"/>
                      <w:b/>
                      <w:bCs/>
                    </w:rPr>
                  </w:pPr>
                  <w:r>
                    <w:rPr>
                      <w:rFonts w:ascii="Times New Roman" w:hAnsi="Times New Roman"/>
                      <w:b/>
                      <w:bCs/>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77" w:type="pct"/>
                  <w:vAlign w:val="center"/>
                </w:tcPr>
                <w:p>
                  <w:pPr>
                    <w:adjustRightInd w:val="0"/>
                    <w:snapToGrid w:val="0"/>
                    <w:jc w:val="center"/>
                    <w:rPr>
                      <w:rFonts w:ascii="Times New Roman" w:hAnsi="Times New Roman"/>
                    </w:rPr>
                  </w:pPr>
                  <w:r>
                    <w:rPr>
                      <w:rFonts w:ascii="Times New Roman" w:hAnsi="Times New Roman"/>
                    </w:rPr>
                    <w:t>警告标志</w:t>
                  </w:r>
                </w:p>
              </w:tc>
              <w:tc>
                <w:tcPr>
                  <w:tcW w:w="1277" w:type="pct"/>
                  <w:vAlign w:val="center"/>
                </w:tcPr>
                <w:p>
                  <w:pPr>
                    <w:adjustRightInd w:val="0"/>
                    <w:snapToGrid w:val="0"/>
                    <w:jc w:val="center"/>
                    <w:rPr>
                      <w:rFonts w:ascii="Times New Roman" w:hAnsi="Times New Roman"/>
                    </w:rPr>
                  </w:pPr>
                  <w:r>
                    <w:rPr>
                      <w:rFonts w:ascii="Times New Roman" w:hAnsi="Times New Roman"/>
                    </w:rPr>
                    <w:t>三角形边框</w:t>
                  </w:r>
                </w:p>
              </w:tc>
              <w:tc>
                <w:tcPr>
                  <w:tcW w:w="1278" w:type="pct"/>
                  <w:vAlign w:val="center"/>
                </w:tcPr>
                <w:p>
                  <w:pPr>
                    <w:adjustRightInd w:val="0"/>
                    <w:snapToGrid w:val="0"/>
                    <w:jc w:val="center"/>
                    <w:rPr>
                      <w:rFonts w:ascii="Times New Roman" w:hAnsi="Times New Roman"/>
                    </w:rPr>
                  </w:pPr>
                  <w:r>
                    <w:rPr>
                      <w:rFonts w:ascii="Times New Roman" w:hAnsi="Times New Roman"/>
                    </w:rPr>
                    <w:t>黄色</w:t>
                  </w:r>
                </w:p>
              </w:tc>
              <w:tc>
                <w:tcPr>
                  <w:tcW w:w="1168" w:type="pct"/>
                  <w:vAlign w:val="center"/>
                </w:tcPr>
                <w:p>
                  <w:pPr>
                    <w:adjustRightInd w:val="0"/>
                    <w:snapToGrid w:val="0"/>
                    <w:jc w:val="center"/>
                    <w:rPr>
                      <w:rFonts w:ascii="Times New Roman" w:hAnsi="Times New Roman"/>
                    </w:rPr>
                  </w:pPr>
                  <w:r>
                    <w:rPr>
                      <w:rFonts w:ascii="Times New Roman" w:hAnsi="Times New Roman"/>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77" w:type="pct"/>
                  <w:vAlign w:val="center"/>
                </w:tcPr>
                <w:p>
                  <w:pPr>
                    <w:adjustRightInd w:val="0"/>
                    <w:snapToGrid w:val="0"/>
                    <w:jc w:val="center"/>
                    <w:rPr>
                      <w:rFonts w:ascii="Times New Roman" w:hAnsi="Times New Roman"/>
                    </w:rPr>
                  </w:pPr>
                  <w:r>
                    <w:rPr>
                      <w:rFonts w:ascii="Times New Roman" w:hAnsi="Times New Roman"/>
                    </w:rPr>
                    <w:t>提示标志</w:t>
                  </w:r>
                </w:p>
              </w:tc>
              <w:tc>
                <w:tcPr>
                  <w:tcW w:w="1277" w:type="pct"/>
                  <w:vAlign w:val="center"/>
                </w:tcPr>
                <w:p>
                  <w:pPr>
                    <w:adjustRightInd w:val="0"/>
                    <w:snapToGrid w:val="0"/>
                    <w:jc w:val="center"/>
                    <w:rPr>
                      <w:rFonts w:ascii="Times New Roman" w:hAnsi="Times New Roman"/>
                    </w:rPr>
                  </w:pPr>
                  <w:r>
                    <w:rPr>
                      <w:rFonts w:ascii="Times New Roman" w:hAnsi="Times New Roman"/>
                    </w:rPr>
                    <w:t>正方形边框</w:t>
                  </w:r>
                </w:p>
              </w:tc>
              <w:tc>
                <w:tcPr>
                  <w:tcW w:w="1278" w:type="pct"/>
                  <w:vAlign w:val="center"/>
                </w:tcPr>
                <w:p>
                  <w:pPr>
                    <w:adjustRightInd w:val="0"/>
                    <w:snapToGrid w:val="0"/>
                    <w:jc w:val="center"/>
                    <w:rPr>
                      <w:rFonts w:ascii="Times New Roman" w:hAnsi="Times New Roman"/>
                    </w:rPr>
                  </w:pPr>
                  <w:r>
                    <w:rPr>
                      <w:rFonts w:ascii="Times New Roman" w:hAnsi="Times New Roman"/>
                    </w:rPr>
                    <w:t>绿色</w:t>
                  </w:r>
                </w:p>
              </w:tc>
              <w:tc>
                <w:tcPr>
                  <w:tcW w:w="1168" w:type="pct"/>
                  <w:vAlign w:val="center"/>
                </w:tcPr>
                <w:p>
                  <w:pPr>
                    <w:adjustRightInd w:val="0"/>
                    <w:snapToGrid w:val="0"/>
                    <w:jc w:val="center"/>
                    <w:rPr>
                      <w:rFonts w:ascii="Times New Roman" w:hAnsi="Times New Roman"/>
                    </w:rPr>
                  </w:pPr>
                  <w:r>
                    <w:rPr>
                      <w:rFonts w:ascii="Times New Roman" w:hAnsi="Times New Roman"/>
                    </w:rPr>
                    <w:t>白色</w:t>
                  </w:r>
                </w:p>
              </w:tc>
            </w:tr>
          </w:tbl>
          <w:p>
            <w:pPr>
              <w:pStyle w:val="119"/>
              <w:spacing w:line="440" w:lineRule="exact"/>
              <w:ind w:left="288"/>
              <w:rPr>
                <w:rFonts w:cs="Times New Roman"/>
              </w:rPr>
            </w:pPr>
            <w:r>
              <w:rPr>
                <w:rFonts w:cs="Times New Roman"/>
              </w:rPr>
              <w:t>表4-26环境保护图形符号一览表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925"/>
              <w:gridCol w:w="1747"/>
              <w:gridCol w:w="1503"/>
              <w:gridCol w:w="25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pPr>
                    <w:adjustRightInd w:val="0"/>
                    <w:snapToGrid w:val="0"/>
                    <w:jc w:val="center"/>
                    <w:rPr>
                      <w:rFonts w:ascii="Times New Roman" w:hAnsi="Times New Roman"/>
                      <w:b/>
                      <w:bCs/>
                    </w:rPr>
                  </w:pPr>
                  <w:r>
                    <w:rPr>
                      <w:rFonts w:ascii="Times New Roman" w:hAnsi="Times New Roman"/>
                      <w:b/>
                      <w:bCs/>
                    </w:rPr>
                    <w:t>序号</w:t>
                  </w:r>
                </w:p>
              </w:tc>
              <w:tc>
                <w:tcPr>
                  <w:tcW w:w="1121" w:type="pct"/>
                  <w:vAlign w:val="center"/>
                </w:tcPr>
                <w:p>
                  <w:pPr>
                    <w:adjustRightInd w:val="0"/>
                    <w:snapToGrid w:val="0"/>
                    <w:jc w:val="center"/>
                    <w:rPr>
                      <w:rFonts w:ascii="Times New Roman" w:hAnsi="Times New Roman"/>
                      <w:b/>
                      <w:bCs/>
                    </w:rPr>
                  </w:pPr>
                  <w:r>
                    <w:rPr>
                      <w:rFonts w:ascii="Times New Roman" w:hAnsi="Times New Roman"/>
                      <w:b/>
                      <w:bCs/>
                    </w:rPr>
                    <w:t>提示图形符号</w:t>
                  </w:r>
                </w:p>
              </w:tc>
              <w:tc>
                <w:tcPr>
                  <w:tcW w:w="1017" w:type="pct"/>
                  <w:vAlign w:val="center"/>
                </w:tcPr>
                <w:p>
                  <w:pPr>
                    <w:adjustRightInd w:val="0"/>
                    <w:snapToGrid w:val="0"/>
                    <w:jc w:val="center"/>
                    <w:rPr>
                      <w:rFonts w:ascii="Times New Roman" w:hAnsi="Times New Roman"/>
                      <w:b/>
                      <w:bCs/>
                    </w:rPr>
                  </w:pPr>
                  <w:r>
                    <w:rPr>
                      <w:rFonts w:ascii="Times New Roman" w:hAnsi="Times New Roman"/>
                      <w:b/>
                      <w:bCs/>
                    </w:rPr>
                    <w:t>警告图形符号</w:t>
                  </w:r>
                </w:p>
              </w:tc>
              <w:tc>
                <w:tcPr>
                  <w:tcW w:w="875" w:type="pct"/>
                  <w:vAlign w:val="center"/>
                </w:tcPr>
                <w:p>
                  <w:pPr>
                    <w:adjustRightInd w:val="0"/>
                    <w:snapToGrid w:val="0"/>
                    <w:jc w:val="center"/>
                    <w:rPr>
                      <w:rFonts w:ascii="Times New Roman" w:hAnsi="Times New Roman"/>
                      <w:b/>
                      <w:bCs/>
                    </w:rPr>
                  </w:pPr>
                  <w:r>
                    <w:rPr>
                      <w:rFonts w:ascii="Times New Roman" w:hAnsi="Times New Roman"/>
                      <w:b/>
                      <w:bCs/>
                    </w:rPr>
                    <w:t>名称</w:t>
                  </w:r>
                </w:p>
              </w:tc>
              <w:tc>
                <w:tcPr>
                  <w:tcW w:w="1507" w:type="pct"/>
                  <w:vAlign w:val="center"/>
                </w:tcPr>
                <w:p>
                  <w:pPr>
                    <w:adjustRightInd w:val="0"/>
                    <w:snapToGrid w:val="0"/>
                    <w:jc w:val="center"/>
                    <w:rPr>
                      <w:rFonts w:ascii="Times New Roman" w:hAnsi="Times New Roman"/>
                      <w:b/>
                      <w:bCs/>
                    </w:rPr>
                  </w:pPr>
                  <w:r>
                    <w:rPr>
                      <w:rFonts w:ascii="Times New Roman" w:hAnsi="Times New Roman"/>
                      <w:b/>
                      <w:bCs/>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pPr>
                    <w:adjustRightInd w:val="0"/>
                    <w:snapToGrid w:val="0"/>
                    <w:jc w:val="center"/>
                    <w:rPr>
                      <w:rFonts w:ascii="Times New Roman" w:hAnsi="Times New Roman"/>
                    </w:rPr>
                  </w:pPr>
                  <w:r>
                    <w:rPr>
                      <w:rFonts w:ascii="Times New Roman" w:hAnsi="Times New Roman"/>
                    </w:rPr>
                    <w:t>1</w:t>
                  </w:r>
                </w:p>
              </w:tc>
              <w:tc>
                <w:tcPr>
                  <w:tcW w:w="1121" w:type="pct"/>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94690" cy="694690"/>
                        <wp:effectExtent l="0" t="0" r="0" b="0"/>
                        <wp:docPr id="21" name="图片 7"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13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94690" cy="694690"/>
                                </a:xfrm>
                                <a:prstGeom prst="rect">
                                  <a:avLst/>
                                </a:prstGeom>
                                <a:noFill/>
                                <a:ln>
                                  <a:noFill/>
                                </a:ln>
                              </pic:spPr>
                            </pic:pic>
                          </a:graphicData>
                        </a:graphic>
                      </wp:inline>
                    </w:drawing>
                  </w:r>
                </w:p>
              </w:tc>
              <w:tc>
                <w:tcPr>
                  <w:tcW w:w="1017" w:type="pct"/>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94690"/>
                        <wp:effectExtent l="0" t="0" r="0" b="0"/>
                        <wp:docPr id="22" name="图片 39"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9" descr="13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85800" cy="694690"/>
                                </a:xfrm>
                                <a:prstGeom prst="rect">
                                  <a:avLst/>
                                </a:prstGeom>
                                <a:noFill/>
                                <a:ln>
                                  <a:noFill/>
                                </a:ln>
                              </pic:spPr>
                            </pic:pic>
                          </a:graphicData>
                        </a:graphic>
                      </wp:inline>
                    </w:drawing>
                  </w:r>
                </w:p>
              </w:tc>
              <w:tc>
                <w:tcPr>
                  <w:tcW w:w="875" w:type="pct"/>
                  <w:vAlign w:val="center"/>
                </w:tcPr>
                <w:p>
                  <w:pPr>
                    <w:adjustRightInd w:val="0"/>
                    <w:snapToGrid w:val="0"/>
                    <w:jc w:val="center"/>
                    <w:rPr>
                      <w:rFonts w:ascii="Times New Roman" w:hAnsi="Times New Roman"/>
                    </w:rPr>
                  </w:pPr>
                  <w:r>
                    <w:rPr>
                      <w:rFonts w:ascii="Times New Roman" w:hAnsi="Times New Roman"/>
                    </w:rPr>
                    <w:t>废水排放口</w:t>
                  </w:r>
                </w:p>
              </w:tc>
              <w:tc>
                <w:tcPr>
                  <w:tcW w:w="1507" w:type="pct"/>
                  <w:vAlign w:val="center"/>
                </w:tcPr>
                <w:p>
                  <w:pPr>
                    <w:adjustRightInd w:val="0"/>
                    <w:snapToGrid w:val="0"/>
                    <w:jc w:val="center"/>
                    <w:rPr>
                      <w:rFonts w:ascii="Times New Roman" w:hAnsi="Times New Roman"/>
                    </w:rPr>
                  </w:pPr>
                  <w:r>
                    <w:rPr>
                      <w:rFonts w:ascii="Times New Roman" w:hAnsi="Times New Roman"/>
                    </w:rPr>
                    <w:t>表示废水向水体排放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pPr>
                    <w:adjustRightInd w:val="0"/>
                    <w:snapToGrid w:val="0"/>
                    <w:jc w:val="center"/>
                    <w:rPr>
                      <w:rFonts w:ascii="Times New Roman" w:hAnsi="Times New Roman"/>
                    </w:rPr>
                  </w:pPr>
                  <w:r>
                    <w:rPr>
                      <w:rFonts w:ascii="Times New Roman" w:hAnsi="Times New Roman"/>
                    </w:rPr>
                    <w:t>2</w:t>
                  </w:r>
                </w:p>
              </w:tc>
              <w:tc>
                <w:tcPr>
                  <w:tcW w:w="1121" w:type="pct"/>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12775"/>
                        <wp:effectExtent l="0" t="0" r="0" b="0"/>
                        <wp:docPr id="23" name="图片 40" descr="13003"/>
                        <wp:cNvGraphicFramePr/>
                        <a:graphic xmlns:a="http://schemas.openxmlformats.org/drawingml/2006/main">
                          <a:graphicData uri="http://schemas.openxmlformats.org/drawingml/2006/picture">
                            <pic:pic xmlns:pic="http://schemas.openxmlformats.org/drawingml/2006/picture">
                              <pic:nvPicPr>
                                <pic:cNvPr id="23" name="图片 40" descr="1300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85800" cy="612775"/>
                                </a:xfrm>
                                <a:prstGeom prst="rect">
                                  <a:avLst/>
                                </a:prstGeom>
                                <a:noFill/>
                                <a:ln>
                                  <a:noFill/>
                                </a:ln>
                              </pic:spPr>
                            </pic:pic>
                          </a:graphicData>
                        </a:graphic>
                      </wp:inline>
                    </w:drawing>
                  </w:r>
                </w:p>
              </w:tc>
              <w:tc>
                <w:tcPr>
                  <w:tcW w:w="1017" w:type="pct"/>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12775"/>
                        <wp:effectExtent l="0" t="0" r="0" b="0"/>
                        <wp:docPr id="24" name="图片 61" descr="4"/>
                        <wp:cNvGraphicFramePr/>
                        <a:graphic xmlns:a="http://schemas.openxmlformats.org/drawingml/2006/main">
                          <a:graphicData uri="http://schemas.openxmlformats.org/drawingml/2006/picture">
                            <pic:pic xmlns:pic="http://schemas.openxmlformats.org/drawingml/2006/picture">
                              <pic:nvPicPr>
                                <pic:cNvPr id="24" name="图片 61" descr="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85800" cy="612775"/>
                                </a:xfrm>
                                <a:prstGeom prst="rect">
                                  <a:avLst/>
                                </a:prstGeom>
                                <a:noFill/>
                                <a:ln>
                                  <a:noFill/>
                                </a:ln>
                              </pic:spPr>
                            </pic:pic>
                          </a:graphicData>
                        </a:graphic>
                      </wp:inline>
                    </w:drawing>
                  </w:r>
                </w:p>
              </w:tc>
              <w:tc>
                <w:tcPr>
                  <w:tcW w:w="875" w:type="pct"/>
                  <w:vAlign w:val="center"/>
                </w:tcPr>
                <w:p>
                  <w:pPr>
                    <w:adjustRightInd w:val="0"/>
                    <w:snapToGrid w:val="0"/>
                    <w:jc w:val="center"/>
                    <w:rPr>
                      <w:rFonts w:ascii="Times New Roman" w:hAnsi="Times New Roman"/>
                    </w:rPr>
                  </w:pPr>
                  <w:r>
                    <w:rPr>
                      <w:rFonts w:ascii="Times New Roman" w:hAnsi="Times New Roman"/>
                    </w:rPr>
                    <w:t>废气排放口</w:t>
                  </w:r>
                </w:p>
              </w:tc>
              <w:tc>
                <w:tcPr>
                  <w:tcW w:w="1507" w:type="pct"/>
                  <w:vAlign w:val="center"/>
                </w:tcPr>
                <w:p>
                  <w:pPr>
                    <w:adjustRightInd w:val="0"/>
                    <w:snapToGrid w:val="0"/>
                    <w:jc w:val="center"/>
                    <w:rPr>
                      <w:rFonts w:ascii="Times New Roman" w:hAnsi="Times New Roman"/>
                    </w:rPr>
                  </w:pPr>
                  <w:r>
                    <w:rPr>
                      <w:rFonts w:ascii="Times New Roman" w:hAnsi="Times New Roman"/>
                    </w:rPr>
                    <w:t>表示废气向大气环境排放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pPr>
                    <w:adjustRightInd w:val="0"/>
                    <w:snapToGrid w:val="0"/>
                    <w:jc w:val="center"/>
                    <w:rPr>
                      <w:rFonts w:ascii="Times New Roman" w:hAnsi="Times New Roman"/>
                    </w:rPr>
                  </w:pPr>
                  <w:r>
                    <w:rPr>
                      <w:rFonts w:ascii="Times New Roman" w:hAnsi="Times New Roman"/>
                    </w:rPr>
                    <w:t>3</w:t>
                  </w:r>
                </w:p>
              </w:tc>
              <w:tc>
                <w:tcPr>
                  <w:tcW w:w="1121" w:type="pct"/>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12775"/>
                        <wp:effectExtent l="0" t="0" r="0" b="0"/>
                        <wp:docPr id="25" name="图片 62" descr="image011"/>
                        <wp:cNvGraphicFramePr/>
                        <a:graphic xmlns:a="http://schemas.openxmlformats.org/drawingml/2006/main">
                          <a:graphicData uri="http://schemas.openxmlformats.org/drawingml/2006/picture">
                            <pic:pic xmlns:pic="http://schemas.openxmlformats.org/drawingml/2006/picture">
                              <pic:nvPicPr>
                                <pic:cNvPr id="25" name="图片 62" descr="image01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85800" cy="612775"/>
                                </a:xfrm>
                                <a:prstGeom prst="rect">
                                  <a:avLst/>
                                </a:prstGeom>
                                <a:noFill/>
                                <a:ln>
                                  <a:noFill/>
                                </a:ln>
                              </pic:spPr>
                            </pic:pic>
                          </a:graphicData>
                        </a:graphic>
                      </wp:inline>
                    </w:drawing>
                  </w:r>
                </w:p>
              </w:tc>
              <w:tc>
                <w:tcPr>
                  <w:tcW w:w="1017" w:type="pct"/>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85800" cy="612775"/>
                        <wp:effectExtent l="0" t="0" r="0" b="0"/>
                        <wp:docPr id="26" name="图片 63" descr="image012"/>
                        <wp:cNvGraphicFramePr/>
                        <a:graphic xmlns:a="http://schemas.openxmlformats.org/drawingml/2006/main">
                          <a:graphicData uri="http://schemas.openxmlformats.org/drawingml/2006/picture">
                            <pic:pic xmlns:pic="http://schemas.openxmlformats.org/drawingml/2006/picture">
                              <pic:nvPicPr>
                                <pic:cNvPr id="26" name="图片 63" descr="image01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85800" cy="612775"/>
                                </a:xfrm>
                                <a:prstGeom prst="rect">
                                  <a:avLst/>
                                </a:prstGeom>
                                <a:noFill/>
                                <a:ln>
                                  <a:noFill/>
                                </a:ln>
                              </pic:spPr>
                            </pic:pic>
                          </a:graphicData>
                        </a:graphic>
                      </wp:inline>
                    </w:drawing>
                  </w:r>
                </w:p>
              </w:tc>
              <w:tc>
                <w:tcPr>
                  <w:tcW w:w="875" w:type="pct"/>
                  <w:vAlign w:val="center"/>
                </w:tcPr>
                <w:p>
                  <w:pPr>
                    <w:adjustRightInd w:val="0"/>
                    <w:snapToGrid w:val="0"/>
                    <w:jc w:val="center"/>
                    <w:rPr>
                      <w:rFonts w:ascii="Times New Roman" w:hAnsi="Times New Roman"/>
                    </w:rPr>
                  </w:pPr>
                  <w:r>
                    <w:rPr>
                      <w:rFonts w:ascii="Times New Roman" w:hAnsi="Times New Roman"/>
                    </w:rPr>
                    <w:t>噪声排放源</w:t>
                  </w:r>
                </w:p>
              </w:tc>
              <w:tc>
                <w:tcPr>
                  <w:tcW w:w="1507" w:type="pct"/>
                  <w:vAlign w:val="center"/>
                </w:tcPr>
                <w:p>
                  <w:pPr>
                    <w:adjustRightInd w:val="0"/>
                    <w:snapToGrid w:val="0"/>
                    <w:jc w:val="center"/>
                    <w:rPr>
                      <w:rFonts w:ascii="Times New Roman" w:hAnsi="Times New Roman"/>
                    </w:rPr>
                  </w:pPr>
                  <w:r>
                    <w:rPr>
                      <w:rFonts w:ascii="Times New Roman" w:hAnsi="Times New Roman"/>
                    </w:rPr>
                    <w:t>表示噪声向外环境排放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Align w:val="center"/>
                </w:tcPr>
                <w:p>
                  <w:pPr>
                    <w:adjustRightInd w:val="0"/>
                    <w:snapToGrid w:val="0"/>
                    <w:jc w:val="center"/>
                    <w:rPr>
                      <w:rFonts w:ascii="Times New Roman" w:hAnsi="Times New Roman"/>
                    </w:rPr>
                  </w:pPr>
                  <w:r>
                    <w:rPr>
                      <w:rFonts w:ascii="Times New Roman" w:hAnsi="Times New Roman"/>
                    </w:rPr>
                    <w:t>4</w:t>
                  </w:r>
                </w:p>
              </w:tc>
              <w:tc>
                <w:tcPr>
                  <w:tcW w:w="1121" w:type="pct"/>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76910" cy="612775"/>
                        <wp:effectExtent l="0" t="0" r="0" b="0"/>
                        <wp:docPr id="27" name="图片 64" descr="14001"/>
                        <wp:cNvGraphicFramePr/>
                        <a:graphic xmlns:a="http://schemas.openxmlformats.org/drawingml/2006/main">
                          <a:graphicData uri="http://schemas.openxmlformats.org/drawingml/2006/picture">
                            <pic:pic xmlns:pic="http://schemas.openxmlformats.org/drawingml/2006/picture">
                              <pic:nvPicPr>
                                <pic:cNvPr id="27" name="图片 64" descr="14001"/>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76910" cy="612775"/>
                                </a:xfrm>
                                <a:prstGeom prst="rect">
                                  <a:avLst/>
                                </a:prstGeom>
                                <a:noFill/>
                                <a:ln>
                                  <a:noFill/>
                                </a:ln>
                              </pic:spPr>
                            </pic:pic>
                          </a:graphicData>
                        </a:graphic>
                      </wp:inline>
                    </w:drawing>
                  </w:r>
                </w:p>
              </w:tc>
              <w:tc>
                <w:tcPr>
                  <w:tcW w:w="1017" w:type="pct"/>
                  <w:vAlign w:val="center"/>
                </w:tcPr>
                <w:p>
                  <w:pPr>
                    <w:adjustRightInd w:val="0"/>
                    <w:snapToGrid w:val="0"/>
                    <w:jc w:val="center"/>
                    <w:rPr>
                      <w:rFonts w:ascii="Times New Roman" w:hAnsi="Times New Roman"/>
                    </w:rPr>
                  </w:pPr>
                  <w:r>
                    <w:rPr>
                      <w:rFonts w:ascii="Times New Roman" w:hAnsi="Times New Roman"/>
                      <w:lang w:val="en-US" w:bidi="ar-SA"/>
                    </w:rPr>
                    <w:drawing>
                      <wp:inline distT="0" distB="0" distL="0" distR="0">
                        <wp:extent cx="694690" cy="612775"/>
                        <wp:effectExtent l="0" t="0" r="0" b="0"/>
                        <wp:docPr id="28" name="图片 65" descr="14002"/>
                        <wp:cNvGraphicFramePr/>
                        <a:graphic xmlns:a="http://schemas.openxmlformats.org/drawingml/2006/main">
                          <a:graphicData uri="http://schemas.openxmlformats.org/drawingml/2006/picture">
                            <pic:pic xmlns:pic="http://schemas.openxmlformats.org/drawingml/2006/picture">
                              <pic:nvPicPr>
                                <pic:cNvPr id="28" name="图片 65" descr="14002"/>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94690" cy="612775"/>
                                </a:xfrm>
                                <a:prstGeom prst="rect">
                                  <a:avLst/>
                                </a:prstGeom>
                                <a:noFill/>
                                <a:ln>
                                  <a:noFill/>
                                </a:ln>
                              </pic:spPr>
                            </pic:pic>
                          </a:graphicData>
                        </a:graphic>
                      </wp:inline>
                    </w:drawing>
                  </w:r>
                </w:p>
              </w:tc>
              <w:tc>
                <w:tcPr>
                  <w:tcW w:w="875" w:type="pct"/>
                  <w:vAlign w:val="center"/>
                </w:tcPr>
                <w:p>
                  <w:pPr>
                    <w:adjustRightInd w:val="0"/>
                    <w:snapToGrid w:val="0"/>
                    <w:jc w:val="center"/>
                    <w:rPr>
                      <w:rFonts w:ascii="Times New Roman" w:hAnsi="Times New Roman"/>
                    </w:rPr>
                  </w:pPr>
                  <w:r>
                    <w:rPr>
                      <w:rFonts w:ascii="Times New Roman" w:hAnsi="Times New Roman"/>
                    </w:rPr>
                    <w:t>一般固</w:t>
                  </w:r>
                </w:p>
                <w:p>
                  <w:pPr>
                    <w:adjustRightInd w:val="0"/>
                    <w:snapToGrid w:val="0"/>
                    <w:jc w:val="center"/>
                    <w:rPr>
                      <w:rFonts w:ascii="Times New Roman" w:hAnsi="Times New Roman"/>
                    </w:rPr>
                  </w:pPr>
                  <w:r>
                    <w:rPr>
                      <w:rFonts w:ascii="Times New Roman" w:hAnsi="Times New Roman"/>
                    </w:rPr>
                    <w:t>体废物</w:t>
                  </w:r>
                </w:p>
              </w:tc>
              <w:tc>
                <w:tcPr>
                  <w:tcW w:w="1507" w:type="pct"/>
                  <w:vAlign w:val="center"/>
                </w:tcPr>
                <w:p>
                  <w:pPr>
                    <w:adjustRightInd w:val="0"/>
                    <w:snapToGrid w:val="0"/>
                    <w:jc w:val="center"/>
                    <w:rPr>
                      <w:rFonts w:ascii="Times New Roman" w:hAnsi="Times New Roman"/>
                    </w:rPr>
                  </w:pPr>
                  <w:r>
                    <w:rPr>
                      <w:rFonts w:ascii="Times New Roman" w:hAnsi="Times New Roman"/>
                    </w:rPr>
                    <w:t>表示一般固体废物贮存、处置场</w:t>
                  </w:r>
                </w:p>
              </w:tc>
            </w:tr>
          </w:tbl>
          <w:p>
            <w:pPr>
              <w:autoSpaceDE/>
              <w:autoSpaceDN/>
              <w:spacing w:line="440" w:lineRule="exact"/>
              <w:ind w:firstLine="482" w:firstLineChars="200"/>
              <w:jc w:val="both"/>
              <w:rPr>
                <w:rFonts w:ascii="Times New Roman" w:hAnsi="Times New Roman"/>
                <w:b/>
                <w:bCs/>
                <w:sz w:val="24"/>
                <w:szCs w:val="24"/>
                <w:lang w:val="en-US"/>
              </w:rPr>
            </w:pPr>
            <w:r>
              <w:rPr>
                <w:rFonts w:ascii="Times New Roman" w:hAnsi="Times New Roman"/>
                <w:b/>
                <w:bCs/>
                <w:sz w:val="24"/>
                <w:szCs w:val="24"/>
                <w:lang w:val="en-US"/>
              </w:rPr>
              <w:t>九、环保投资</w:t>
            </w:r>
          </w:p>
          <w:p>
            <w:pPr>
              <w:spacing w:line="440" w:lineRule="exact"/>
              <w:ind w:firstLine="480" w:firstLineChars="200"/>
              <w:jc w:val="both"/>
              <w:rPr>
                <w:rFonts w:ascii="Times New Roman" w:hAnsi="Times New Roman"/>
                <w:sz w:val="24"/>
                <w:szCs w:val="24"/>
              </w:rPr>
            </w:pPr>
            <w:bookmarkStart w:id="61" w:name="_Hlk112836039"/>
            <w:r>
              <w:rPr>
                <w:rFonts w:ascii="Times New Roman" w:hAnsi="Times New Roman"/>
                <w:sz w:val="24"/>
                <w:szCs w:val="24"/>
              </w:rPr>
              <w:t>本项目总环保投资为</w:t>
            </w:r>
            <w:r>
              <w:rPr>
                <w:rFonts w:ascii="Times New Roman" w:hAnsi="Times New Roman"/>
                <w:sz w:val="24"/>
                <w:szCs w:val="24"/>
                <w:lang w:val="en-US"/>
              </w:rPr>
              <w:t>150</w:t>
            </w:r>
            <w:r>
              <w:rPr>
                <w:rFonts w:ascii="Times New Roman" w:hAnsi="Times New Roman"/>
                <w:sz w:val="24"/>
                <w:szCs w:val="24"/>
              </w:rPr>
              <w:t>万元，占建设项目总投资</w:t>
            </w:r>
            <w:r>
              <w:rPr>
                <w:rFonts w:ascii="Times New Roman" w:hAnsi="Times New Roman"/>
                <w:sz w:val="24"/>
                <w:szCs w:val="24"/>
                <w:lang w:val="en-US"/>
              </w:rPr>
              <w:t>26000万</w:t>
            </w:r>
            <w:r>
              <w:rPr>
                <w:rFonts w:ascii="Times New Roman" w:hAnsi="Times New Roman"/>
                <w:sz w:val="24"/>
                <w:szCs w:val="24"/>
              </w:rPr>
              <w:t>元的</w:t>
            </w:r>
            <w:r>
              <w:rPr>
                <w:rFonts w:ascii="Times New Roman" w:hAnsi="Times New Roman"/>
                <w:sz w:val="24"/>
                <w:szCs w:val="24"/>
                <w:lang w:val="en-US"/>
              </w:rPr>
              <w:t>0.58%</w:t>
            </w:r>
            <w:r>
              <w:rPr>
                <w:rFonts w:ascii="Times New Roman" w:hAnsi="Times New Roman"/>
                <w:sz w:val="24"/>
                <w:szCs w:val="24"/>
              </w:rPr>
              <w:t>，</w:t>
            </w:r>
            <w:bookmarkEnd w:id="61"/>
            <w:r>
              <w:rPr>
                <w:rFonts w:ascii="Times New Roman" w:hAnsi="Times New Roman"/>
                <w:sz w:val="24"/>
                <w:szCs w:val="24"/>
              </w:rPr>
              <w:t>建设项目环保投资主要用于废水、废气、固废、噪声等的治理，详见表</w:t>
            </w:r>
            <w:r>
              <w:rPr>
                <w:rFonts w:ascii="Times New Roman" w:hAnsi="Times New Roman"/>
                <w:sz w:val="24"/>
                <w:szCs w:val="24"/>
                <w:lang w:val="en-US"/>
              </w:rPr>
              <w:t>4-27</w:t>
            </w:r>
            <w:r>
              <w:rPr>
                <w:rFonts w:ascii="Times New Roman" w:hAnsi="Times New Roman"/>
                <w:sz w:val="24"/>
                <w:szCs w:val="24"/>
              </w:rPr>
              <w:t>。</w:t>
            </w:r>
          </w:p>
          <w:p>
            <w:pPr>
              <w:pStyle w:val="11"/>
              <w:keepNext/>
              <w:spacing w:line="440" w:lineRule="exact"/>
              <w:jc w:val="center"/>
              <w:rPr>
                <w:rFonts w:ascii="Times New Roman" w:hAnsi="Times New Roman" w:eastAsia="宋体" w:cs="Times New Roman"/>
                <w:sz w:val="21"/>
                <w:szCs w:val="21"/>
              </w:rPr>
            </w:pPr>
            <w:r>
              <w:rPr>
                <w:rFonts w:ascii="Times New Roman" w:hAnsi="Times New Roman" w:eastAsia="宋体" w:cs="Times New Roman"/>
                <w:b/>
                <w:bCs/>
                <w:sz w:val="21"/>
                <w:szCs w:val="21"/>
              </w:rPr>
              <w:t>表</w:t>
            </w:r>
            <w:r>
              <w:rPr>
                <w:rFonts w:ascii="Times New Roman" w:hAnsi="Times New Roman" w:eastAsia="宋体" w:cs="Times New Roman"/>
                <w:b/>
                <w:bCs/>
                <w:sz w:val="21"/>
                <w:szCs w:val="21"/>
                <w:lang w:val="en-US"/>
              </w:rPr>
              <w:t>4-27</w:t>
            </w:r>
            <w:r>
              <w:rPr>
                <w:rFonts w:ascii="Times New Roman" w:hAnsi="Times New Roman" w:eastAsia="宋体" w:cs="Times New Roman"/>
                <w:b/>
                <w:bCs/>
                <w:sz w:val="21"/>
                <w:szCs w:val="21"/>
              </w:rPr>
              <w:t>环保投资估算一览表</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706"/>
              <w:gridCol w:w="4624"/>
              <w:gridCol w:w="11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2" w:type="dxa"/>
                  <w:vAlign w:val="center"/>
                </w:tcPr>
                <w:p>
                  <w:pPr>
                    <w:jc w:val="center"/>
                    <w:rPr>
                      <w:rFonts w:ascii="Times New Roman" w:hAnsi="Times New Roman"/>
                      <w:b/>
                      <w:bCs/>
                    </w:rPr>
                  </w:pPr>
                  <w:r>
                    <w:rPr>
                      <w:rFonts w:ascii="Times New Roman" w:hAnsi="Times New Roman"/>
                      <w:b/>
                      <w:bCs/>
                    </w:rPr>
                    <w:t>名称</w:t>
                  </w:r>
                </w:p>
              </w:tc>
              <w:tc>
                <w:tcPr>
                  <w:tcW w:w="1815" w:type="dxa"/>
                  <w:vAlign w:val="center"/>
                </w:tcPr>
                <w:p>
                  <w:pPr>
                    <w:jc w:val="center"/>
                    <w:rPr>
                      <w:rFonts w:ascii="Times New Roman" w:hAnsi="Times New Roman"/>
                      <w:b/>
                      <w:bCs/>
                    </w:rPr>
                  </w:pPr>
                  <w:r>
                    <w:rPr>
                      <w:rFonts w:ascii="Times New Roman" w:hAnsi="Times New Roman"/>
                      <w:b/>
                      <w:bCs/>
                    </w:rPr>
                    <w:t>污染防治对象</w:t>
                  </w:r>
                </w:p>
              </w:tc>
              <w:tc>
                <w:tcPr>
                  <w:tcW w:w="4951" w:type="dxa"/>
                  <w:vAlign w:val="center"/>
                </w:tcPr>
                <w:p>
                  <w:pPr>
                    <w:jc w:val="center"/>
                    <w:rPr>
                      <w:rFonts w:ascii="Times New Roman" w:hAnsi="Times New Roman"/>
                      <w:b/>
                      <w:bCs/>
                    </w:rPr>
                  </w:pPr>
                  <w:r>
                    <w:rPr>
                      <w:rFonts w:ascii="Times New Roman" w:hAnsi="Times New Roman"/>
                      <w:b/>
                      <w:bCs/>
                    </w:rPr>
                    <w:t>环保设施名称</w:t>
                  </w:r>
                </w:p>
              </w:tc>
              <w:tc>
                <w:tcPr>
                  <w:tcW w:w="1258" w:type="dxa"/>
                  <w:vAlign w:val="center"/>
                </w:tcPr>
                <w:p>
                  <w:pPr>
                    <w:jc w:val="center"/>
                    <w:rPr>
                      <w:rFonts w:ascii="Times New Roman" w:hAnsi="Times New Roman"/>
                      <w:b/>
                      <w:bCs/>
                    </w:rPr>
                  </w:pPr>
                  <w:r>
                    <w:rPr>
                      <w:rFonts w:ascii="Times New Roman" w:hAnsi="Times New Roman"/>
                      <w:b/>
                      <w:bCs/>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2" w:type="dxa"/>
                  <w:vMerge w:val="restart"/>
                  <w:vAlign w:val="center"/>
                </w:tcPr>
                <w:p>
                  <w:pPr>
                    <w:jc w:val="center"/>
                    <w:rPr>
                      <w:rFonts w:ascii="Times New Roman" w:hAnsi="Times New Roman"/>
                      <w:lang w:val="en-US"/>
                    </w:rPr>
                  </w:pPr>
                  <w:r>
                    <w:rPr>
                      <w:rFonts w:ascii="Times New Roman" w:hAnsi="Times New Roman"/>
                      <w:lang w:val="en-US"/>
                    </w:rPr>
                    <w:t>废水</w:t>
                  </w:r>
                </w:p>
              </w:tc>
              <w:tc>
                <w:tcPr>
                  <w:tcW w:w="1815" w:type="dxa"/>
                  <w:vAlign w:val="center"/>
                </w:tcPr>
                <w:p>
                  <w:pPr>
                    <w:jc w:val="center"/>
                    <w:rPr>
                      <w:rFonts w:ascii="Times New Roman" w:hAnsi="Times New Roman"/>
                      <w:lang w:val="en-US"/>
                    </w:rPr>
                  </w:pPr>
                  <w:r>
                    <w:rPr>
                      <w:rFonts w:ascii="Times New Roman" w:hAnsi="Times New Roman"/>
                      <w:lang w:val="en-US"/>
                    </w:rPr>
                    <w:t>生活污水</w:t>
                  </w:r>
                </w:p>
              </w:tc>
              <w:tc>
                <w:tcPr>
                  <w:tcW w:w="4951" w:type="dxa"/>
                  <w:vAlign w:val="center"/>
                </w:tcPr>
                <w:p>
                  <w:pPr>
                    <w:jc w:val="center"/>
                    <w:rPr>
                      <w:rFonts w:ascii="Times New Roman" w:hAnsi="Times New Roman"/>
                    </w:rPr>
                  </w:pPr>
                  <w:r>
                    <w:rPr>
                      <w:rFonts w:ascii="Times New Roman" w:hAnsi="Times New Roman"/>
                      <w:lang w:val="en-US"/>
                    </w:rPr>
                    <w:t>新建隔油池+化粪池</w:t>
                  </w:r>
                  <w:r>
                    <w:rPr>
                      <w:rFonts w:ascii="Times New Roman" w:hAnsi="Times New Roman"/>
                    </w:rPr>
                    <w:t>（设计规模为</w:t>
                  </w:r>
                  <w:r>
                    <w:rPr>
                      <w:rFonts w:ascii="Times New Roman" w:hAnsi="Times New Roman"/>
                      <w:lang w:val="en-US"/>
                    </w:rPr>
                    <w:t>30m</w:t>
                  </w:r>
                  <w:r>
                    <w:rPr>
                      <w:rFonts w:ascii="Times New Roman" w:hAnsi="Times New Roman"/>
                      <w:vertAlign w:val="superscript"/>
                      <w:lang w:val="en-US"/>
                    </w:rPr>
                    <w:t>3</w:t>
                  </w:r>
                  <w:r>
                    <w:rPr>
                      <w:rFonts w:ascii="Times New Roman" w:hAnsi="Times New Roman"/>
                      <w:lang w:val="en-US"/>
                    </w:rPr>
                    <w:t>/d</w:t>
                  </w:r>
                  <w:r>
                    <w:rPr>
                      <w:rFonts w:ascii="Times New Roman" w:hAnsi="Times New Roman"/>
                    </w:rPr>
                    <w:t>）</w:t>
                  </w:r>
                </w:p>
              </w:tc>
              <w:tc>
                <w:tcPr>
                  <w:tcW w:w="1258" w:type="dxa"/>
                  <w:vAlign w:val="center"/>
                </w:tcPr>
                <w:p>
                  <w:pPr>
                    <w:jc w:val="center"/>
                    <w:rPr>
                      <w:rFonts w:ascii="Times New Roman" w:hAnsi="Times New Roman"/>
                      <w:lang w:val="en-US"/>
                    </w:rPr>
                  </w:pPr>
                  <w:r>
                    <w:rPr>
                      <w:rFonts w:ascii="Times New Roman" w:hAnsi="Times New Roman"/>
                      <w:lang w:val="en-US"/>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2" w:type="dxa"/>
                  <w:vMerge w:val="continue"/>
                  <w:vAlign w:val="center"/>
                </w:tcPr>
                <w:p>
                  <w:pPr>
                    <w:jc w:val="center"/>
                    <w:rPr>
                      <w:rFonts w:ascii="Times New Roman" w:hAnsi="Times New Roman"/>
                      <w:lang w:val="en-US"/>
                    </w:rPr>
                  </w:pPr>
                </w:p>
              </w:tc>
              <w:tc>
                <w:tcPr>
                  <w:tcW w:w="1815" w:type="dxa"/>
                  <w:vAlign w:val="center"/>
                </w:tcPr>
                <w:p>
                  <w:pPr>
                    <w:jc w:val="center"/>
                    <w:rPr>
                      <w:rFonts w:ascii="Times New Roman" w:hAnsi="Times New Roman"/>
                      <w:kern w:val="2"/>
                      <w:lang w:val="en-US" w:bidi="ar-SA"/>
                    </w:rPr>
                  </w:pPr>
                  <w:r>
                    <w:rPr>
                      <w:rFonts w:ascii="Times New Roman" w:hAnsi="Times New Roman"/>
                      <w:kern w:val="2"/>
                      <w:lang w:val="en-US" w:bidi="ar-SA"/>
                    </w:rPr>
                    <w:t>生产废水</w:t>
                  </w:r>
                </w:p>
                <w:p>
                  <w:pPr>
                    <w:jc w:val="center"/>
                    <w:rPr>
                      <w:rFonts w:ascii="Times New Roman" w:hAnsi="Times New Roman"/>
                      <w:lang w:val="en-US"/>
                    </w:rPr>
                  </w:pPr>
                  <w:r>
                    <w:rPr>
                      <w:rFonts w:ascii="Times New Roman" w:hAnsi="Times New Roman"/>
                      <w:kern w:val="2"/>
                      <w:lang w:val="en-US" w:bidi="ar-SA"/>
                    </w:rPr>
                    <w:t>（</w:t>
                  </w:r>
                  <w:r>
                    <w:rPr>
                      <w:rFonts w:ascii="Times New Roman" w:hAnsi="Times New Roman"/>
                      <w:lang w:val="en-US"/>
                    </w:rPr>
                    <w:t>清洗、玻璃浸泡废水</w:t>
                  </w:r>
                  <w:r>
                    <w:rPr>
                      <w:rFonts w:ascii="Times New Roman" w:hAnsi="Times New Roman"/>
                      <w:kern w:val="2"/>
                      <w:lang w:val="en-US" w:bidi="ar-SA"/>
                    </w:rPr>
                    <w:t>）</w:t>
                  </w:r>
                </w:p>
              </w:tc>
              <w:tc>
                <w:tcPr>
                  <w:tcW w:w="4951" w:type="dxa"/>
                  <w:vAlign w:val="center"/>
                </w:tcPr>
                <w:p>
                  <w:pPr>
                    <w:jc w:val="center"/>
                    <w:rPr>
                      <w:rFonts w:ascii="Times New Roman" w:hAnsi="Times New Roman"/>
                      <w:lang w:val="en-US"/>
                    </w:rPr>
                  </w:pPr>
                  <w:r>
                    <w:rPr>
                      <w:rFonts w:ascii="Times New Roman" w:hAnsi="Times New Roman"/>
                      <w:lang w:val="en-US"/>
                    </w:rPr>
                    <w:t>污水处理设施（</w:t>
                  </w:r>
                  <w:r>
                    <w:rPr>
                      <w:rFonts w:ascii="Times New Roman" w:hAnsi="Times New Roman"/>
                    </w:rPr>
                    <w:t>“</w:t>
                  </w:r>
                  <w:r>
                    <w:rPr>
                      <w:rFonts w:ascii="Times New Roman" w:hAnsi="Times New Roman"/>
                      <w:lang w:val="en-US"/>
                    </w:rPr>
                    <w:t>调节池+混凝池+沉淀池</w:t>
                  </w:r>
                  <w:r>
                    <w:rPr>
                      <w:rFonts w:ascii="Times New Roman" w:hAnsi="Times New Roman"/>
                    </w:rPr>
                    <w:t>”设计规模为</w:t>
                  </w:r>
                  <w:r>
                    <w:rPr>
                      <w:rFonts w:ascii="Times New Roman" w:hAnsi="Times New Roman"/>
                      <w:lang w:val="en-US"/>
                    </w:rPr>
                    <w:t>30m</w:t>
                  </w:r>
                  <w:r>
                    <w:rPr>
                      <w:rFonts w:ascii="Times New Roman" w:hAnsi="Times New Roman"/>
                      <w:vertAlign w:val="superscript"/>
                      <w:lang w:val="en-US"/>
                    </w:rPr>
                    <w:t>3</w:t>
                  </w:r>
                  <w:r>
                    <w:rPr>
                      <w:rFonts w:ascii="Times New Roman" w:hAnsi="Times New Roman"/>
                      <w:lang w:val="en-US"/>
                    </w:rPr>
                    <w:t>/d）</w:t>
                  </w:r>
                </w:p>
              </w:tc>
              <w:tc>
                <w:tcPr>
                  <w:tcW w:w="1258" w:type="dxa"/>
                  <w:vAlign w:val="center"/>
                </w:tcPr>
                <w:p>
                  <w:pPr>
                    <w:jc w:val="center"/>
                    <w:rPr>
                      <w:rFonts w:ascii="Times New Roman" w:hAnsi="Times New Roman"/>
                      <w:lang w:val="en-US"/>
                    </w:rPr>
                  </w:pPr>
                  <w:r>
                    <w:rPr>
                      <w:rFonts w:ascii="Times New Roman" w:hAnsi="Times New Roman"/>
                      <w:lang w:val="en-US"/>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32" w:type="dxa"/>
                  <w:vMerge w:val="restart"/>
                  <w:vAlign w:val="center"/>
                </w:tcPr>
                <w:p>
                  <w:pPr>
                    <w:jc w:val="center"/>
                    <w:rPr>
                      <w:rFonts w:ascii="Times New Roman" w:hAnsi="Times New Roman"/>
                    </w:rPr>
                  </w:pPr>
                  <w:r>
                    <w:rPr>
                      <w:rFonts w:ascii="Times New Roman" w:hAnsi="Times New Roman"/>
                    </w:rPr>
                    <w:t>废气</w:t>
                  </w:r>
                </w:p>
              </w:tc>
              <w:tc>
                <w:tcPr>
                  <w:tcW w:w="1815" w:type="dxa"/>
                  <w:vAlign w:val="center"/>
                </w:tcPr>
                <w:p>
                  <w:pPr>
                    <w:pStyle w:val="24"/>
                    <w:adjustRightInd/>
                    <w:spacing w:before="0" w:line="240" w:lineRule="auto"/>
                    <w:jc w:val="center"/>
                    <w:rPr>
                      <w:rFonts w:ascii="Times New Roman" w:hAnsi="Times New Roman"/>
                      <w:spacing w:val="0"/>
                      <w:szCs w:val="21"/>
                      <w:lang w:val="en-US"/>
                    </w:rPr>
                  </w:pPr>
                  <w:r>
                    <w:rPr>
                      <w:rFonts w:ascii="Times New Roman" w:hAnsi="Times New Roman"/>
                      <w:spacing w:val="0"/>
                      <w:szCs w:val="21"/>
                      <w:lang w:val="en-US"/>
                    </w:rPr>
                    <w:t>喷涂保护液废气</w:t>
                  </w:r>
                </w:p>
              </w:tc>
              <w:tc>
                <w:tcPr>
                  <w:tcW w:w="4951" w:type="dxa"/>
                  <w:vAlign w:val="center"/>
                </w:tcPr>
                <w:p>
                  <w:pPr>
                    <w:pStyle w:val="24"/>
                    <w:adjustRightInd/>
                    <w:spacing w:before="0" w:line="240" w:lineRule="auto"/>
                    <w:jc w:val="center"/>
                    <w:rPr>
                      <w:rFonts w:ascii="Times New Roman" w:hAnsi="Times New Roman"/>
                      <w:spacing w:val="0"/>
                      <w:szCs w:val="21"/>
                      <w:lang w:val="en-US"/>
                    </w:rPr>
                  </w:pPr>
                  <w:r>
                    <w:rPr>
                      <w:rFonts w:ascii="Times New Roman" w:hAnsi="Times New Roman"/>
                      <w:szCs w:val="21"/>
                      <w:lang w:val="en-US"/>
                    </w:rPr>
                    <w:t>二级</w:t>
                  </w:r>
                  <w:r>
                    <w:rPr>
                      <w:rFonts w:ascii="Times New Roman" w:hAnsi="Times New Roman"/>
                      <w:spacing w:val="0"/>
                      <w:szCs w:val="21"/>
                      <w:lang w:val="en-US"/>
                    </w:rPr>
                    <w:t>活性炭吸附装置+30m排气筒（DA001）</w:t>
                  </w:r>
                </w:p>
              </w:tc>
              <w:tc>
                <w:tcPr>
                  <w:tcW w:w="1258" w:type="dxa"/>
                  <w:vAlign w:val="center"/>
                </w:tcPr>
                <w:p>
                  <w:pPr>
                    <w:jc w:val="center"/>
                    <w:rPr>
                      <w:rFonts w:ascii="Times New Roman" w:hAnsi="Times New Roman"/>
                      <w:lang w:val="en-US"/>
                    </w:rPr>
                  </w:pPr>
                  <w:r>
                    <w:rPr>
                      <w:rFonts w:ascii="Times New Roman" w:hAnsi="Times New Roman"/>
                      <w:lang w:val="en-US"/>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32" w:type="dxa"/>
                  <w:vMerge w:val="continue"/>
                  <w:vAlign w:val="center"/>
                </w:tcPr>
                <w:p>
                  <w:pPr>
                    <w:jc w:val="center"/>
                    <w:rPr>
                      <w:rFonts w:ascii="Times New Roman" w:hAnsi="Times New Roman"/>
                    </w:rPr>
                  </w:pPr>
                </w:p>
              </w:tc>
              <w:tc>
                <w:tcPr>
                  <w:tcW w:w="1815" w:type="dxa"/>
                  <w:vMerge w:val="restart"/>
                  <w:vAlign w:val="center"/>
                </w:tcPr>
                <w:p>
                  <w:pPr>
                    <w:pStyle w:val="24"/>
                    <w:adjustRightInd/>
                    <w:spacing w:before="0" w:line="240" w:lineRule="auto"/>
                    <w:jc w:val="center"/>
                    <w:rPr>
                      <w:rFonts w:ascii="Times New Roman" w:hAnsi="Times New Roman"/>
                      <w:spacing w:val="0"/>
                      <w:szCs w:val="21"/>
                      <w:lang w:val="en-US"/>
                    </w:rPr>
                  </w:pPr>
                  <w:r>
                    <w:rPr>
                      <w:rFonts w:ascii="Times New Roman" w:hAnsi="Times New Roman"/>
                      <w:spacing w:val="0"/>
                      <w:szCs w:val="21"/>
                      <w:lang w:val="en-US"/>
                    </w:rPr>
                    <w:t>印刷、喷AF膜及烘干废气</w:t>
                  </w:r>
                </w:p>
              </w:tc>
              <w:tc>
                <w:tcPr>
                  <w:tcW w:w="4951" w:type="dxa"/>
                  <w:vAlign w:val="center"/>
                </w:tcPr>
                <w:p>
                  <w:pPr>
                    <w:pStyle w:val="24"/>
                    <w:adjustRightInd/>
                    <w:spacing w:before="0" w:line="240" w:lineRule="auto"/>
                    <w:jc w:val="center"/>
                    <w:rPr>
                      <w:rFonts w:ascii="Times New Roman" w:hAnsi="Times New Roman"/>
                      <w:spacing w:val="0"/>
                      <w:szCs w:val="21"/>
                      <w:lang w:val="en-US"/>
                    </w:rPr>
                  </w:pPr>
                  <w:r>
                    <w:rPr>
                      <w:rFonts w:ascii="Times New Roman" w:hAnsi="Times New Roman"/>
                      <w:spacing w:val="0"/>
                      <w:szCs w:val="21"/>
                      <w:lang w:val="en-US"/>
                    </w:rPr>
                    <w:t>印刷区域密闭、烤炉进出口密闭收集+二级活性炭纤维吸附处理+30m排气筒（DA002）</w:t>
                  </w:r>
                </w:p>
              </w:tc>
              <w:tc>
                <w:tcPr>
                  <w:tcW w:w="1258" w:type="dxa"/>
                  <w:vAlign w:val="center"/>
                </w:tcPr>
                <w:p>
                  <w:pPr>
                    <w:jc w:val="center"/>
                    <w:rPr>
                      <w:rFonts w:ascii="Times New Roman" w:hAnsi="Times New Roman"/>
                      <w:lang w:val="en-US"/>
                    </w:rPr>
                  </w:pPr>
                  <w:r>
                    <w:rPr>
                      <w:rFonts w:ascii="Times New Roman" w:hAnsi="Times New Roman"/>
                      <w:lang w:val="en-US"/>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2" w:type="dxa"/>
                  <w:vMerge w:val="continue"/>
                  <w:vAlign w:val="center"/>
                </w:tcPr>
                <w:p>
                  <w:pPr>
                    <w:jc w:val="center"/>
                    <w:rPr>
                      <w:rFonts w:ascii="Times New Roman" w:hAnsi="Times New Roman"/>
                    </w:rPr>
                  </w:pPr>
                </w:p>
              </w:tc>
              <w:tc>
                <w:tcPr>
                  <w:tcW w:w="1815" w:type="dxa"/>
                  <w:vMerge w:val="continue"/>
                  <w:vAlign w:val="center"/>
                </w:tcPr>
                <w:p>
                  <w:pPr>
                    <w:pStyle w:val="62"/>
                    <w:jc w:val="center"/>
                    <w:rPr>
                      <w:rFonts w:ascii="Times New Roman" w:hAnsi="Times New Roman" w:cs="Times New Roman"/>
                      <w:kern w:val="2"/>
                      <w:lang w:val="en-US"/>
                    </w:rPr>
                  </w:pPr>
                </w:p>
              </w:tc>
              <w:tc>
                <w:tcPr>
                  <w:tcW w:w="4951" w:type="dxa"/>
                  <w:vAlign w:val="center"/>
                </w:tcPr>
                <w:p>
                  <w:pPr>
                    <w:pStyle w:val="62"/>
                    <w:jc w:val="center"/>
                    <w:rPr>
                      <w:rFonts w:ascii="Times New Roman" w:hAnsi="Times New Roman" w:cs="Times New Roman"/>
                      <w:lang w:val="en-US"/>
                    </w:rPr>
                  </w:pPr>
                  <w:r>
                    <w:rPr>
                      <w:rFonts w:ascii="Times New Roman" w:hAnsi="Times New Roman" w:cs="Times New Roman"/>
                      <w:lang w:val="en-US"/>
                    </w:rPr>
                    <w:t>车间安装排气扇加强通风</w:t>
                  </w:r>
                </w:p>
              </w:tc>
              <w:tc>
                <w:tcPr>
                  <w:tcW w:w="1258" w:type="dxa"/>
                  <w:vAlign w:val="center"/>
                </w:tcPr>
                <w:p>
                  <w:pPr>
                    <w:pStyle w:val="62"/>
                    <w:jc w:val="center"/>
                    <w:rPr>
                      <w:rFonts w:ascii="Times New Roman" w:hAnsi="Times New Roman" w:cs="Times New Roman"/>
                      <w:lang w:val="en-US"/>
                    </w:rPr>
                  </w:pPr>
                  <w:r>
                    <w:rPr>
                      <w:rFonts w:ascii="Times New Roman" w:hAnsi="Times New Roman" w:cs="Times New Roman"/>
                      <w:lang w:val="en-US"/>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2" w:type="dxa"/>
                  <w:vMerge w:val="continue"/>
                  <w:vAlign w:val="center"/>
                </w:tcPr>
                <w:p>
                  <w:pPr>
                    <w:jc w:val="center"/>
                    <w:rPr>
                      <w:rFonts w:ascii="Times New Roman" w:hAnsi="Times New Roman"/>
                    </w:rPr>
                  </w:pPr>
                </w:p>
              </w:tc>
              <w:tc>
                <w:tcPr>
                  <w:tcW w:w="1815" w:type="dxa"/>
                  <w:vAlign w:val="center"/>
                </w:tcPr>
                <w:p>
                  <w:pPr>
                    <w:pStyle w:val="62"/>
                    <w:jc w:val="center"/>
                    <w:rPr>
                      <w:rFonts w:ascii="Times New Roman" w:hAnsi="Times New Roman" w:cs="Times New Roman"/>
                      <w:kern w:val="2"/>
                      <w:lang w:val="en-US"/>
                    </w:rPr>
                  </w:pPr>
                  <w:r>
                    <w:rPr>
                      <w:rFonts w:ascii="Times New Roman" w:hAnsi="Times New Roman" w:cs="Times New Roman"/>
                      <w:kern w:val="2"/>
                      <w:lang w:val="en-US"/>
                    </w:rPr>
                    <w:t>食堂油烟废气</w:t>
                  </w:r>
                </w:p>
              </w:tc>
              <w:tc>
                <w:tcPr>
                  <w:tcW w:w="4951" w:type="dxa"/>
                  <w:vAlign w:val="center"/>
                </w:tcPr>
                <w:p>
                  <w:pPr>
                    <w:pStyle w:val="62"/>
                    <w:jc w:val="center"/>
                    <w:rPr>
                      <w:rFonts w:ascii="Times New Roman" w:hAnsi="Times New Roman" w:cs="Times New Roman"/>
                      <w:lang w:val="en-US"/>
                    </w:rPr>
                  </w:pPr>
                  <w:r>
                    <w:rPr>
                      <w:rFonts w:ascii="Times New Roman" w:hAnsi="Times New Roman" w:cs="Times New Roman"/>
                      <w:lang w:val="en-US"/>
                    </w:rPr>
                    <w:t>油烟净化器+专用风道</w:t>
                  </w:r>
                </w:p>
              </w:tc>
              <w:tc>
                <w:tcPr>
                  <w:tcW w:w="1258" w:type="dxa"/>
                  <w:vAlign w:val="center"/>
                </w:tcPr>
                <w:p>
                  <w:pPr>
                    <w:pStyle w:val="62"/>
                    <w:jc w:val="center"/>
                    <w:rPr>
                      <w:rFonts w:ascii="Times New Roman" w:hAnsi="Times New Roman" w:cs="Times New Roman"/>
                      <w:lang w:val="en-US"/>
                    </w:rPr>
                  </w:pPr>
                  <w:r>
                    <w:rPr>
                      <w:rFonts w:ascii="Times New Roman" w:hAnsi="Times New Roman" w:cs="Times New Roman"/>
                      <w:lang w:val="en-US"/>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2" w:type="dxa"/>
                  <w:vMerge w:val="restart"/>
                  <w:vAlign w:val="center"/>
                </w:tcPr>
                <w:p>
                  <w:pPr>
                    <w:jc w:val="center"/>
                    <w:rPr>
                      <w:rFonts w:ascii="Times New Roman" w:hAnsi="Times New Roman"/>
                    </w:rPr>
                  </w:pPr>
                  <w:r>
                    <w:rPr>
                      <w:rFonts w:ascii="Times New Roman" w:hAnsi="Times New Roman"/>
                    </w:rPr>
                    <w:t>固废</w:t>
                  </w:r>
                </w:p>
              </w:tc>
              <w:tc>
                <w:tcPr>
                  <w:tcW w:w="1815" w:type="dxa"/>
                  <w:vAlign w:val="center"/>
                </w:tcPr>
                <w:p>
                  <w:pPr>
                    <w:jc w:val="center"/>
                    <w:rPr>
                      <w:rFonts w:ascii="Times New Roman" w:hAnsi="Times New Roman"/>
                      <w:lang w:val="en-US"/>
                    </w:rPr>
                  </w:pPr>
                  <w:r>
                    <w:rPr>
                      <w:rFonts w:ascii="Times New Roman" w:hAnsi="Times New Roman"/>
                      <w:lang w:val="en-US"/>
                    </w:rPr>
                    <w:t>一般工业固体废物</w:t>
                  </w:r>
                </w:p>
              </w:tc>
              <w:tc>
                <w:tcPr>
                  <w:tcW w:w="4951" w:type="dxa"/>
                  <w:vAlign w:val="center"/>
                </w:tcPr>
                <w:p>
                  <w:pPr>
                    <w:jc w:val="center"/>
                    <w:rPr>
                      <w:rFonts w:ascii="Times New Roman" w:hAnsi="Times New Roman"/>
                      <w:lang w:val="en-US"/>
                    </w:rPr>
                  </w:pPr>
                  <w:r>
                    <w:rPr>
                      <w:rFonts w:ascii="Times New Roman" w:hAnsi="Times New Roman"/>
                      <w:lang w:val="en-US"/>
                    </w:rPr>
                    <w:t>一般固废堆放场间（60m</w:t>
                  </w:r>
                  <w:r>
                    <w:rPr>
                      <w:rFonts w:ascii="Times New Roman" w:hAnsi="Times New Roman"/>
                      <w:vertAlign w:val="superscript"/>
                      <w:lang w:val="en-US"/>
                    </w:rPr>
                    <w:t>2</w:t>
                  </w:r>
                  <w:r>
                    <w:rPr>
                      <w:rFonts w:ascii="Times New Roman" w:hAnsi="Times New Roman"/>
                      <w:lang w:val="en-US"/>
                    </w:rPr>
                    <w:t>）</w:t>
                  </w:r>
                </w:p>
              </w:tc>
              <w:tc>
                <w:tcPr>
                  <w:tcW w:w="1258" w:type="dxa"/>
                  <w:vAlign w:val="center"/>
                </w:tcPr>
                <w:p>
                  <w:pPr>
                    <w:jc w:val="center"/>
                    <w:rPr>
                      <w:rFonts w:ascii="Times New Roman" w:hAnsi="Times New Roman"/>
                      <w:lang w:val="en-US"/>
                    </w:rPr>
                  </w:pPr>
                  <w:r>
                    <w:rPr>
                      <w:rFonts w:ascii="Times New Roman" w:hAnsi="Times New Roman"/>
                      <w:lang w:val="en-US"/>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2" w:type="dxa"/>
                  <w:vMerge w:val="continue"/>
                  <w:vAlign w:val="center"/>
                </w:tcPr>
                <w:p>
                  <w:pPr>
                    <w:jc w:val="center"/>
                    <w:rPr>
                      <w:rFonts w:ascii="Times New Roman" w:hAnsi="Times New Roman"/>
                    </w:rPr>
                  </w:pPr>
                </w:p>
              </w:tc>
              <w:tc>
                <w:tcPr>
                  <w:tcW w:w="1815" w:type="dxa"/>
                  <w:vAlign w:val="center"/>
                </w:tcPr>
                <w:p>
                  <w:pPr>
                    <w:jc w:val="center"/>
                    <w:rPr>
                      <w:rFonts w:ascii="Times New Roman" w:hAnsi="Times New Roman"/>
                      <w:lang w:val="en-US"/>
                    </w:rPr>
                  </w:pPr>
                  <w:r>
                    <w:rPr>
                      <w:rFonts w:ascii="Times New Roman" w:hAnsi="Times New Roman"/>
                      <w:lang w:val="en-US"/>
                    </w:rPr>
                    <w:t>危险废物</w:t>
                  </w:r>
                </w:p>
              </w:tc>
              <w:tc>
                <w:tcPr>
                  <w:tcW w:w="4951" w:type="dxa"/>
                  <w:vAlign w:val="center"/>
                </w:tcPr>
                <w:p>
                  <w:pPr>
                    <w:jc w:val="center"/>
                    <w:rPr>
                      <w:rFonts w:ascii="Times New Roman" w:hAnsi="Times New Roman"/>
                      <w:lang w:val="en-US"/>
                    </w:rPr>
                  </w:pPr>
                  <w:r>
                    <w:rPr>
                      <w:rFonts w:ascii="Times New Roman" w:hAnsi="Times New Roman"/>
                      <w:lang w:val="en-US"/>
                    </w:rPr>
                    <w:t>危险废物暂存场间（50m</w:t>
                  </w:r>
                  <w:r>
                    <w:rPr>
                      <w:rFonts w:ascii="Times New Roman" w:hAnsi="Times New Roman"/>
                      <w:vertAlign w:val="superscript"/>
                      <w:lang w:val="en-US"/>
                    </w:rPr>
                    <w:t>2</w:t>
                  </w:r>
                  <w:r>
                    <w:rPr>
                      <w:rFonts w:ascii="Times New Roman" w:hAnsi="Times New Roman"/>
                      <w:lang w:val="en-US"/>
                    </w:rPr>
                    <w:t>）</w:t>
                  </w:r>
                </w:p>
              </w:tc>
              <w:tc>
                <w:tcPr>
                  <w:tcW w:w="1258" w:type="dxa"/>
                  <w:vAlign w:val="center"/>
                </w:tcPr>
                <w:p>
                  <w:pPr>
                    <w:jc w:val="center"/>
                    <w:rPr>
                      <w:rFonts w:ascii="Times New Roman" w:hAnsi="Times New Roman"/>
                      <w:lang w:val="en-US"/>
                    </w:rPr>
                  </w:pPr>
                  <w:r>
                    <w:rPr>
                      <w:rFonts w:ascii="Times New Roman" w:hAnsi="Times New Roman"/>
                      <w:lang w:val="en-US"/>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2" w:type="dxa"/>
                  <w:vMerge w:val="continue"/>
                  <w:vAlign w:val="center"/>
                </w:tcPr>
                <w:p>
                  <w:pPr>
                    <w:jc w:val="center"/>
                    <w:rPr>
                      <w:rFonts w:ascii="Times New Roman" w:hAnsi="Times New Roman"/>
                    </w:rPr>
                  </w:pPr>
                </w:p>
              </w:tc>
              <w:tc>
                <w:tcPr>
                  <w:tcW w:w="1815" w:type="dxa"/>
                  <w:vAlign w:val="center"/>
                </w:tcPr>
                <w:p>
                  <w:pPr>
                    <w:jc w:val="center"/>
                    <w:rPr>
                      <w:rFonts w:ascii="Times New Roman" w:hAnsi="Times New Roman"/>
                    </w:rPr>
                  </w:pPr>
                  <w:r>
                    <w:rPr>
                      <w:rFonts w:ascii="Times New Roman" w:hAnsi="Times New Roman"/>
                    </w:rPr>
                    <w:t>生活垃圾</w:t>
                  </w:r>
                </w:p>
              </w:tc>
              <w:tc>
                <w:tcPr>
                  <w:tcW w:w="4951" w:type="dxa"/>
                  <w:vAlign w:val="center"/>
                </w:tcPr>
                <w:p>
                  <w:pPr>
                    <w:jc w:val="center"/>
                    <w:rPr>
                      <w:rFonts w:ascii="Times New Roman" w:hAnsi="Times New Roman"/>
                      <w:lang w:val="en-US"/>
                    </w:rPr>
                  </w:pPr>
                  <w:r>
                    <w:rPr>
                      <w:rFonts w:ascii="Times New Roman" w:hAnsi="Times New Roman"/>
                    </w:rPr>
                    <w:t>专人定期清扫、分类收集运送</w:t>
                  </w:r>
                </w:p>
              </w:tc>
              <w:tc>
                <w:tcPr>
                  <w:tcW w:w="1258" w:type="dxa"/>
                  <w:vAlign w:val="center"/>
                </w:tcPr>
                <w:p>
                  <w:pPr>
                    <w:jc w:val="center"/>
                    <w:rPr>
                      <w:rFonts w:ascii="Times New Roman" w:hAnsi="Times New Roman"/>
                      <w:lang w:val="en-US"/>
                    </w:rPr>
                  </w:pPr>
                  <w:r>
                    <w:rPr>
                      <w:rFonts w:ascii="Times New Roman" w:hAnsi="Times New Roman"/>
                      <w:lang w:val="en-US"/>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2" w:type="dxa"/>
                  <w:vAlign w:val="center"/>
                </w:tcPr>
                <w:p>
                  <w:pPr>
                    <w:jc w:val="center"/>
                    <w:rPr>
                      <w:rFonts w:ascii="Times New Roman" w:hAnsi="Times New Roman"/>
                    </w:rPr>
                  </w:pPr>
                  <w:r>
                    <w:rPr>
                      <w:rFonts w:ascii="Times New Roman" w:hAnsi="Times New Roman"/>
                    </w:rPr>
                    <w:t>噪声</w:t>
                  </w:r>
                </w:p>
              </w:tc>
              <w:tc>
                <w:tcPr>
                  <w:tcW w:w="1815" w:type="dxa"/>
                  <w:vAlign w:val="center"/>
                </w:tcPr>
                <w:p>
                  <w:pPr>
                    <w:jc w:val="center"/>
                    <w:rPr>
                      <w:rFonts w:ascii="Times New Roman" w:hAnsi="Times New Roman"/>
                      <w:lang w:val="en-US"/>
                    </w:rPr>
                  </w:pPr>
                  <w:r>
                    <w:rPr>
                      <w:rFonts w:ascii="Times New Roman" w:hAnsi="Times New Roman"/>
                      <w:lang w:val="en-US"/>
                    </w:rPr>
                    <w:t>设备噪声等</w:t>
                  </w:r>
                </w:p>
              </w:tc>
              <w:tc>
                <w:tcPr>
                  <w:tcW w:w="4951" w:type="dxa"/>
                  <w:vAlign w:val="center"/>
                </w:tcPr>
                <w:p>
                  <w:pPr>
                    <w:jc w:val="center"/>
                    <w:rPr>
                      <w:rFonts w:ascii="Times New Roman" w:hAnsi="Times New Roman"/>
                      <w:lang w:val="en-US"/>
                    </w:rPr>
                  </w:pPr>
                  <w:r>
                    <w:rPr>
                      <w:rFonts w:ascii="Times New Roman" w:hAnsi="Times New Roman"/>
                      <w:lang w:val="en-US"/>
                    </w:rPr>
                    <w:t>消声、减振、密闭隔声、设备保养等</w:t>
                  </w:r>
                </w:p>
              </w:tc>
              <w:tc>
                <w:tcPr>
                  <w:tcW w:w="1258" w:type="dxa"/>
                  <w:vAlign w:val="center"/>
                </w:tcPr>
                <w:p>
                  <w:pPr>
                    <w:jc w:val="center"/>
                    <w:rPr>
                      <w:rFonts w:ascii="Times New Roman" w:hAnsi="Times New Roman"/>
                      <w:lang w:val="en-US"/>
                    </w:rPr>
                  </w:pPr>
                  <w:r>
                    <w:rPr>
                      <w:rFonts w:ascii="Times New Roman" w:hAnsi="Times New Roman"/>
                      <w:lang w:val="en-US"/>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47" w:type="dxa"/>
                  <w:gridSpan w:val="2"/>
                  <w:vAlign w:val="center"/>
                </w:tcPr>
                <w:p>
                  <w:pPr>
                    <w:jc w:val="center"/>
                    <w:rPr>
                      <w:rFonts w:ascii="Times New Roman" w:hAnsi="Times New Roman"/>
                      <w:lang w:val="en-US"/>
                    </w:rPr>
                  </w:pPr>
                  <w:r>
                    <w:rPr>
                      <w:rFonts w:ascii="Times New Roman" w:hAnsi="Times New Roman"/>
                    </w:rPr>
                    <w:t>土壤、地下水</w:t>
                  </w:r>
                </w:p>
              </w:tc>
              <w:tc>
                <w:tcPr>
                  <w:tcW w:w="4951" w:type="dxa"/>
                  <w:vAlign w:val="center"/>
                </w:tcPr>
                <w:p>
                  <w:pPr>
                    <w:jc w:val="center"/>
                    <w:rPr>
                      <w:rFonts w:ascii="Times New Roman" w:hAnsi="Times New Roman"/>
                      <w:b/>
                      <w:bCs/>
                      <w:lang w:val="en-US"/>
                    </w:rPr>
                  </w:pPr>
                  <w:r>
                    <w:rPr>
                      <w:rFonts w:ascii="Times New Roman" w:hAnsi="Times New Roman"/>
                      <w:bCs/>
                    </w:rPr>
                    <w:t>分区防渗，设置分区防渗区域、重点防渗区防风、防雨、防腐、防渗等措施</w:t>
                  </w:r>
                </w:p>
              </w:tc>
              <w:tc>
                <w:tcPr>
                  <w:tcW w:w="1258" w:type="dxa"/>
                  <w:vAlign w:val="center"/>
                </w:tcPr>
                <w:p>
                  <w:pPr>
                    <w:jc w:val="center"/>
                    <w:rPr>
                      <w:rFonts w:ascii="Times New Roman" w:hAnsi="Times New Roman"/>
                      <w:lang w:val="en-US"/>
                    </w:rPr>
                  </w:pPr>
                  <w:r>
                    <w:rPr>
                      <w:rFonts w:ascii="Times New Roman" w:hAnsi="Times New Roman"/>
                      <w:lang w:val="en-US"/>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132" w:type="dxa"/>
                  <w:vMerge w:val="restart"/>
                  <w:vAlign w:val="center"/>
                </w:tcPr>
                <w:p>
                  <w:pPr>
                    <w:jc w:val="center"/>
                    <w:rPr>
                      <w:rFonts w:ascii="Times New Roman" w:hAnsi="Times New Roman"/>
                      <w:lang w:val="en-US"/>
                    </w:rPr>
                  </w:pPr>
                  <w:r>
                    <w:rPr>
                      <w:rFonts w:ascii="Times New Roman" w:hAnsi="Times New Roman"/>
                      <w:lang w:val="en-US"/>
                    </w:rPr>
                    <w:t>排污口规范化设置</w:t>
                  </w:r>
                </w:p>
              </w:tc>
              <w:tc>
                <w:tcPr>
                  <w:tcW w:w="1815" w:type="dxa"/>
                  <w:vAlign w:val="center"/>
                </w:tcPr>
                <w:p>
                  <w:pPr>
                    <w:jc w:val="center"/>
                    <w:rPr>
                      <w:rFonts w:ascii="Times New Roman" w:hAnsi="Times New Roman"/>
                      <w:lang w:val="en-US"/>
                    </w:rPr>
                  </w:pPr>
                  <w:r>
                    <w:rPr>
                      <w:rFonts w:ascii="Times New Roman" w:hAnsi="Times New Roman"/>
                      <w:lang w:val="en-US"/>
                    </w:rPr>
                    <w:t>废气治理</w:t>
                  </w:r>
                </w:p>
              </w:tc>
              <w:tc>
                <w:tcPr>
                  <w:tcW w:w="4951" w:type="dxa"/>
                  <w:vAlign w:val="center"/>
                </w:tcPr>
                <w:p>
                  <w:pPr>
                    <w:jc w:val="center"/>
                    <w:rPr>
                      <w:rFonts w:ascii="Times New Roman" w:hAnsi="Times New Roman"/>
                      <w:lang w:val="en-US"/>
                    </w:rPr>
                  </w:pPr>
                  <w:r>
                    <w:rPr>
                      <w:rFonts w:ascii="Times New Roman" w:hAnsi="Times New Roman"/>
                      <w:lang w:val="en-US"/>
                    </w:rPr>
                    <w:t>设置2个排气筒，在进出口分别设置采样口，在排气筒附近地面醒目位置设置标识牌</w:t>
                  </w:r>
                </w:p>
              </w:tc>
              <w:tc>
                <w:tcPr>
                  <w:tcW w:w="1258" w:type="dxa"/>
                  <w:vMerge w:val="restart"/>
                  <w:vAlign w:val="center"/>
                </w:tcPr>
                <w:p>
                  <w:pPr>
                    <w:jc w:val="center"/>
                    <w:rPr>
                      <w:rFonts w:ascii="Times New Roman" w:hAnsi="Times New Roman"/>
                      <w:lang w:val="en-US"/>
                    </w:rPr>
                  </w:pPr>
                  <w:r>
                    <w:rPr>
                      <w:rFonts w:ascii="Times New Roman" w:hAnsi="Times New Roman"/>
                      <w:lang w:val="en-US"/>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132" w:type="dxa"/>
                  <w:vMerge w:val="continue"/>
                  <w:vAlign w:val="center"/>
                </w:tcPr>
                <w:p>
                  <w:pPr>
                    <w:jc w:val="center"/>
                    <w:rPr>
                      <w:rFonts w:ascii="Times New Roman" w:hAnsi="Times New Roman"/>
                      <w:lang w:val="en-US"/>
                    </w:rPr>
                  </w:pPr>
                </w:p>
              </w:tc>
              <w:tc>
                <w:tcPr>
                  <w:tcW w:w="1815" w:type="dxa"/>
                  <w:vAlign w:val="center"/>
                </w:tcPr>
                <w:p>
                  <w:pPr>
                    <w:jc w:val="center"/>
                    <w:rPr>
                      <w:rFonts w:ascii="Times New Roman" w:hAnsi="Times New Roman"/>
                      <w:lang w:val="en-US"/>
                    </w:rPr>
                  </w:pPr>
                  <w:r>
                    <w:rPr>
                      <w:rFonts w:ascii="Times New Roman" w:hAnsi="Times New Roman"/>
                      <w:lang w:val="en-US"/>
                    </w:rPr>
                    <w:t>固废</w:t>
                  </w:r>
                </w:p>
              </w:tc>
              <w:tc>
                <w:tcPr>
                  <w:tcW w:w="4951" w:type="dxa"/>
                  <w:vAlign w:val="center"/>
                </w:tcPr>
                <w:p>
                  <w:pPr>
                    <w:jc w:val="center"/>
                    <w:rPr>
                      <w:rFonts w:ascii="Times New Roman" w:hAnsi="Times New Roman"/>
                      <w:lang w:val="en-US"/>
                    </w:rPr>
                  </w:pPr>
                  <w:r>
                    <w:rPr>
                      <w:rFonts w:ascii="Times New Roman" w:hAnsi="Times New Roman"/>
                      <w:lang w:val="en-US"/>
                    </w:rPr>
                    <w:t>设置专营的储存设施或者堆放场所；防渗防腐防漏处理；设置醒目标识牌</w:t>
                  </w:r>
                </w:p>
              </w:tc>
              <w:tc>
                <w:tcPr>
                  <w:tcW w:w="1258" w:type="dxa"/>
                  <w:vMerge w:val="continue"/>
                  <w:vAlign w:val="center"/>
                </w:tcPr>
                <w:p>
                  <w:pPr>
                    <w:jc w:val="center"/>
                    <w:rPr>
                      <w:rFonts w:ascii="Times New Roman" w:hAnsi="Times New Roman"/>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98" w:type="dxa"/>
                  <w:gridSpan w:val="3"/>
                  <w:vAlign w:val="center"/>
                </w:tcPr>
                <w:p>
                  <w:pPr>
                    <w:jc w:val="center"/>
                    <w:rPr>
                      <w:rFonts w:ascii="Times New Roman" w:hAnsi="Times New Roman"/>
                      <w:lang w:val="en-US"/>
                    </w:rPr>
                  </w:pPr>
                  <w:r>
                    <w:rPr>
                      <w:rFonts w:ascii="Times New Roman" w:hAnsi="Times New Roman"/>
                      <w:lang w:val="en-US"/>
                    </w:rPr>
                    <w:t>合计</w:t>
                  </w:r>
                </w:p>
              </w:tc>
              <w:tc>
                <w:tcPr>
                  <w:tcW w:w="1258" w:type="dxa"/>
                  <w:vAlign w:val="center"/>
                </w:tcPr>
                <w:p>
                  <w:pPr>
                    <w:jc w:val="center"/>
                    <w:rPr>
                      <w:rFonts w:ascii="Times New Roman" w:hAnsi="Times New Roman"/>
                      <w:lang w:val="en-US"/>
                    </w:rPr>
                  </w:pPr>
                  <w:r>
                    <w:rPr>
                      <w:rFonts w:ascii="Times New Roman" w:hAnsi="Times New Roman"/>
                      <w:lang w:val="en-US"/>
                    </w:rPr>
                    <w:t>150</w:t>
                  </w:r>
                </w:p>
              </w:tc>
            </w:tr>
          </w:tbl>
          <w:p>
            <w:pPr>
              <w:pStyle w:val="10"/>
              <w:spacing w:line="440" w:lineRule="exact"/>
              <w:ind w:firstLine="482" w:firstLineChars="200"/>
              <w:rPr>
                <w:rFonts w:ascii="Times New Roman" w:hAnsi="Times New Roman"/>
                <w:b/>
                <w:bCs/>
                <w:sz w:val="24"/>
              </w:rPr>
            </w:pPr>
            <w:r>
              <w:rPr>
                <w:rFonts w:ascii="Times New Roman" w:hAnsi="Times New Roman"/>
                <w:b/>
                <w:bCs/>
                <w:sz w:val="24"/>
              </w:rPr>
              <w:t>十、污染物排放汇总</w:t>
            </w:r>
          </w:p>
          <w:p>
            <w:pPr>
              <w:spacing w:line="440" w:lineRule="exact"/>
              <w:ind w:firstLine="480"/>
              <w:jc w:val="both"/>
              <w:rPr>
                <w:rFonts w:ascii="Times New Roman" w:hAnsi="Times New Roman"/>
                <w:sz w:val="24"/>
              </w:rPr>
            </w:pPr>
            <w:r>
              <w:rPr>
                <w:rFonts w:ascii="Times New Roman" w:hAnsi="Times New Roman"/>
                <w:sz w:val="24"/>
              </w:rPr>
              <w:t>本项目污染排放量汇总情况见表4-28。</w:t>
            </w:r>
          </w:p>
          <w:p>
            <w:pPr>
              <w:spacing w:line="440" w:lineRule="exact"/>
              <w:jc w:val="center"/>
              <w:rPr>
                <w:rFonts w:ascii="Times New Roman" w:hAnsi="Times New Roman"/>
                <w:b/>
                <w:bCs/>
                <w:szCs w:val="18"/>
              </w:rPr>
            </w:pPr>
            <w:r>
              <w:rPr>
                <w:rFonts w:ascii="Times New Roman" w:hAnsi="Times New Roman"/>
                <w:b/>
                <w:bCs/>
                <w:szCs w:val="18"/>
              </w:rPr>
              <w:t>表4-28建设项目污染物有组织排放量汇总表（单位：t/a）</w:t>
            </w:r>
          </w:p>
          <w:tbl>
            <w:tblPr>
              <w:tblStyle w:val="2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153"/>
              <w:gridCol w:w="1038"/>
              <w:gridCol w:w="971"/>
              <w:gridCol w:w="947"/>
              <w:gridCol w:w="971"/>
              <w:gridCol w:w="1474"/>
              <w:gridCol w:w="15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Align w:val="center"/>
                </w:tcPr>
                <w:p>
                  <w:pPr>
                    <w:pStyle w:val="72"/>
                    <w:spacing w:line="240" w:lineRule="auto"/>
                    <w:rPr>
                      <w:b/>
                      <w:bCs/>
                    </w:rPr>
                  </w:pPr>
                  <w:r>
                    <w:rPr>
                      <w:b/>
                      <w:bCs/>
                    </w:rPr>
                    <w:t>污染物</w:t>
                  </w:r>
                </w:p>
              </w:tc>
              <w:tc>
                <w:tcPr>
                  <w:tcW w:w="1153" w:type="dxa"/>
                  <w:vAlign w:val="center"/>
                </w:tcPr>
                <w:p>
                  <w:pPr>
                    <w:pStyle w:val="72"/>
                    <w:spacing w:line="240" w:lineRule="auto"/>
                    <w:rPr>
                      <w:b/>
                      <w:bCs/>
                    </w:rPr>
                  </w:pPr>
                  <w:r>
                    <w:rPr>
                      <w:b/>
                      <w:bCs/>
                    </w:rPr>
                    <w:t>排放源</w:t>
                  </w:r>
                </w:p>
              </w:tc>
              <w:tc>
                <w:tcPr>
                  <w:tcW w:w="1038" w:type="dxa"/>
                  <w:vAlign w:val="center"/>
                </w:tcPr>
                <w:p>
                  <w:pPr>
                    <w:pStyle w:val="72"/>
                    <w:spacing w:line="240" w:lineRule="auto"/>
                    <w:rPr>
                      <w:b/>
                      <w:bCs/>
                    </w:rPr>
                  </w:pPr>
                  <w:r>
                    <w:rPr>
                      <w:b/>
                      <w:bCs/>
                    </w:rPr>
                    <w:t>主要污染因子</w:t>
                  </w:r>
                </w:p>
              </w:tc>
              <w:tc>
                <w:tcPr>
                  <w:tcW w:w="971" w:type="dxa"/>
                  <w:vAlign w:val="center"/>
                </w:tcPr>
                <w:p>
                  <w:pPr>
                    <w:pStyle w:val="72"/>
                    <w:spacing w:line="240" w:lineRule="auto"/>
                    <w:rPr>
                      <w:b/>
                      <w:bCs/>
                    </w:rPr>
                  </w:pPr>
                  <w:r>
                    <w:rPr>
                      <w:b/>
                      <w:bCs/>
                    </w:rPr>
                    <w:t>产生量</w:t>
                  </w:r>
                </w:p>
              </w:tc>
              <w:tc>
                <w:tcPr>
                  <w:tcW w:w="947" w:type="dxa"/>
                  <w:vAlign w:val="center"/>
                </w:tcPr>
                <w:p>
                  <w:pPr>
                    <w:pStyle w:val="72"/>
                    <w:spacing w:line="240" w:lineRule="auto"/>
                    <w:rPr>
                      <w:b/>
                      <w:bCs/>
                    </w:rPr>
                  </w:pPr>
                  <w:r>
                    <w:rPr>
                      <w:b/>
                      <w:bCs/>
                    </w:rPr>
                    <w:t>削减量</w:t>
                  </w:r>
                </w:p>
              </w:tc>
              <w:tc>
                <w:tcPr>
                  <w:tcW w:w="971" w:type="dxa"/>
                  <w:vAlign w:val="center"/>
                </w:tcPr>
                <w:p>
                  <w:pPr>
                    <w:pStyle w:val="72"/>
                    <w:spacing w:line="240" w:lineRule="auto"/>
                    <w:rPr>
                      <w:b/>
                      <w:bCs/>
                    </w:rPr>
                  </w:pPr>
                  <w:r>
                    <w:rPr>
                      <w:b/>
                      <w:bCs/>
                    </w:rPr>
                    <w:t>排放量</w:t>
                  </w:r>
                </w:p>
              </w:tc>
              <w:tc>
                <w:tcPr>
                  <w:tcW w:w="2983" w:type="dxa"/>
                  <w:gridSpan w:val="2"/>
                  <w:vAlign w:val="center"/>
                </w:tcPr>
                <w:p>
                  <w:pPr>
                    <w:pStyle w:val="72"/>
                    <w:spacing w:line="240" w:lineRule="auto"/>
                    <w:rPr>
                      <w:b/>
                      <w:bCs/>
                    </w:rPr>
                  </w:pPr>
                  <w:r>
                    <w:rPr>
                      <w:b/>
                      <w:bCs/>
                    </w:rPr>
                    <w:t>治理措施及排放去向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524" w:type="dxa"/>
                  <w:vMerge w:val="restart"/>
                  <w:vAlign w:val="center"/>
                </w:tcPr>
                <w:p>
                  <w:pPr>
                    <w:pStyle w:val="72"/>
                    <w:spacing w:line="240" w:lineRule="auto"/>
                  </w:pPr>
                  <w:r>
                    <w:t>废气</w:t>
                  </w:r>
                </w:p>
              </w:tc>
              <w:tc>
                <w:tcPr>
                  <w:tcW w:w="1153" w:type="dxa"/>
                  <w:vAlign w:val="center"/>
                </w:tcPr>
                <w:p>
                  <w:pPr>
                    <w:pStyle w:val="72"/>
                    <w:spacing w:line="240" w:lineRule="auto"/>
                  </w:pPr>
                  <w:r>
                    <w:t>喷涂保护液工序</w:t>
                  </w:r>
                </w:p>
              </w:tc>
              <w:tc>
                <w:tcPr>
                  <w:tcW w:w="1038" w:type="dxa"/>
                  <w:vAlign w:val="center"/>
                </w:tcPr>
                <w:p>
                  <w:pPr>
                    <w:jc w:val="center"/>
                    <w:rPr>
                      <w:rFonts w:ascii="Times New Roman" w:hAnsi="Times New Roman"/>
                    </w:rPr>
                  </w:pPr>
                  <w:r>
                    <w:rPr>
                      <w:rFonts w:ascii="Times New Roman" w:hAnsi="Times New Roman"/>
                    </w:rPr>
                    <w:t>非甲烷总烃</w:t>
                  </w:r>
                </w:p>
              </w:tc>
              <w:tc>
                <w:tcPr>
                  <w:tcW w:w="971" w:type="dxa"/>
                  <w:vAlign w:val="center"/>
                </w:tcPr>
                <w:p>
                  <w:pPr>
                    <w:pStyle w:val="72"/>
                    <w:spacing w:line="240" w:lineRule="auto"/>
                  </w:pPr>
                  <w:r>
                    <w:t>1.14</w:t>
                  </w:r>
                </w:p>
              </w:tc>
              <w:tc>
                <w:tcPr>
                  <w:tcW w:w="947" w:type="dxa"/>
                  <w:vAlign w:val="center"/>
                </w:tcPr>
                <w:p>
                  <w:pPr>
                    <w:pStyle w:val="72"/>
                    <w:spacing w:line="240" w:lineRule="auto"/>
                  </w:pPr>
                  <w:r>
                    <w:t>1.083</w:t>
                  </w:r>
                </w:p>
              </w:tc>
              <w:tc>
                <w:tcPr>
                  <w:tcW w:w="971" w:type="dxa"/>
                  <w:vAlign w:val="center"/>
                </w:tcPr>
                <w:p>
                  <w:pPr>
                    <w:pStyle w:val="72"/>
                    <w:spacing w:line="240" w:lineRule="auto"/>
                  </w:pPr>
                  <w:r>
                    <w:t>0.057</w:t>
                  </w:r>
                </w:p>
              </w:tc>
              <w:tc>
                <w:tcPr>
                  <w:tcW w:w="2983" w:type="dxa"/>
                  <w:gridSpan w:val="2"/>
                  <w:vAlign w:val="center"/>
                </w:tcPr>
                <w:p>
                  <w:pPr>
                    <w:jc w:val="center"/>
                    <w:rPr>
                      <w:rFonts w:ascii="Times New Roman" w:hAnsi="Times New Roman"/>
                      <w:lang w:val="en-US"/>
                    </w:rPr>
                  </w:pPr>
                  <w:r>
                    <w:rPr>
                      <w:rFonts w:ascii="Times New Roman" w:hAnsi="Times New Roman"/>
                      <w:lang w:val="en-US"/>
                    </w:rPr>
                    <w:t>二级活性炭吸附装置经30m排气筒（DA001）排放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524" w:type="dxa"/>
                  <w:vMerge w:val="continue"/>
                  <w:vAlign w:val="center"/>
                </w:tcPr>
                <w:p>
                  <w:pPr>
                    <w:pStyle w:val="72"/>
                    <w:spacing w:line="240" w:lineRule="auto"/>
                  </w:pPr>
                </w:p>
              </w:tc>
              <w:tc>
                <w:tcPr>
                  <w:tcW w:w="1153" w:type="dxa"/>
                  <w:vAlign w:val="center"/>
                </w:tcPr>
                <w:p>
                  <w:pPr>
                    <w:pStyle w:val="72"/>
                    <w:spacing w:line="240" w:lineRule="auto"/>
                  </w:pPr>
                  <w:r>
                    <w:rPr>
                      <w:rFonts w:hint="eastAsia"/>
                    </w:rPr>
                    <w:t>印刷</w:t>
                  </w:r>
                  <w:r>
                    <w:t>、喷AF膜及烘干工序</w:t>
                  </w:r>
                </w:p>
              </w:tc>
              <w:tc>
                <w:tcPr>
                  <w:tcW w:w="1038" w:type="dxa"/>
                  <w:vAlign w:val="center"/>
                </w:tcPr>
                <w:p>
                  <w:pPr>
                    <w:jc w:val="center"/>
                    <w:rPr>
                      <w:rFonts w:ascii="Times New Roman" w:hAnsi="Times New Roman"/>
                    </w:rPr>
                  </w:pPr>
                  <w:r>
                    <w:rPr>
                      <w:rFonts w:ascii="Times New Roman" w:hAnsi="Times New Roman"/>
                    </w:rPr>
                    <w:t>非甲烷总烃</w:t>
                  </w:r>
                </w:p>
              </w:tc>
              <w:tc>
                <w:tcPr>
                  <w:tcW w:w="971" w:type="dxa"/>
                  <w:vAlign w:val="center"/>
                </w:tcPr>
                <w:p>
                  <w:pPr>
                    <w:pStyle w:val="72"/>
                    <w:spacing w:line="240" w:lineRule="auto"/>
                  </w:pPr>
                  <w:r>
                    <w:t>0.428</w:t>
                  </w:r>
                </w:p>
              </w:tc>
              <w:tc>
                <w:tcPr>
                  <w:tcW w:w="947" w:type="dxa"/>
                  <w:vAlign w:val="center"/>
                </w:tcPr>
                <w:p>
                  <w:pPr>
                    <w:pStyle w:val="72"/>
                    <w:spacing w:line="240" w:lineRule="auto"/>
                  </w:pPr>
                  <w:r>
                    <w:t>0.385</w:t>
                  </w:r>
                </w:p>
              </w:tc>
              <w:tc>
                <w:tcPr>
                  <w:tcW w:w="971" w:type="dxa"/>
                  <w:vAlign w:val="center"/>
                </w:tcPr>
                <w:p>
                  <w:pPr>
                    <w:pStyle w:val="72"/>
                    <w:spacing w:line="240" w:lineRule="auto"/>
                  </w:pPr>
                  <w:r>
                    <w:t>0.043</w:t>
                  </w:r>
                </w:p>
              </w:tc>
              <w:tc>
                <w:tcPr>
                  <w:tcW w:w="2983" w:type="dxa"/>
                  <w:gridSpan w:val="2"/>
                  <w:vAlign w:val="center"/>
                </w:tcPr>
                <w:p>
                  <w:pPr>
                    <w:jc w:val="center"/>
                    <w:rPr>
                      <w:rFonts w:ascii="Times New Roman" w:hAnsi="Times New Roman"/>
                    </w:rPr>
                  </w:pPr>
                  <w:r>
                    <w:rPr>
                      <w:rFonts w:ascii="Times New Roman" w:hAnsi="Times New Roman"/>
                      <w:lang w:val="en-US"/>
                    </w:rPr>
                    <w:t>印刷区域密闭+二级活性炭纤维吸附处理后经30m排气筒（DA002）排放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24" w:type="dxa"/>
                  <w:vMerge w:val="continue"/>
                  <w:vAlign w:val="center"/>
                </w:tcPr>
                <w:p>
                  <w:pPr>
                    <w:pStyle w:val="72"/>
                    <w:spacing w:line="240" w:lineRule="auto"/>
                  </w:pPr>
                </w:p>
              </w:tc>
              <w:tc>
                <w:tcPr>
                  <w:tcW w:w="1153" w:type="dxa"/>
                  <w:vAlign w:val="center"/>
                </w:tcPr>
                <w:p>
                  <w:pPr>
                    <w:pStyle w:val="72"/>
                    <w:spacing w:line="240" w:lineRule="auto"/>
                  </w:pPr>
                  <w:r>
                    <w:t>食堂油烟废气</w:t>
                  </w:r>
                </w:p>
              </w:tc>
              <w:tc>
                <w:tcPr>
                  <w:tcW w:w="1038" w:type="dxa"/>
                  <w:vAlign w:val="center"/>
                </w:tcPr>
                <w:p>
                  <w:pPr>
                    <w:jc w:val="center"/>
                    <w:rPr>
                      <w:rFonts w:ascii="Times New Roman" w:hAnsi="Times New Roman"/>
                    </w:rPr>
                  </w:pPr>
                  <w:r>
                    <w:rPr>
                      <w:rFonts w:ascii="Times New Roman" w:hAnsi="Times New Roman"/>
                    </w:rPr>
                    <w:t>油烟</w:t>
                  </w:r>
                </w:p>
              </w:tc>
              <w:tc>
                <w:tcPr>
                  <w:tcW w:w="971" w:type="dxa"/>
                  <w:vAlign w:val="center"/>
                </w:tcPr>
                <w:p>
                  <w:pPr>
                    <w:pStyle w:val="72"/>
                    <w:spacing w:line="240" w:lineRule="auto"/>
                  </w:pPr>
                  <w:r>
                    <w:t>0.018</w:t>
                  </w:r>
                </w:p>
              </w:tc>
              <w:tc>
                <w:tcPr>
                  <w:tcW w:w="947" w:type="dxa"/>
                  <w:vAlign w:val="center"/>
                </w:tcPr>
                <w:p>
                  <w:pPr>
                    <w:pStyle w:val="72"/>
                    <w:spacing w:line="240" w:lineRule="auto"/>
                  </w:pPr>
                  <w:r>
                    <w:t>0.0135</w:t>
                  </w:r>
                </w:p>
              </w:tc>
              <w:tc>
                <w:tcPr>
                  <w:tcW w:w="971" w:type="dxa"/>
                  <w:vAlign w:val="center"/>
                </w:tcPr>
                <w:p>
                  <w:pPr>
                    <w:pStyle w:val="72"/>
                    <w:spacing w:line="240" w:lineRule="auto"/>
                  </w:pPr>
                  <w:r>
                    <w:t>0.0045</w:t>
                  </w:r>
                </w:p>
              </w:tc>
              <w:tc>
                <w:tcPr>
                  <w:tcW w:w="2983" w:type="dxa"/>
                  <w:gridSpan w:val="2"/>
                  <w:vAlign w:val="center"/>
                </w:tcPr>
                <w:p>
                  <w:pPr>
                    <w:jc w:val="center"/>
                    <w:rPr>
                      <w:rFonts w:ascii="Times New Roman" w:hAnsi="Times New Roman"/>
                    </w:rPr>
                  </w:pPr>
                  <w:r>
                    <w:rPr>
                      <w:rFonts w:ascii="Times New Roman" w:hAnsi="Times New Roman"/>
                    </w:rPr>
                    <w:t>油烟净化器处理+专用风道排放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restart"/>
                  <w:vAlign w:val="center"/>
                </w:tcPr>
                <w:p>
                  <w:pPr>
                    <w:pStyle w:val="72"/>
                    <w:spacing w:line="240" w:lineRule="auto"/>
                  </w:pPr>
                  <w:r>
                    <w:t>废水</w:t>
                  </w:r>
                </w:p>
              </w:tc>
              <w:tc>
                <w:tcPr>
                  <w:tcW w:w="1153" w:type="dxa"/>
                  <w:vMerge w:val="restart"/>
                  <w:vAlign w:val="center"/>
                </w:tcPr>
                <w:p>
                  <w:pPr>
                    <w:pStyle w:val="72"/>
                    <w:spacing w:line="240" w:lineRule="auto"/>
                  </w:pPr>
                  <w:r>
                    <w:t>生活污水、生产废水（清洗废水、玻璃浸泡废水）纯水机制备浓水</w:t>
                  </w:r>
                </w:p>
              </w:tc>
              <w:tc>
                <w:tcPr>
                  <w:tcW w:w="1038" w:type="dxa"/>
                  <w:vAlign w:val="center"/>
                </w:tcPr>
                <w:p>
                  <w:pPr>
                    <w:pStyle w:val="72"/>
                    <w:spacing w:line="240" w:lineRule="auto"/>
                  </w:pPr>
                  <w:r>
                    <w:t>废水量</w:t>
                  </w:r>
                </w:p>
              </w:tc>
              <w:tc>
                <w:tcPr>
                  <w:tcW w:w="971" w:type="dxa"/>
                  <w:vAlign w:val="center"/>
                </w:tcPr>
                <w:p>
                  <w:pPr>
                    <w:pStyle w:val="72"/>
                    <w:spacing w:line="240" w:lineRule="auto"/>
                  </w:pPr>
                  <w:r>
                    <w:rPr>
                      <w:lang w:val="en-US"/>
                    </w:rPr>
                    <w:t>20312.02</w:t>
                  </w:r>
                </w:p>
              </w:tc>
              <w:tc>
                <w:tcPr>
                  <w:tcW w:w="947" w:type="dxa"/>
                  <w:vAlign w:val="center"/>
                </w:tcPr>
                <w:p>
                  <w:pPr>
                    <w:pStyle w:val="72"/>
                    <w:spacing w:line="240" w:lineRule="auto"/>
                    <w:rPr>
                      <w:lang w:val="en-US"/>
                    </w:rPr>
                  </w:pPr>
                  <w:r>
                    <w:rPr>
                      <w:lang w:val="en-US"/>
                    </w:rPr>
                    <w:t>0</w:t>
                  </w:r>
                </w:p>
              </w:tc>
              <w:tc>
                <w:tcPr>
                  <w:tcW w:w="971" w:type="dxa"/>
                  <w:vAlign w:val="center"/>
                </w:tcPr>
                <w:p>
                  <w:pPr>
                    <w:pStyle w:val="72"/>
                    <w:spacing w:line="240" w:lineRule="auto"/>
                  </w:pPr>
                  <w:r>
                    <w:rPr>
                      <w:lang w:val="en-US"/>
                    </w:rPr>
                    <w:t>20312.02</w:t>
                  </w:r>
                </w:p>
              </w:tc>
              <w:tc>
                <w:tcPr>
                  <w:tcW w:w="1474" w:type="dxa"/>
                  <w:vMerge w:val="restart"/>
                  <w:vAlign w:val="center"/>
                </w:tcPr>
                <w:p>
                  <w:pPr>
                    <w:pStyle w:val="72"/>
                    <w:spacing w:line="240" w:lineRule="auto"/>
                  </w:pPr>
                  <w:r>
                    <w:t>生活污水经隔油池+化粪池+桂集镇污水处理厂</w:t>
                  </w:r>
                </w:p>
                <w:p>
                  <w:pPr>
                    <w:pStyle w:val="72"/>
                    <w:spacing w:line="240" w:lineRule="auto"/>
                  </w:pPr>
                  <w:r>
                    <w:t>纯水机制备浓水接市政污水管网进入桂集镇污水处理厂</w:t>
                  </w:r>
                </w:p>
                <w:p>
                  <w:pPr>
                    <w:pStyle w:val="72"/>
                    <w:spacing w:line="240" w:lineRule="auto"/>
                  </w:pPr>
                  <w:r>
                    <w:rPr>
                      <w:lang w:val="en-US"/>
                    </w:rPr>
                    <w:t>生产污水经三级絮凝沉淀池</w:t>
                  </w:r>
                  <w:r>
                    <w:t>+桂集镇污水处理厂</w:t>
                  </w:r>
                </w:p>
              </w:tc>
              <w:tc>
                <w:tcPr>
                  <w:tcW w:w="1509" w:type="dxa"/>
                  <w:vMerge w:val="restart"/>
                  <w:vAlign w:val="center"/>
                </w:tcPr>
                <w:p>
                  <w:pPr>
                    <w:pStyle w:val="72"/>
                    <w:spacing w:line="240" w:lineRule="auto"/>
                  </w:pPr>
                  <w:r>
                    <w:t>接入市政管网排入桂集镇污水处理厂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Merge w:val="continue"/>
                  <w:vAlign w:val="center"/>
                </w:tcPr>
                <w:p>
                  <w:pPr>
                    <w:pStyle w:val="72"/>
                    <w:spacing w:line="240" w:lineRule="auto"/>
                  </w:pPr>
                </w:p>
              </w:tc>
              <w:tc>
                <w:tcPr>
                  <w:tcW w:w="1038" w:type="dxa"/>
                  <w:vAlign w:val="center"/>
                </w:tcPr>
                <w:p>
                  <w:pPr>
                    <w:pStyle w:val="72"/>
                    <w:spacing w:line="240" w:lineRule="auto"/>
                  </w:pPr>
                  <w:r>
                    <w:rPr>
                      <w:lang w:val="en-US"/>
                    </w:rPr>
                    <w:t>PH</w:t>
                  </w:r>
                </w:p>
              </w:tc>
              <w:tc>
                <w:tcPr>
                  <w:tcW w:w="971" w:type="dxa"/>
                  <w:vAlign w:val="center"/>
                </w:tcPr>
                <w:p>
                  <w:pPr>
                    <w:pStyle w:val="72"/>
                    <w:spacing w:line="240" w:lineRule="auto"/>
                  </w:pPr>
                  <w:r>
                    <w:t>6-9</w:t>
                  </w:r>
                </w:p>
              </w:tc>
              <w:tc>
                <w:tcPr>
                  <w:tcW w:w="947" w:type="dxa"/>
                  <w:vAlign w:val="center"/>
                </w:tcPr>
                <w:p>
                  <w:pPr>
                    <w:pStyle w:val="72"/>
                    <w:spacing w:line="240" w:lineRule="auto"/>
                    <w:rPr>
                      <w:lang w:val="en-US"/>
                    </w:rPr>
                  </w:pPr>
                  <w:r>
                    <w:rPr>
                      <w:lang w:val="en-US"/>
                    </w:rPr>
                    <w:t>/</w:t>
                  </w:r>
                </w:p>
              </w:tc>
              <w:tc>
                <w:tcPr>
                  <w:tcW w:w="971" w:type="dxa"/>
                  <w:vAlign w:val="center"/>
                </w:tcPr>
                <w:p>
                  <w:pPr>
                    <w:pStyle w:val="72"/>
                    <w:spacing w:line="240" w:lineRule="auto"/>
                  </w:pPr>
                  <w:r>
                    <w:t>6-9</w:t>
                  </w:r>
                </w:p>
              </w:tc>
              <w:tc>
                <w:tcPr>
                  <w:tcW w:w="1474" w:type="dxa"/>
                  <w:vMerge w:val="continue"/>
                  <w:vAlign w:val="center"/>
                </w:tcPr>
                <w:p>
                  <w:pPr>
                    <w:pStyle w:val="72"/>
                    <w:spacing w:line="240" w:lineRule="auto"/>
                  </w:pPr>
                </w:p>
              </w:tc>
              <w:tc>
                <w:tcPr>
                  <w:tcW w:w="1509" w:type="dxa"/>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Merge w:val="continue"/>
                  <w:vAlign w:val="center"/>
                </w:tcPr>
                <w:p>
                  <w:pPr>
                    <w:pStyle w:val="72"/>
                    <w:spacing w:line="240" w:lineRule="auto"/>
                  </w:pPr>
                </w:p>
              </w:tc>
              <w:tc>
                <w:tcPr>
                  <w:tcW w:w="1038" w:type="dxa"/>
                  <w:vAlign w:val="center"/>
                </w:tcPr>
                <w:p>
                  <w:pPr>
                    <w:pStyle w:val="72"/>
                    <w:spacing w:line="240" w:lineRule="auto"/>
                  </w:pPr>
                  <w:r>
                    <w:rPr>
                      <w:lang w:val="en-US"/>
                    </w:rPr>
                    <w:t>COD</w:t>
                  </w:r>
                </w:p>
              </w:tc>
              <w:tc>
                <w:tcPr>
                  <w:tcW w:w="971" w:type="dxa"/>
                  <w:vAlign w:val="center"/>
                </w:tcPr>
                <w:p>
                  <w:pPr>
                    <w:pStyle w:val="72"/>
                    <w:spacing w:line="240" w:lineRule="auto"/>
                  </w:pPr>
                  <w:r>
                    <w:rPr>
                      <w:rFonts w:eastAsia="等线"/>
                    </w:rPr>
                    <w:t>4.4</w:t>
                  </w:r>
                </w:p>
              </w:tc>
              <w:tc>
                <w:tcPr>
                  <w:tcW w:w="947" w:type="dxa"/>
                  <w:vAlign w:val="center"/>
                </w:tcPr>
                <w:p>
                  <w:pPr>
                    <w:pStyle w:val="72"/>
                    <w:spacing w:line="240" w:lineRule="auto"/>
                    <w:rPr>
                      <w:lang w:val="en-US"/>
                    </w:rPr>
                  </w:pPr>
                  <w:r>
                    <w:rPr>
                      <w:rFonts w:eastAsia="等线"/>
                    </w:rPr>
                    <w:t>1.413</w:t>
                  </w:r>
                </w:p>
              </w:tc>
              <w:tc>
                <w:tcPr>
                  <w:tcW w:w="971" w:type="dxa"/>
                  <w:vAlign w:val="center"/>
                </w:tcPr>
                <w:p>
                  <w:pPr>
                    <w:pStyle w:val="72"/>
                    <w:spacing w:line="240" w:lineRule="auto"/>
                  </w:pPr>
                  <w:r>
                    <w:rPr>
                      <w:rFonts w:eastAsia="等线"/>
                    </w:rPr>
                    <w:t>2.987</w:t>
                  </w:r>
                </w:p>
              </w:tc>
              <w:tc>
                <w:tcPr>
                  <w:tcW w:w="1474" w:type="dxa"/>
                  <w:vMerge w:val="continue"/>
                  <w:vAlign w:val="center"/>
                </w:tcPr>
                <w:p>
                  <w:pPr>
                    <w:pStyle w:val="72"/>
                    <w:spacing w:line="240" w:lineRule="auto"/>
                  </w:pPr>
                </w:p>
              </w:tc>
              <w:tc>
                <w:tcPr>
                  <w:tcW w:w="1509" w:type="dxa"/>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Merge w:val="continue"/>
                  <w:vAlign w:val="center"/>
                </w:tcPr>
                <w:p>
                  <w:pPr>
                    <w:pStyle w:val="72"/>
                    <w:spacing w:line="240" w:lineRule="auto"/>
                  </w:pPr>
                </w:p>
              </w:tc>
              <w:tc>
                <w:tcPr>
                  <w:tcW w:w="1038" w:type="dxa"/>
                  <w:vAlign w:val="center"/>
                </w:tcPr>
                <w:p>
                  <w:pPr>
                    <w:pStyle w:val="72"/>
                    <w:spacing w:line="240" w:lineRule="auto"/>
                  </w:pPr>
                  <w:r>
                    <w:rPr>
                      <w:lang w:val="en-US"/>
                    </w:rPr>
                    <w:t>BOD</w:t>
                  </w:r>
                  <w:r>
                    <w:rPr>
                      <w:vertAlign w:val="subscript"/>
                      <w:lang w:val="en-US"/>
                    </w:rPr>
                    <w:t>5</w:t>
                  </w:r>
                </w:p>
              </w:tc>
              <w:tc>
                <w:tcPr>
                  <w:tcW w:w="971" w:type="dxa"/>
                  <w:vAlign w:val="center"/>
                </w:tcPr>
                <w:p>
                  <w:pPr>
                    <w:pStyle w:val="72"/>
                    <w:spacing w:line="240" w:lineRule="auto"/>
                  </w:pPr>
                  <w:r>
                    <w:rPr>
                      <w:rFonts w:eastAsia="等线"/>
                    </w:rPr>
                    <w:t>0.446</w:t>
                  </w:r>
                </w:p>
              </w:tc>
              <w:tc>
                <w:tcPr>
                  <w:tcW w:w="947" w:type="dxa"/>
                  <w:vAlign w:val="center"/>
                </w:tcPr>
                <w:p>
                  <w:pPr>
                    <w:pStyle w:val="72"/>
                    <w:spacing w:line="240" w:lineRule="auto"/>
                    <w:rPr>
                      <w:lang w:val="en-US"/>
                    </w:rPr>
                  </w:pPr>
                  <w:r>
                    <w:rPr>
                      <w:rFonts w:eastAsia="等线"/>
                    </w:rPr>
                    <w:t>0.043</w:t>
                  </w:r>
                </w:p>
              </w:tc>
              <w:tc>
                <w:tcPr>
                  <w:tcW w:w="971" w:type="dxa"/>
                  <w:vAlign w:val="center"/>
                </w:tcPr>
                <w:p>
                  <w:pPr>
                    <w:pStyle w:val="72"/>
                    <w:spacing w:line="240" w:lineRule="auto"/>
                  </w:pPr>
                  <w:r>
                    <w:rPr>
                      <w:rFonts w:eastAsia="等线"/>
                    </w:rPr>
                    <w:t>0.403</w:t>
                  </w:r>
                </w:p>
              </w:tc>
              <w:tc>
                <w:tcPr>
                  <w:tcW w:w="1474" w:type="dxa"/>
                  <w:vMerge w:val="continue"/>
                  <w:vAlign w:val="center"/>
                </w:tcPr>
                <w:p>
                  <w:pPr>
                    <w:pStyle w:val="72"/>
                    <w:spacing w:line="240" w:lineRule="auto"/>
                  </w:pPr>
                </w:p>
              </w:tc>
              <w:tc>
                <w:tcPr>
                  <w:tcW w:w="1509" w:type="dxa"/>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Merge w:val="continue"/>
                  <w:vAlign w:val="center"/>
                </w:tcPr>
                <w:p>
                  <w:pPr>
                    <w:pStyle w:val="72"/>
                    <w:spacing w:line="240" w:lineRule="auto"/>
                  </w:pPr>
                </w:p>
              </w:tc>
              <w:tc>
                <w:tcPr>
                  <w:tcW w:w="1038" w:type="dxa"/>
                  <w:vAlign w:val="center"/>
                </w:tcPr>
                <w:p>
                  <w:pPr>
                    <w:pStyle w:val="72"/>
                    <w:spacing w:line="240" w:lineRule="auto"/>
                  </w:pPr>
                  <w:r>
                    <w:rPr>
                      <w:lang w:val="en-US"/>
                    </w:rPr>
                    <w:t>SS</w:t>
                  </w:r>
                </w:p>
              </w:tc>
              <w:tc>
                <w:tcPr>
                  <w:tcW w:w="971" w:type="dxa"/>
                  <w:vAlign w:val="center"/>
                </w:tcPr>
                <w:p>
                  <w:pPr>
                    <w:pStyle w:val="72"/>
                    <w:spacing w:line="240" w:lineRule="auto"/>
                  </w:pPr>
                  <w:r>
                    <w:rPr>
                      <w:rFonts w:eastAsia="等线"/>
                    </w:rPr>
                    <w:t>3.23</w:t>
                  </w:r>
                </w:p>
              </w:tc>
              <w:tc>
                <w:tcPr>
                  <w:tcW w:w="947" w:type="dxa"/>
                  <w:vAlign w:val="center"/>
                </w:tcPr>
                <w:p>
                  <w:pPr>
                    <w:pStyle w:val="72"/>
                    <w:spacing w:line="240" w:lineRule="auto"/>
                    <w:rPr>
                      <w:lang w:val="en-US"/>
                    </w:rPr>
                  </w:pPr>
                  <w:r>
                    <w:rPr>
                      <w:rFonts w:eastAsia="等线"/>
                    </w:rPr>
                    <w:t>0.72</w:t>
                  </w:r>
                </w:p>
              </w:tc>
              <w:tc>
                <w:tcPr>
                  <w:tcW w:w="971" w:type="dxa"/>
                  <w:vAlign w:val="center"/>
                </w:tcPr>
                <w:p>
                  <w:pPr>
                    <w:pStyle w:val="72"/>
                    <w:spacing w:line="240" w:lineRule="auto"/>
                  </w:pPr>
                  <w:r>
                    <w:rPr>
                      <w:rFonts w:eastAsia="等线"/>
                    </w:rPr>
                    <w:t>2.51</w:t>
                  </w:r>
                </w:p>
              </w:tc>
              <w:tc>
                <w:tcPr>
                  <w:tcW w:w="1474" w:type="dxa"/>
                  <w:vMerge w:val="continue"/>
                  <w:vAlign w:val="center"/>
                </w:tcPr>
                <w:p>
                  <w:pPr>
                    <w:pStyle w:val="72"/>
                    <w:spacing w:line="240" w:lineRule="auto"/>
                  </w:pPr>
                </w:p>
              </w:tc>
              <w:tc>
                <w:tcPr>
                  <w:tcW w:w="1509" w:type="dxa"/>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Merge w:val="continue"/>
                  <w:vAlign w:val="center"/>
                </w:tcPr>
                <w:p>
                  <w:pPr>
                    <w:pStyle w:val="72"/>
                    <w:spacing w:line="240" w:lineRule="auto"/>
                  </w:pPr>
                </w:p>
              </w:tc>
              <w:tc>
                <w:tcPr>
                  <w:tcW w:w="1038" w:type="dxa"/>
                  <w:vAlign w:val="center"/>
                </w:tcPr>
                <w:p>
                  <w:pPr>
                    <w:pStyle w:val="72"/>
                    <w:spacing w:line="240" w:lineRule="auto"/>
                  </w:pPr>
                  <w:r>
                    <w:rPr>
                      <w:lang w:val="en-US"/>
                    </w:rPr>
                    <w:t>NH</w:t>
                  </w:r>
                  <w:r>
                    <w:rPr>
                      <w:vertAlign w:val="subscript"/>
                      <w:lang w:val="en-US"/>
                    </w:rPr>
                    <w:t>3</w:t>
                  </w:r>
                  <w:r>
                    <w:rPr>
                      <w:lang w:val="en-US"/>
                    </w:rPr>
                    <w:t>-N</w:t>
                  </w:r>
                </w:p>
              </w:tc>
              <w:tc>
                <w:tcPr>
                  <w:tcW w:w="971" w:type="dxa"/>
                  <w:vAlign w:val="center"/>
                </w:tcPr>
                <w:p>
                  <w:pPr>
                    <w:pStyle w:val="72"/>
                    <w:spacing w:line="240" w:lineRule="auto"/>
                    <w:rPr>
                      <w:lang w:val="en-US"/>
                    </w:rPr>
                  </w:pPr>
                  <w:r>
                    <w:rPr>
                      <w:rFonts w:eastAsia="等线"/>
                    </w:rPr>
                    <w:t>0.298</w:t>
                  </w:r>
                </w:p>
              </w:tc>
              <w:tc>
                <w:tcPr>
                  <w:tcW w:w="947" w:type="dxa"/>
                  <w:vAlign w:val="center"/>
                </w:tcPr>
                <w:p>
                  <w:pPr>
                    <w:pStyle w:val="72"/>
                    <w:spacing w:line="240" w:lineRule="auto"/>
                    <w:rPr>
                      <w:lang w:val="en-US"/>
                    </w:rPr>
                  </w:pPr>
                  <w:r>
                    <w:rPr>
                      <w:rFonts w:eastAsia="等线"/>
                    </w:rPr>
                    <w:t>0.027</w:t>
                  </w:r>
                </w:p>
              </w:tc>
              <w:tc>
                <w:tcPr>
                  <w:tcW w:w="971" w:type="dxa"/>
                  <w:vAlign w:val="center"/>
                </w:tcPr>
                <w:p>
                  <w:pPr>
                    <w:pStyle w:val="72"/>
                    <w:spacing w:line="240" w:lineRule="auto"/>
                  </w:pPr>
                  <w:r>
                    <w:rPr>
                      <w:rFonts w:eastAsia="等线"/>
                    </w:rPr>
                    <w:t>0.271</w:t>
                  </w:r>
                </w:p>
              </w:tc>
              <w:tc>
                <w:tcPr>
                  <w:tcW w:w="1474" w:type="dxa"/>
                  <w:vMerge w:val="continue"/>
                  <w:vAlign w:val="center"/>
                </w:tcPr>
                <w:p>
                  <w:pPr>
                    <w:pStyle w:val="72"/>
                    <w:spacing w:line="240" w:lineRule="auto"/>
                  </w:pPr>
                </w:p>
              </w:tc>
              <w:tc>
                <w:tcPr>
                  <w:tcW w:w="1509" w:type="dxa"/>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Merge w:val="continue"/>
                  <w:vAlign w:val="center"/>
                </w:tcPr>
                <w:p>
                  <w:pPr>
                    <w:pStyle w:val="72"/>
                    <w:spacing w:line="240" w:lineRule="auto"/>
                  </w:pPr>
                </w:p>
              </w:tc>
              <w:tc>
                <w:tcPr>
                  <w:tcW w:w="1038" w:type="dxa"/>
                  <w:vAlign w:val="center"/>
                </w:tcPr>
                <w:p>
                  <w:pPr>
                    <w:pStyle w:val="72"/>
                    <w:spacing w:line="240" w:lineRule="auto"/>
                  </w:pPr>
                  <w:r>
                    <w:rPr>
                      <w:lang w:val="en-US"/>
                    </w:rPr>
                    <w:t>LAS</w:t>
                  </w:r>
                </w:p>
              </w:tc>
              <w:tc>
                <w:tcPr>
                  <w:tcW w:w="971" w:type="dxa"/>
                  <w:vAlign w:val="center"/>
                </w:tcPr>
                <w:p>
                  <w:pPr>
                    <w:pStyle w:val="72"/>
                    <w:spacing w:line="240" w:lineRule="auto"/>
                    <w:rPr>
                      <w:lang w:val="en-US"/>
                    </w:rPr>
                  </w:pPr>
                  <w:r>
                    <w:rPr>
                      <w:rFonts w:eastAsia="等线"/>
                    </w:rPr>
                    <w:t>0.242</w:t>
                  </w:r>
                </w:p>
              </w:tc>
              <w:tc>
                <w:tcPr>
                  <w:tcW w:w="947" w:type="dxa"/>
                  <w:vAlign w:val="center"/>
                </w:tcPr>
                <w:p>
                  <w:pPr>
                    <w:pStyle w:val="72"/>
                    <w:spacing w:line="240" w:lineRule="auto"/>
                    <w:rPr>
                      <w:lang w:val="en-US"/>
                    </w:rPr>
                  </w:pPr>
                  <w:r>
                    <w:rPr>
                      <w:rFonts w:eastAsia="等线"/>
                    </w:rPr>
                    <w:t>0.121</w:t>
                  </w:r>
                </w:p>
              </w:tc>
              <w:tc>
                <w:tcPr>
                  <w:tcW w:w="971" w:type="dxa"/>
                  <w:vAlign w:val="center"/>
                </w:tcPr>
                <w:p>
                  <w:pPr>
                    <w:pStyle w:val="72"/>
                    <w:spacing w:line="240" w:lineRule="auto"/>
                  </w:pPr>
                  <w:r>
                    <w:rPr>
                      <w:rFonts w:eastAsia="等线"/>
                    </w:rPr>
                    <w:t>0.121</w:t>
                  </w:r>
                </w:p>
              </w:tc>
              <w:tc>
                <w:tcPr>
                  <w:tcW w:w="1474" w:type="dxa"/>
                  <w:vMerge w:val="continue"/>
                  <w:vAlign w:val="center"/>
                </w:tcPr>
                <w:p>
                  <w:pPr>
                    <w:pStyle w:val="72"/>
                    <w:spacing w:line="240" w:lineRule="auto"/>
                  </w:pPr>
                </w:p>
              </w:tc>
              <w:tc>
                <w:tcPr>
                  <w:tcW w:w="1509" w:type="dxa"/>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Merge w:val="continue"/>
                  <w:vAlign w:val="center"/>
                </w:tcPr>
                <w:p>
                  <w:pPr>
                    <w:pStyle w:val="72"/>
                    <w:spacing w:line="240" w:lineRule="auto"/>
                  </w:pPr>
                </w:p>
              </w:tc>
              <w:tc>
                <w:tcPr>
                  <w:tcW w:w="1038" w:type="dxa"/>
                  <w:vAlign w:val="center"/>
                </w:tcPr>
                <w:p>
                  <w:pPr>
                    <w:pStyle w:val="72"/>
                    <w:spacing w:line="240" w:lineRule="auto"/>
                  </w:pPr>
                  <w:r>
                    <w:rPr>
                      <w:lang w:val="en-US"/>
                    </w:rPr>
                    <w:t>TP</w:t>
                  </w:r>
                </w:p>
              </w:tc>
              <w:tc>
                <w:tcPr>
                  <w:tcW w:w="971" w:type="dxa"/>
                  <w:vAlign w:val="center"/>
                </w:tcPr>
                <w:p>
                  <w:pPr>
                    <w:pStyle w:val="72"/>
                    <w:spacing w:line="240" w:lineRule="auto"/>
                    <w:rPr>
                      <w:lang w:val="en-US"/>
                    </w:rPr>
                  </w:pPr>
                  <w:r>
                    <w:rPr>
                      <w:rFonts w:eastAsia="等线"/>
                    </w:rPr>
                    <w:t>0.026</w:t>
                  </w:r>
                </w:p>
              </w:tc>
              <w:tc>
                <w:tcPr>
                  <w:tcW w:w="947" w:type="dxa"/>
                  <w:vAlign w:val="center"/>
                </w:tcPr>
                <w:p>
                  <w:pPr>
                    <w:pStyle w:val="72"/>
                    <w:spacing w:line="240" w:lineRule="auto"/>
                    <w:rPr>
                      <w:lang w:val="en-US"/>
                    </w:rPr>
                  </w:pPr>
                  <w:r>
                    <w:rPr>
                      <w:rFonts w:eastAsia="等线"/>
                    </w:rPr>
                    <w:t>0.001</w:t>
                  </w:r>
                </w:p>
              </w:tc>
              <w:tc>
                <w:tcPr>
                  <w:tcW w:w="971" w:type="dxa"/>
                  <w:vAlign w:val="center"/>
                </w:tcPr>
                <w:p>
                  <w:pPr>
                    <w:pStyle w:val="72"/>
                    <w:spacing w:line="240" w:lineRule="auto"/>
                  </w:pPr>
                  <w:r>
                    <w:rPr>
                      <w:rFonts w:eastAsia="等线"/>
                    </w:rPr>
                    <w:t>0.025</w:t>
                  </w:r>
                </w:p>
              </w:tc>
              <w:tc>
                <w:tcPr>
                  <w:tcW w:w="1474" w:type="dxa"/>
                  <w:vMerge w:val="continue"/>
                  <w:vAlign w:val="center"/>
                </w:tcPr>
                <w:p>
                  <w:pPr>
                    <w:pStyle w:val="72"/>
                    <w:spacing w:line="240" w:lineRule="auto"/>
                  </w:pPr>
                </w:p>
              </w:tc>
              <w:tc>
                <w:tcPr>
                  <w:tcW w:w="1509" w:type="dxa"/>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Merge w:val="continue"/>
                  <w:vAlign w:val="center"/>
                </w:tcPr>
                <w:p>
                  <w:pPr>
                    <w:pStyle w:val="72"/>
                    <w:spacing w:line="240" w:lineRule="auto"/>
                  </w:pPr>
                </w:p>
              </w:tc>
              <w:tc>
                <w:tcPr>
                  <w:tcW w:w="1038" w:type="dxa"/>
                  <w:vAlign w:val="center"/>
                </w:tcPr>
                <w:p>
                  <w:pPr>
                    <w:pStyle w:val="72"/>
                    <w:spacing w:line="240" w:lineRule="auto"/>
                  </w:pPr>
                  <w:r>
                    <w:rPr>
                      <w:lang w:val="en-US"/>
                    </w:rPr>
                    <w:t>动植物油</w:t>
                  </w:r>
                </w:p>
              </w:tc>
              <w:tc>
                <w:tcPr>
                  <w:tcW w:w="971" w:type="dxa"/>
                  <w:vAlign w:val="center"/>
                </w:tcPr>
                <w:p>
                  <w:pPr>
                    <w:pStyle w:val="72"/>
                    <w:spacing w:line="240" w:lineRule="auto"/>
                    <w:rPr>
                      <w:lang w:val="en-US"/>
                    </w:rPr>
                  </w:pPr>
                  <w:r>
                    <w:rPr>
                      <w:rFonts w:eastAsia="等线"/>
                    </w:rPr>
                    <w:t>0.106</w:t>
                  </w:r>
                </w:p>
              </w:tc>
              <w:tc>
                <w:tcPr>
                  <w:tcW w:w="947" w:type="dxa"/>
                  <w:vAlign w:val="center"/>
                </w:tcPr>
                <w:p>
                  <w:pPr>
                    <w:pStyle w:val="72"/>
                    <w:spacing w:line="240" w:lineRule="auto"/>
                    <w:rPr>
                      <w:lang w:val="en-US"/>
                    </w:rPr>
                  </w:pPr>
                  <w:r>
                    <w:rPr>
                      <w:rFonts w:eastAsia="等线"/>
                    </w:rPr>
                    <w:t>0.053</w:t>
                  </w:r>
                </w:p>
              </w:tc>
              <w:tc>
                <w:tcPr>
                  <w:tcW w:w="971" w:type="dxa"/>
                  <w:vAlign w:val="center"/>
                </w:tcPr>
                <w:p>
                  <w:pPr>
                    <w:pStyle w:val="72"/>
                    <w:spacing w:line="240" w:lineRule="auto"/>
                  </w:pPr>
                  <w:r>
                    <w:rPr>
                      <w:rFonts w:eastAsia="等线"/>
                    </w:rPr>
                    <w:t>0.053</w:t>
                  </w:r>
                </w:p>
              </w:tc>
              <w:tc>
                <w:tcPr>
                  <w:tcW w:w="1474" w:type="dxa"/>
                  <w:vMerge w:val="continue"/>
                  <w:vAlign w:val="center"/>
                </w:tcPr>
                <w:p>
                  <w:pPr>
                    <w:pStyle w:val="72"/>
                    <w:spacing w:line="240" w:lineRule="auto"/>
                  </w:pPr>
                </w:p>
              </w:tc>
              <w:tc>
                <w:tcPr>
                  <w:tcW w:w="1509" w:type="dxa"/>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restart"/>
                  <w:vAlign w:val="center"/>
                </w:tcPr>
                <w:p>
                  <w:pPr>
                    <w:pStyle w:val="72"/>
                    <w:spacing w:line="240" w:lineRule="auto"/>
                  </w:pPr>
                  <w:r>
                    <w:t>固体废物</w:t>
                  </w:r>
                </w:p>
              </w:tc>
              <w:tc>
                <w:tcPr>
                  <w:tcW w:w="1153" w:type="dxa"/>
                  <w:vAlign w:val="center"/>
                </w:tcPr>
                <w:p>
                  <w:pPr>
                    <w:jc w:val="center"/>
                    <w:rPr>
                      <w:rFonts w:ascii="Times New Roman" w:hAnsi="Times New Roman"/>
                    </w:rPr>
                  </w:pPr>
                  <w:r>
                    <w:rPr>
                      <w:rFonts w:ascii="Times New Roman" w:hAnsi="Times New Roman"/>
                      <w:lang w:val="en-US"/>
                    </w:rPr>
                    <w:t>玻璃碎屑、边角料、次品</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20</w:t>
                  </w:r>
                </w:p>
              </w:tc>
              <w:tc>
                <w:tcPr>
                  <w:tcW w:w="947" w:type="dxa"/>
                  <w:vAlign w:val="center"/>
                </w:tcPr>
                <w:p>
                  <w:pPr>
                    <w:jc w:val="center"/>
                    <w:rPr>
                      <w:rFonts w:ascii="Times New Roman" w:hAnsi="Times New Roman"/>
                    </w:rPr>
                  </w:pPr>
                  <w:r>
                    <w:rPr>
                      <w:rFonts w:ascii="Times New Roman" w:hAnsi="Times New Roman"/>
                    </w:rPr>
                    <w:t>20</w:t>
                  </w:r>
                </w:p>
              </w:tc>
              <w:tc>
                <w:tcPr>
                  <w:tcW w:w="971" w:type="dxa"/>
                  <w:vAlign w:val="center"/>
                </w:tcPr>
                <w:p>
                  <w:pPr>
                    <w:jc w:val="center"/>
                    <w:rPr>
                      <w:rFonts w:ascii="Times New Roman" w:hAnsi="Times New Roman"/>
                    </w:rPr>
                  </w:pPr>
                  <w:r>
                    <w:rPr>
                      <w:rFonts w:ascii="Times New Roman" w:hAnsi="Times New Roman"/>
                    </w:rPr>
                    <w:t>0</w:t>
                  </w:r>
                </w:p>
              </w:tc>
              <w:tc>
                <w:tcPr>
                  <w:tcW w:w="2983" w:type="dxa"/>
                  <w:gridSpan w:val="2"/>
                  <w:vAlign w:val="center"/>
                </w:tcPr>
                <w:p>
                  <w:pPr>
                    <w:pStyle w:val="72"/>
                    <w:spacing w:line="240" w:lineRule="auto"/>
                  </w:pPr>
                  <w:r>
                    <w:t>集中收集，外售至玻璃生产商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废包装材料</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1.6</w:t>
                  </w:r>
                </w:p>
              </w:tc>
              <w:tc>
                <w:tcPr>
                  <w:tcW w:w="947" w:type="dxa"/>
                  <w:vAlign w:val="center"/>
                </w:tcPr>
                <w:p>
                  <w:pPr>
                    <w:jc w:val="center"/>
                    <w:rPr>
                      <w:rFonts w:ascii="Times New Roman" w:hAnsi="Times New Roman"/>
                    </w:rPr>
                  </w:pPr>
                  <w:r>
                    <w:rPr>
                      <w:rFonts w:ascii="Times New Roman" w:hAnsi="Times New Roman"/>
                    </w:rPr>
                    <w:t>1.6</w:t>
                  </w:r>
                </w:p>
              </w:tc>
              <w:tc>
                <w:tcPr>
                  <w:tcW w:w="971" w:type="dxa"/>
                  <w:vAlign w:val="center"/>
                </w:tcPr>
                <w:p>
                  <w:pPr>
                    <w:jc w:val="center"/>
                    <w:rPr>
                      <w:rFonts w:ascii="Times New Roman" w:hAnsi="Times New Roman"/>
                    </w:rPr>
                  </w:pPr>
                  <w:r>
                    <w:rPr>
                      <w:rFonts w:ascii="Times New Roman" w:hAnsi="Times New Roman"/>
                    </w:rPr>
                    <w:t>0</w:t>
                  </w:r>
                </w:p>
              </w:tc>
              <w:tc>
                <w:tcPr>
                  <w:tcW w:w="2983" w:type="dxa"/>
                  <w:gridSpan w:val="2"/>
                  <w:vAlign w:val="center"/>
                </w:tcPr>
                <w:p>
                  <w:pPr>
                    <w:pStyle w:val="72"/>
                    <w:spacing w:line="240" w:lineRule="auto"/>
                  </w:pPr>
                  <w:r>
                    <w:t>统一收集后，外售至废品收购站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生活垃圾</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75</w:t>
                  </w:r>
                </w:p>
              </w:tc>
              <w:tc>
                <w:tcPr>
                  <w:tcW w:w="947" w:type="dxa"/>
                  <w:vAlign w:val="center"/>
                </w:tcPr>
                <w:p>
                  <w:pPr>
                    <w:jc w:val="center"/>
                    <w:rPr>
                      <w:rFonts w:ascii="Times New Roman" w:hAnsi="Times New Roman"/>
                    </w:rPr>
                  </w:pPr>
                  <w:r>
                    <w:rPr>
                      <w:rFonts w:ascii="Times New Roman" w:hAnsi="Times New Roman"/>
                    </w:rPr>
                    <w:t>75</w:t>
                  </w:r>
                </w:p>
              </w:tc>
              <w:tc>
                <w:tcPr>
                  <w:tcW w:w="971" w:type="dxa"/>
                  <w:vAlign w:val="center"/>
                </w:tcPr>
                <w:p>
                  <w:pPr>
                    <w:jc w:val="center"/>
                    <w:rPr>
                      <w:rFonts w:ascii="Times New Roman" w:hAnsi="Times New Roman"/>
                    </w:rPr>
                  </w:pPr>
                  <w:r>
                    <w:rPr>
                      <w:rFonts w:ascii="Times New Roman" w:hAnsi="Times New Roman"/>
                    </w:rPr>
                    <w:t>0</w:t>
                  </w:r>
                </w:p>
              </w:tc>
              <w:tc>
                <w:tcPr>
                  <w:tcW w:w="2983" w:type="dxa"/>
                  <w:gridSpan w:val="2"/>
                  <w:vAlign w:val="center"/>
                </w:tcPr>
                <w:p>
                  <w:pPr>
                    <w:pStyle w:val="72"/>
                    <w:spacing w:line="240" w:lineRule="auto"/>
                  </w:pPr>
                  <w:r>
                    <w:t>委托当地环卫部门进行清运处理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废树脂</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2</w:t>
                  </w:r>
                </w:p>
              </w:tc>
              <w:tc>
                <w:tcPr>
                  <w:tcW w:w="947" w:type="dxa"/>
                  <w:vAlign w:val="center"/>
                </w:tcPr>
                <w:p>
                  <w:pPr>
                    <w:jc w:val="center"/>
                    <w:rPr>
                      <w:rFonts w:ascii="Times New Roman" w:hAnsi="Times New Roman"/>
                    </w:rPr>
                  </w:pPr>
                  <w:r>
                    <w:rPr>
                      <w:rFonts w:ascii="Times New Roman" w:hAnsi="Times New Roman"/>
                    </w:rPr>
                    <w:t>2</w:t>
                  </w:r>
                </w:p>
              </w:tc>
              <w:tc>
                <w:tcPr>
                  <w:tcW w:w="971" w:type="dxa"/>
                  <w:vAlign w:val="center"/>
                </w:tcPr>
                <w:p>
                  <w:pPr>
                    <w:jc w:val="center"/>
                    <w:rPr>
                      <w:rFonts w:ascii="Times New Roman" w:hAnsi="Times New Roman"/>
                    </w:rPr>
                  </w:pPr>
                  <w:r>
                    <w:rPr>
                      <w:rFonts w:ascii="Times New Roman" w:hAnsi="Times New Roman"/>
                    </w:rPr>
                    <w:t>0</w:t>
                  </w:r>
                </w:p>
              </w:tc>
              <w:tc>
                <w:tcPr>
                  <w:tcW w:w="2983" w:type="dxa"/>
                  <w:gridSpan w:val="2"/>
                  <w:vAlign w:val="center"/>
                </w:tcPr>
                <w:p>
                  <w:pPr>
                    <w:pStyle w:val="72"/>
                    <w:spacing w:line="240" w:lineRule="auto"/>
                  </w:pPr>
                  <w:r>
                    <w:t>统一收集后，委托厂家处理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restart"/>
                  <w:vAlign w:val="center"/>
                </w:tcPr>
                <w:p>
                  <w:pPr>
                    <w:pStyle w:val="72"/>
                    <w:spacing w:line="240" w:lineRule="auto"/>
                  </w:pPr>
                  <w:r>
                    <w:t>危险废物</w:t>
                  </w:r>
                </w:p>
              </w:tc>
              <w:tc>
                <w:tcPr>
                  <w:tcW w:w="1153" w:type="dxa"/>
                  <w:vAlign w:val="center"/>
                </w:tcPr>
                <w:p>
                  <w:pPr>
                    <w:jc w:val="center"/>
                    <w:rPr>
                      <w:rFonts w:ascii="Times New Roman" w:hAnsi="Times New Roman"/>
                    </w:rPr>
                  </w:pPr>
                  <w:r>
                    <w:rPr>
                      <w:rFonts w:ascii="Times New Roman" w:hAnsi="Times New Roman"/>
                    </w:rPr>
                    <w:t>废活性炭</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6.33</w:t>
                  </w:r>
                </w:p>
              </w:tc>
              <w:tc>
                <w:tcPr>
                  <w:tcW w:w="947" w:type="dxa"/>
                  <w:vAlign w:val="center"/>
                </w:tcPr>
                <w:p>
                  <w:pPr>
                    <w:jc w:val="center"/>
                    <w:rPr>
                      <w:rFonts w:ascii="Times New Roman" w:hAnsi="Times New Roman"/>
                    </w:rPr>
                  </w:pPr>
                  <w:r>
                    <w:rPr>
                      <w:rFonts w:ascii="Times New Roman" w:hAnsi="Times New Roman"/>
                    </w:rPr>
                    <w:t>6.33</w:t>
                  </w:r>
                </w:p>
              </w:tc>
              <w:tc>
                <w:tcPr>
                  <w:tcW w:w="971" w:type="dxa"/>
                  <w:vAlign w:val="center"/>
                </w:tcPr>
                <w:p>
                  <w:pPr>
                    <w:jc w:val="center"/>
                    <w:rPr>
                      <w:rFonts w:ascii="Times New Roman" w:hAnsi="Times New Roman"/>
                    </w:rPr>
                  </w:pPr>
                  <w:r>
                    <w:rPr>
                      <w:rFonts w:ascii="Times New Roman" w:hAnsi="Times New Roman"/>
                    </w:rPr>
                    <w:t>0</w:t>
                  </w:r>
                </w:p>
              </w:tc>
              <w:tc>
                <w:tcPr>
                  <w:tcW w:w="2983" w:type="dxa"/>
                  <w:gridSpan w:val="2"/>
                  <w:vMerge w:val="restart"/>
                  <w:vAlign w:val="center"/>
                </w:tcPr>
                <w:p>
                  <w:pPr>
                    <w:pStyle w:val="72"/>
                    <w:spacing w:line="240" w:lineRule="auto"/>
                  </w:pPr>
                  <w:r>
                    <w:t>委托有资质的单位进行无害化处理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废润滑油</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0.01</w:t>
                  </w:r>
                </w:p>
              </w:tc>
              <w:tc>
                <w:tcPr>
                  <w:tcW w:w="947" w:type="dxa"/>
                  <w:vAlign w:val="center"/>
                </w:tcPr>
                <w:p>
                  <w:pPr>
                    <w:jc w:val="center"/>
                    <w:rPr>
                      <w:rFonts w:ascii="Times New Roman" w:hAnsi="Times New Roman"/>
                    </w:rPr>
                  </w:pPr>
                  <w:r>
                    <w:rPr>
                      <w:rFonts w:ascii="Times New Roman" w:hAnsi="Times New Roman"/>
                    </w:rPr>
                    <w:t>0.01</w:t>
                  </w:r>
                </w:p>
              </w:tc>
              <w:tc>
                <w:tcPr>
                  <w:tcW w:w="971" w:type="dxa"/>
                  <w:vAlign w:val="center"/>
                </w:tcPr>
                <w:p>
                  <w:pPr>
                    <w:jc w:val="center"/>
                    <w:rPr>
                      <w:rFonts w:ascii="Times New Roman" w:hAnsi="Times New Roman"/>
                    </w:rPr>
                  </w:pPr>
                  <w:r>
                    <w:rPr>
                      <w:rFonts w:ascii="Times New Roman" w:hAnsi="Times New Roman"/>
                    </w:rPr>
                    <w:t>0</w:t>
                  </w:r>
                </w:p>
              </w:tc>
              <w:tc>
                <w:tcPr>
                  <w:tcW w:w="2983" w:type="dxa"/>
                  <w:gridSpan w:val="2"/>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废洗网水</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0.1</w:t>
                  </w:r>
                </w:p>
              </w:tc>
              <w:tc>
                <w:tcPr>
                  <w:tcW w:w="947" w:type="dxa"/>
                  <w:vAlign w:val="center"/>
                </w:tcPr>
                <w:p>
                  <w:pPr>
                    <w:jc w:val="center"/>
                    <w:rPr>
                      <w:rFonts w:ascii="Times New Roman" w:hAnsi="Times New Roman"/>
                    </w:rPr>
                  </w:pPr>
                  <w:r>
                    <w:rPr>
                      <w:rFonts w:ascii="Times New Roman" w:hAnsi="Times New Roman"/>
                    </w:rPr>
                    <w:t>0.1</w:t>
                  </w:r>
                </w:p>
              </w:tc>
              <w:tc>
                <w:tcPr>
                  <w:tcW w:w="971" w:type="dxa"/>
                  <w:vAlign w:val="center"/>
                </w:tcPr>
                <w:p>
                  <w:pPr>
                    <w:jc w:val="center"/>
                    <w:rPr>
                      <w:rFonts w:ascii="Times New Roman" w:hAnsi="Times New Roman"/>
                    </w:rPr>
                  </w:pPr>
                  <w:r>
                    <w:rPr>
                      <w:rFonts w:ascii="Times New Roman" w:hAnsi="Times New Roman"/>
                    </w:rPr>
                    <w:t>0</w:t>
                  </w:r>
                </w:p>
              </w:tc>
              <w:tc>
                <w:tcPr>
                  <w:tcW w:w="2983" w:type="dxa"/>
                  <w:gridSpan w:val="2"/>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废油墨渣</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0.04</w:t>
                  </w:r>
                </w:p>
              </w:tc>
              <w:tc>
                <w:tcPr>
                  <w:tcW w:w="947" w:type="dxa"/>
                  <w:vAlign w:val="center"/>
                </w:tcPr>
                <w:p>
                  <w:pPr>
                    <w:jc w:val="center"/>
                    <w:rPr>
                      <w:rFonts w:ascii="Times New Roman" w:hAnsi="Times New Roman"/>
                    </w:rPr>
                  </w:pPr>
                  <w:r>
                    <w:rPr>
                      <w:rFonts w:ascii="Times New Roman" w:hAnsi="Times New Roman"/>
                    </w:rPr>
                    <w:t>0.04</w:t>
                  </w:r>
                </w:p>
              </w:tc>
              <w:tc>
                <w:tcPr>
                  <w:tcW w:w="971" w:type="dxa"/>
                  <w:vAlign w:val="center"/>
                </w:tcPr>
                <w:p>
                  <w:pPr>
                    <w:pStyle w:val="72"/>
                    <w:spacing w:line="240" w:lineRule="auto"/>
                  </w:pPr>
                  <w:r>
                    <w:t>0</w:t>
                  </w:r>
                </w:p>
              </w:tc>
              <w:tc>
                <w:tcPr>
                  <w:tcW w:w="2983" w:type="dxa"/>
                  <w:gridSpan w:val="2"/>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废硝酸钾</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15</w:t>
                  </w:r>
                </w:p>
              </w:tc>
              <w:tc>
                <w:tcPr>
                  <w:tcW w:w="947" w:type="dxa"/>
                  <w:vAlign w:val="center"/>
                </w:tcPr>
                <w:p>
                  <w:pPr>
                    <w:jc w:val="center"/>
                    <w:rPr>
                      <w:rFonts w:ascii="Times New Roman" w:hAnsi="Times New Roman"/>
                    </w:rPr>
                  </w:pPr>
                  <w:r>
                    <w:rPr>
                      <w:rFonts w:ascii="Times New Roman" w:hAnsi="Times New Roman"/>
                    </w:rPr>
                    <w:t>15</w:t>
                  </w:r>
                </w:p>
              </w:tc>
              <w:tc>
                <w:tcPr>
                  <w:tcW w:w="971" w:type="dxa"/>
                  <w:vAlign w:val="center"/>
                </w:tcPr>
                <w:p>
                  <w:pPr>
                    <w:pStyle w:val="72"/>
                    <w:tabs>
                      <w:tab w:val="left" w:pos="362"/>
                    </w:tabs>
                    <w:spacing w:line="240" w:lineRule="auto"/>
                  </w:pPr>
                  <w:r>
                    <w:t>0</w:t>
                  </w:r>
                </w:p>
              </w:tc>
              <w:tc>
                <w:tcPr>
                  <w:tcW w:w="2983" w:type="dxa"/>
                  <w:gridSpan w:val="2"/>
                  <w:vMerge w:val="continue"/>
                  <w:vAlign w:val="center"/>
                </w:tcPr>
                <w:p>
                  <w:pPr>
                    <w:pStyle w:val="72"/>
                    <w:spacing w:line="240" w:lineRule="auto"/>
                    <w:jc w:val="left"/>
                    <w:rPr>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废AF药水</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0.32</w:t>
                  </w:r>
                </w:p>
              </w:tc>
              <w:tc>
                <w:tcPr>
                  <w:tcW w:w="947" w:type="dxa"/>
                  <w:vAlign w:val="center"/>
                </w:tcPr>
                <w:p>
                  <w:pPr>
                    <w:jc w:val="center"/>
                    <w:rPr>
                      <w:rFonts w:ascii="Times New Roman" w:hAnsi="Times New Roman"/>
                    </w:rPr>
                  </w:pPr>
                  <w:r>
                    <w:rPr>
                      <w:rFonts w:ascii="Times New Roman" w:hAnsi="Times New Roman"/>
                    </w:rPr>
                    <w:t>0.32</w:t>
                  </w:r>
                </w:p>
              </w:tc>
              <w:tc>
                <w:tcPr>
                  <w:tcW w:w="971" w:type="dxa"/>
                  <w:vAlign w:val="center"/>
                </w:tcPr>
                <w:p>
                  <w:pPr>
                    <w:pStyle w:val="72"/>
                    <w:tabs>
                      <w:tab w:val="left" w:pos="362"/>
                    </w:tabs>
                    <w:spacing w:line="240" w:lineRule="auto"/>
                  </w:pPr>
                  <w:r>
                    <w:t>0</w:t>
                  </w:r>
                </w:p>
              </w:tc>
              <w:tc>
                <w:tcPr>
                  <w:tcW w:w="2983" w:type="dxa"/>
                  <w:gridSpan w:val="2"/>
                  <w:vMerge w:val="continue"/>
                  <w:vAlign w:val="center"/>
                </w:tcPr>
                <w:p>
                  <w:pPr>
                    <w:pStyle w:val="72"/>
                    <w:spacing w:line="240" w:lineRule="auto"/>
                    <w:jc w:val="left"/>
                    <w:rPr>
                      <w:b/>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废包装瓶（桶）</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1.43</w:t>
                  </w:r>
                </w:p>
              </w:tc>
              <w:tc>
                <w:tcPr>
                  <w:tcW w:w="947" w:type="dxa"/>
                  <w:vAlign w:val="center"/>
                </w:tcPr>
                <w:p>
                  <w:pPr>
                    <w:jc w:val="center"/>
                    <w:rPr>
                      <w:rFonts w:ascii="Times New Roman" w:hAnsi="Times New Roman"/>
                    </w:rPr>
                  </w:pPr>
                  <w:r>
                    <w:rPr>
                      <w:rFonts w:ascii="Times New Roman" w:hAnsi="Times New Roman"/>
                    </w:rPr>
                    <w:t>1.43</w:t>
                  </w:r>
                </w:p>
              </w:tc>
              <w:tc>
                <w:tcPr>
                  <w:tcW w:w="971" w:type="dxa"/>
                  <w:vAlign w:val="center"/>
                </w:tcPr>
                <w:p>
                  <w:pPr>
                    <w:pStyle w:val="72"/>
                    <w:tabs>
                      <w:tab w:val="left" w:pos="362"/>
                    </w:tabs>
                    <w:spacing w:line="240" w:lineRule="auto"/>
                  </w:pPr>
                  <w:r>
                    <w:t>0</w:t>
                  </w:r>
                </w:p>
              </w:tc>
              <w:tc>
                <w:tcPr>
                  <w:tcW w:w="2983" w:type="dxa"/>
                  <w:gridSpan w:val="2"/>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jc w:val="center"/>
                    <w:rPr>
                      <w:rFonts w:ascii="Times New Roman" w:hAnsi="Times New Roman"/>
                    </w:rPr>
                  </w:pPr>
                  <w:r>
                    <w:rPr>
                      <w:rFonts w:ascii="Times New Roman" w:hAnsi="Times New Roman"/>
                    </w:rPr>
                    <w:t>废水处理站污泥</w:t>
                  </w:r>
                </w:p>
              </w:tc>
              <w:tc>
                <w:tcPr>
                  <w:tcW w:w="1038" w:type="dxa"/>
                  <w:vAlign w:val="center"/>
                </w:tcPr>
                <w:p>
                  <w:pPr>
                    <w:pStyle w:val="72"/>
                    <w:spacing w:line="240" w:lineRule="auto"/>
                  </w:pPr>
                  <w:r>
                    <w:t>/</w:t>
                  </w:r>
                </w:p>
              </w:tc>
              <w:tc>
                <w:tcPr>
                  <w:tcW w:w="971" w:type="dxa"/>
                  <w:vAlign w:val="center"/>
                </w:tcPr>
                <w:p>
                  <w:pPr>
                    <w:jc w:val="center"/>
                    <w:rPr>
                      <w:rFonts w:ascii="Times New Roman" w:hAnsi="Times New Roman"/>
                    </w:rPr>
                  </w:pPr>
                  <w:r>
                    <w:rPr>
                      <w:rFonts w:ascii="Times New Roman" w:hAnsi="Times New Roman"/>
                    </w:rPr>
                    <w:t>5</w:t>
                  </w:r>
                </w:p>
              </w:tc>
              <w:tc>
                <w:tcPr>
                  <w:tcW w:w="947" w:type="dxa"/>
                  <w:vAlign w:val="center"/>
                </w:tcPr>
                <w:p>
                  <w:pPr>
                    <w:jc w:val="center"/>
                    <w:rPr>
                      <w:rFonts w:ascii="Times New Roman" w:hAnsi="Times New Roman"/>
                    </w:rPr>
                  </w:pPr>
                  <w:r>
                    <w:rPr>
                      <w:rFonts w:ascii="Times New Roman" w:hAnsi="Times New Roman"/>
                    </w:rPr>
                    <w:t>5</w:t>
                  </w:r>
                </w:p>
              </w:tc>
              <w:tc>
                <w:tcPr>
                  <w:tcW w:w="971" w:type="dxa"/>
                  <w:vAlign w:val="center"/>
                </w:tcPr>
                <w:p>
                  <w:pPr>
                    <w:pStyle w:val="72"/>
                    <w:tabs>
                      <w:tab w:val="left" w:pos="362"/>
                    </w:tabs>
                    <w:spacing w:line="240" w:lineRule="auto"/>
                  </w:pPr>
                  <w:r>
                    <w:t>0</w:t>
                  </w:r>
                </w:p>
              </w:tc>
              <w:tc>
                <w:tcPr>
                  <w:tcW w:w="2983" w:type="dxa"/>
                  <w:gridSpan w:val="2"/>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widowControl/>
                    <w:jc w:val="center"/>
                    <w:rPr>
                      <w:rFonts w:ascii="Times New Roman" w:hAnsi="Times New Roman"/>
                      <w:lang w:bidi="ar"/>
                    </w:rPr>
                  </w:pPr>
                  <w:r>
                    <w:rPr>
                      <w:rFonts w:ascii="Times New Roman" w:hAnsi="Times New Roman"/>
                    </w:rPr>
                    <w:t>废切削液</w:t>
                  </w:r>
                </w:p>
              </w:tc>
              <w:tc>
                <w:tcPr>
                  <w:tcW w:w="1038" w:type="dxa"/>
                  <w:vAlign w:val="center"/>
                </w:tcPr>
                <w:p>
                  <w:pPr>
                    <w:pStyle w:val="72"/>
                    <w:spacing w:line="240" w:lineRule="auto"/>
                  </w:pPr>
                  <w:r>
                    <w:t>/</w:t>
                  </w:r>
                </w:p>
              </w:tc>
              <w:tc>
                <w:tcPr>
                  <w:tcW w:w="971" w:type="dxa"/>
                  <w:vAlign w:val="center"/>
                </w:tcPr>
                <w:p>
                  <w:pPr>
                    <w:widowControl/>
                    <w:jc w:val="center"/>
                    <w:rPr>
                      <w:rFonts w:ascii="Times New Roman" w:hAnsi="Times New Roman"/>
                      <w:lang w:bidi="ar"/>
                    </w:rPr>
                  </w:pPr>
                  <w:r>
                    <w:rPr>
                      <w:rFonts w:ascii="Times New Roman" w:hAnsi="Times New Roman"/>
                      <w:lang w:bidi="ar"/>
                    </w:rPr>
                    <w:t>8</w:t>
                  </w:r>
                </w:p>
              </w:tc>
              <w:tc>
                <w:tcPr>
                  <w:tcW w:w="947" w:type="dxa"/>
                  <w:vAlign w:val="center"/>
                </w:tcPr>
                <w:p>
                  <w:pPr>
                    <w:widowControl/>
                    <w:jc w:val="center"/>
                    <w:rPr>
                      <w:rFonts w:ascii="Times New Roman" w:hAnsi="Times New Roman"/>
                      <w:lang w:bidi="ar"/>
                    </w:rPr>
                  </w:pPr>
                  <w:r>
                    <w:rPr>
                      <w:rFonts w:ascii="Times New Roman" w:hAnsi="Times New Roman"/>
                      <w:lang w:bidi="ar"/>
                    </w:rPr>
                    <w:t>8</w:t>
                  </w:r>
                </w:p>
              </w:tc>
              <w:tc>
                <w:tcPr>
                  <w:tcW w:w="971" w:type="dxa"/>
                  <w:vAlign w:val="center"/>
                </w:tcPr>
                <w:p>
                  <w:pPr>
                    <w:pStyle w:val="72"/>
                    <w:tabs>
                      <w:tab w:val="left" w:pos="362"/>
                    </w:tabs>
                    <w:spacing w:line="240" w:lineRule="auto"/>
                  </w:pPr>
                  <w:r>
                    <w:t>0</w:t>
                  </w:r>
                </w:p>
              </w:tc>
              <w:tc>
                <w:tcPr>
                  <w:tcW w:w="2983" w:type="dxa"/>
                  <w:gridSpan w:val="2"/>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widowControl/>
                    <w:jc w:val="center"/>
                    <w:rPr>
                      <w:rFonts w:ascii="Times New Roman" w:hAnsi="Times New Roman"/>
                    </w:rPr>
                  </w:pPr>
                  <w:r>
                    <w:rPr>
                      <w:rFonts w:ascii="Times New Roman" w:hAnsi="Times New Roman"/>
                    </w:rPr>
                    <w:t>废显影液</w:t>
                  </w:r>
                </w:p>
              </w:tc>
              <w:tc>
                <w:tcPr>
                  <w:tcW w:w="1038" w:type="dxa"/>
                  <w:vAlign w:val="center"/>
                </w:tcPr>
                <w:p>
                  <w:pPr>
                    <w:pStyle w:val="72"/>
                    <w:spacing w:line="240" w:lineRule="auto"/>
                  </w:pPr>
                  <w:r>
                    <w:t>/</w:t>
                  </w:r>
                </w:p>
              </w:tc>
              <w:tc>
                <w:tcPr>
                  <w:tcW w:w="971" w:type="dxa"/>
                  <w:vAlign w:val="center"/>
                </w:tcPr>
                <w:p>
                  <w:pPr>
                    <w:widowControl/>
                    <w:jc w:val="center"/>
                    <w:rPr>
                      <w:rFonts w:ascii="Times New Roman" w:hAnsi="Times New Roman"/>
                      <w:lang w:bidi="ar"/>
                    </w:rPr>
                  </w:pPr>
                  <w:r>
                    <w:rPr>
                      <w:rFonts w:ascii="Times New Roman" w:hAnsi="Times New Roman"/>
                      <w:lang w:bidi="ar"/>
                    </w:rPr>
                    <w:t>0.3</w:t>
                  </w:r>
                </w:p>
              </w:tc>
              <w:tc>
                <w:tcPr>
                  <w:tcW w:w="947" w:type="dxa"/>
                  <w:vAlign w:val="center"/>
                </w:tcPr>
                <w:p>
                  <w:pPr>
                    <w:widowControl/>
                    <w:jc w:val="center"/>
                    <w:rPr>
                      <w:rFonts w:ascii="Times New Roman" w:hAnsi="Times New Roman"/>
                      <w:lang w:bidi="ar"/>
                    </w:rPr>
                  </w:pPr>
                  <w:r>
                    <w:rPr>
                      <w:rFonts w:ascii="Times New Roman" w:hAnsi="Times New Roman"/>
                      <w:lang w:bidi="ar"/>
                    </w:rPr>
                    <w:t>0.3</w:t>
                  </w:r>
                </w:p>
              </w:tc>
              <w:tc>
                <w:tcPr>
                  <w:tcW w:w="971" w:type="dxa"/>
                  <w:vAlign w:val="center"/>
                </w:tcPr>
                <w:p>
                  <w:pPr>
                    <w:pStyle w:val="72"/>
                    <w:tabs>
                      <w:tab w:val="left" w:pos="362"/>
                    </w:tabs>
                    <w:spacing w:line="240" w:lineRule="auto"/>
                  </w:pPr>
                  <w:r>
                    <w:t>0</w:t>
                  </w:r>
                </w:p>
              </w:tc>
              <w:tc>
                <w:tcPr>
                  <w:tcW w:w="2983" w:type="dxa"/>
                  <w:gridSpan w:val="2"/>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widowControl/>
                    <w:jc w:val="center"/>
                    <w:rPr>
                      <w:rFonts w:ascii="Times New Roman" w:hAnsi="Times New Roman"/>
                    </w:rPr>
                  </w:pPr>
                  <w:r>
                    <w:rPr>
                      <w:rFonts w:hint="eastAsia" w:ascii="Times New Roman" w:hAnsi="Times New Roman"/>
                    </w:rPr>
                    <w:t>废网版</w:t>
                  </w:r>
                </w:p>
              </w:tc>
              <w:tc>
                <w:tcPr>
                  <w:tcW w:w="1038" w:type="dxa"/>
                  <w:vAlign w:val="center"/>
                </w:tcPr>
                <w:p>
                  <w:pPr>
                    <w:pStyle w:val="72"/>
                    <w:spacing w:line="240" w:lineRule="auto"/>
                  </w:pPr>
                  <w:r>
                    <w:rPr>
                      <w:rFonts w:hint="eastAsia"/>
                    </w:rPr>
                    <w:t>/</w:t>
                  </w:r>
                </w:p>
              </w:tc>
              <w:tc>
                <w:tcPr>
                  <w:tcW w:w="971" w:type="dxa"/>
                  <w:vAlign w:val="center"/>
                </w:tcPr>
                <w:p>
                  <w:pPr>
                    <w:widowControl/>
                    <w:jc w:val="center"/>
                    <w:rPr>
                      <w:rFonts w:ascii="Times New Roman" w:hAnsi="Times New Roman"/>
                      <w:lang w:bidi="ar"/>
                    </w:rPr>
                  </w:pPr>
                  <w:r>
                    <w:rPr>
                      <w:rFonts w:hint="eastAsia" w:ascii="Times New Roman" w:hAnsi="Times New Roman"/>
                      <w:lang w:bidi="ar"/>
                    </w:rPr>
                    <w:t>2</w:t>
                  </w:r>
                  <w:r>
                    <w:rPr>
                      <w:rFonts w:ascii="Times New Roman" w:hAnsi="Times New Roman"/>
                      <w:lang w:bidi="ar"/>
                    </w:rPr>
                    <w:t>.5</w:t>
                  </w:r>
                </w:p>
              </w:tc>
              <w:tc>
                <w:tcPr>
                  <w:tcW w:w="947" w:type="dxa"/>
                  <w:vAlign w:val="center"/>
                </w:tcPr>
                <w:p>
                  <w:pPr>
                    <w:widowControl/>
                    <w:jc w:val="center"/>
                    <w:rPr>
                      <w:rFonts w:ascii="Times New Roman" w:hAnsi="Times New Roman"/>
                      <w:lang w:bidi="ar"/>
                    </w:rPr>
                  </w:pPr>
                  <w:r>
                    <w:rPr>
                      <w:rFonts w:hint="eastAsia" w:ascii="Times New Roman" w:hAnsi="Times New Roman"/>
                      <w:lang w:bidi="ar"/>
                    </w:rPr>
                    <w:t>2</w:t>
                  </w:r>
                  <w:r>
                    <w:rPr>
                      <w:rFonts w:ascii="Times New Roman" w:hAnsi="Times New Roman"/>
                      <w:lang w:bidi="ar"/>
                    </w:rPr>
                    <w:t>.5</w:t>
                  </w:r>
                </w:p>
              </w:tc>
              <w:tc>
                <w:tcPr>
                  <w:tcW w:w="971" w:type="dxa"/>
                  <w:vAlign w:val="center"/>
                </w:tcPr>
                <w:p>
                  <w:pPr>
                    <w:pStyle w:val="72"/>
                    <w:tabs>
                      <w:tab w:val="left" w:pos="362"/>
                    </w:tabs>
                    <w:spacing w:line="240" w:lineRule="auto"/>
                  </w:pPr>
                  <w:r>
                    <w:rPr>
                      <w:rFonts w:hint="eastAsia"/>
                    </w:rPr>
                    <w:t>0</w:t>
                  </w:r>
                </w:p>
              </w:tc>
              <w:tc>
                <w:tcPr>
                  <w:tcW w:w="2983" w:type="dxa"/>
                  <w:gridSpan w:val="2"/>
                  <w:vMerge w:val="continue"/>
                  <w:vAlign w:val="center"/>
                </w:tcPr>
                <w:p>
                  <w:pPr>
                    <w:pStyle w:val="72"/>
                    <w:spacing w:line="240" w:lineRule="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vAlign w:val="center"/>
                </w:tcPr>
                <w:p>
                  <w:pPr>
                    <w:pStyle w:val="72"/>
                    <w:spacing w:line="240" w:lineRule="auto"/>
                  </w:pPr>
                </w:p>
              </w:tc>
              <w:tc>
                <w:tcPr>
                  <w:tcW w:w="1153" w:type="dxa"/>
                  <w:vAlign w:val="center"/>
                </w:tcPr>
                <w:p>
                  <w:pPr>
                    <w:widowControl/>
                    <w:jc w:val="center"/>
                    <w:rPr>
                      <w:rFonts w:ascii="Times New Roman" w:hAnsi="Times New Roman"/>
                    </w:rPr>
                  </w:pPr>
                  <w:r>
                    <w:rPr>
                      <w:rFonts w:hint="eastAsia" w:ascii="Times New Roman" w:hAnsi="Times New Roman"/>
                    </w:rPr>
                    <w:t>含油抹布、手套</w:t>
                  </w:r>
                </w:p>
              </w:tc>
              <w:tc>
                <w:tcPr>
                  <w:tcW w:w="1038" w:type="dxa"/>
                  <w:vAlign w:val="center"/>
                </w:tcPr>
                <w:p>
                  <w:pPr>
                    <w:pStyle w:val="72"/>
                    <w:spacing w:line="240" w:lineRule="auto"/>
                  </w:pPr>
                  <w:r>
                    <w:rPr>
                      <w:rFonts w:hint="eastAsia"/>
                    </w:rPr>
                    <w:t>/</w:t>
                  </w:r>
                </w:p>
              </w:tc>
              <w:tc>
                <w:tcPr>
                  <w:tcW w:w="971" w:type="dxa"/>
                  <w:vAlign w:val="center"/>
                </w:tcPr>
                <w:p>
                  <w:pPr>
                    <w:widowControl/>
                    <w:jc w:val="center"/>
                    <w:rPr>
                      <w:rFonts w:ascii="Times New Roman" w:hAnsi="Times New Roman"/>
                      <w:lang w:bidi="ar"/>
                    </w:rPr>
                  </w:pPr>
                  <w:r>
                    <w:rPr>
                      <w:rFonts w:hint="eastAsia" w:ascii="Times New Roman" w:hAnsi="Times New Roman"/>
                      <w:lang w:bidi="ar"/>
                    </w:rPr>
                    <w:t>1</w:t>
                  </w:r>
                  <w:r>
                    <w:rPr>
                      <w:rFonts w:ascii="Times New Roman" w:hAnsi="Times New Roman"/>
                      <w:lang w:bidi="ar"/>
                    </w:rPr>
                    <w:t>.5</w:t>
                  </w:r>
                </w:p>
              </w:tc>
              <w:tc>
                <w:tcPr>
                  <w:tcW w:w="947" w:type="dxa"/>
                  <w:vAlign w:val="center"/>
                </w:tcPr>
                <w:p>
                  <w:pPr>
                    <w:widowControl/>
                    <w:jc w:val="center"/>
                    <w:rPr>
                      <w:rFonts w:ascii="Times New Roman" w:hAnsi="Times New Roman"/>
                      <w:lang w:bidi="ar"/>
                    </w:rPr>
                  </w:pPr>
                  <w:r>
                    <w:rPr>
                      <w:rFonts w:hint="eastAsia" w:ascii="Times New Roman" w:hAnsi="Times New Roman"/>
                      <w:lang w:bidi="ar"/>
                    </w:rPr>
                    <w:t>1</w:t>
                  </w:r>
                  <w:r>
                    <w:rPr>
                      <w:rFonts w:ascii="Times New Roman" w:hAnsi="Times New Roman"/>
                      <w:lang w:bidi="ar"/>
                    </w:rPr>
                    <w:t>.5</w:t>
                  </w:r>
                </w:p>
              </w:tc>
              <w:tc>
                <w:tcPr>
                  <w:tcW w:w="971" w:type="dxa"/>
                  <w:vAlign w:val="center"/>
                </w:tcPr>
                <w:p>
                  <w:pPr>
                    <w:pStyle w:val="72"/>
                    <w:tabs>
                      <w:tab w:val="left" w:pos="362"/>
                    </w:tabs>
                    <w:spacing w:line="240" w:lineRule="auto"/>
                  </w:pPr>
                  <w:r>
                    <w:rPr>
                      <w:rFonts w:hint="eastAsia"/>
                    </w:rPr>
                    <w:t>0</w:t>
                  </w:r>
                </w:p>
              </w:tc>
              <w:tc>
                <w:tcPr>
                  <w:tcW w:w="2983" w:type="dxa"/>
                  <w:gridSpan w:val="2"/>
                  <w:vMerge w:val="continue"/>
                  <w:vAlign w:val="center"/>
                </w:tcPr>
                <w:p>
                  <w:pPr>
                    <w:pStyle w:val="72"/>
                    <w:spacing w:line="240" w:lineRule="auto"/>
                  </w:pPr>
                </w:p>
              </w:tc>
            </w:tr>
          </w:tbl>
          <w:p>
            <w:pPr>
              <w:adjustRightInd w:val="0"/>
              <w:spacing w:line="440" w:lineRule="exact"/>
              <w:jc w:val="center"/>
              <w:rPr>
                <w:rFonts w:ascii="Times New Roman" w:hAnsi="Times New Roman"/>
                <w:b/>
                <w:bCs/>
                <w:szCs w:val="18"/>
              </w:rPr>
            </w:pPr>
          </w:p>
          <w:p>
            <w:pPr>
              <w:adjustRightInd w:val="0"/>
              <w:spacing w:line="440" w:lineRule="exact"/>
              <w:jc w:val="center"/>
              <w:rPr>
                <w:rFonts w:ascii="Times New Roman" w:hAnsi="Times New Roman"/>
                <w:b/>
                <w:bCs/>
                <w:szCs w:val="18"/>
              </w:rPr>
            </w:pPr>
          </w:p>
          <w:p>
            <w:pPr>
              <w:adjustRightInd w:val="0"/>
              <w:spacing w:line="440" w:lineRule="exact"/>
              <w:jc w:val="center"/>
              <w:rPr>
                <w:rFonts w:ascii="Times New Roman" w:hAnsi="Times New Roman"/>
                <w:b/>
                <w:szCs w:val="18"/>
              </w:rPr>
            </w:pPr>
            <w:r>
              <w:rPr>
                <w:rFonts w:ascii="Times New Roman" w:hAnsi="Times New Roman"/>
                <w:b/>
                <w:bCs/>
                <w:szCs w:val="18"/>
              </w:rPr>
              <w:t>表4-29项目环境保护“三同时”验收一览表</w:t>
            </w:r>
          </w:p>
          <w:tbl>
            <w:tblPr>
              <w:tblStyle w:val="226"/>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415"/>
              <w:gridCol w:w="2240"/>
              <w:gridCol w:w="3504"/>
              <w:gridCol w:w="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pPr>
                    <w:snapToGrid w:val="0"/>
                    <w:jc w:val="center"/>
                    <w:rPr>
                      <w:rFonts w:ascii="Times New Roman" w:hAnsi="Times New Roman"/>
                      <w:b/>
                      <w:bCs/>
                    </w:rPr>
                  </w:pPr>
                  <w:r>
                    <w:rPr>
                      <w:rFonts w:ascii="Times New Roman" w:hAnsi="Times New Roman"/>
                      <w:b/>
                      <w:bCs/>
                    </w:rPr>
                    <w:t>类别</w:t>
                  </w:r>
                </w:p>
              </w:tc>
              <w:tc>
                <w:tcPr>
                  <w:tcW w:w="841" w:type="pct"/>
                  <w:vAlign w:val="center"/>
                </w:tcPr>
                <w:p>
                  <w:pPr>
                    <w:snapToGrid w:val="0"/>
                    <w:jc w:val="center"/>
                    <w:rPr>
                      <w:rFonts w:ascii="Times New Roman" w:hAnsi="Times New Roman"/>
                      <w:b/>
                      <w:bCs/>
                    </w:rPr>
                  </w:pPr>
                  <w:r>
                    <w:rPr>
                      <w:rFonts w:ascii="Times New Roman" w:hAnsi="Times New Roman"/>
                      <w:b/>
                      <w:bCs/>
                    </w:rPr>
                    <w:t>治理对象</w:t>
                  </w:r>
                </w:p>
              </w:tc>
              <w:tc>
                <w:tcPr>
                  <w:tcW w:w="1331" w:type="pct"/>
                  <w:vAlign w:val="center"/>
                </w:tcPr>
                <w:p>
                  <w:pPr>
                    <w:snapToGrid w:val="0"/>
                    <w:jc w:val="center"/>
                    <w:rPr>
                      <w:rFonts w:ascii="Times New Roman" w:hAnsi="Times New Roman"/>
                      <w:b/>
                      <w:bCs/>
                    </w:rPr>
                  </w:pPr>
                  <w:r>
                    <w:rPr>
                      <w:rFonts w:ascii="Times New Roman" w:hAnsi="Times New Roman"/>
                      <w:b/>
                      <w:bCs/>
                    </w:rPr>
                    <w:t>治理方案</w:t>
                  </w:r>
                </w:p>
              </w:tc>
              <w:tc>
                <w:tcPr>
                  <w:tcW w:w="2082" w:type="pct"/>
                  <w:vAlign w:val="center"/>
                </w:tcPr>
                <w:p>
                  <w:pPr>
                    <w:snapToGrid w:val="0"/>
                    <w:jc w:val="center"/>
                    <w:rPr>
                      <w:rFonts w:ascii="Times New Roman" w:hAnsi="Times New Roman"/>
                      <w:b/>
                      <w:bCs/>
                    </w:rPr>
                  </w:pPr>
                  <w:r>
                    <w:rPr>
                      <w:rFonts w:ascii="Times New Roman" w:hAnsi="Times New Roman"/>
                      <w:b/>
                      <w:bCs/>
                    </w:rPr>
                    <w:t>验收要求</w:t>
                  </w:r>
                </w:p>
              </w:tc>
              <w:tc>
                <w:tcPr>
                  <w:tcW w:w="314" w:type="pct"/>
                  <w:vAlign w:val="center"/>
                </w:tcPr>
                <w:p>
                  <w:pPr>
                    <w:pStyle w:val="92"/>
                    <w:spacing w:line="240" w:lineRule="auto"/>
                    <w:ind w:firstLine="0" w:firstLineChars="0"/>
                    <w:jc w:val="center"/>
                    <w:rPr>
                      <w:rFonts w:ascii="Times New Roman" w:hAnsi="Times New Roman"/>
                      <w:b/>
                      <w:bCs/>
                      <w:sz w:val="21"/>
                      <w:szCs w:val="21"/>
                      <w:lang w:eastAsia="zh-CN"/>
                    </w:rPr>
                  </w:pPr>
                  <w:r>
                    <w:rPr>
                      <w:rFonts w:ascii="Times New Roman" w:hAnsi="Times New Roman"/>
                      <w:b/>
                      <w:bCs/>
                      <w:sz w:val="21"/>
                      <w:szCs w:val="21"/>
                      <w:lang w:eastAsia="zh-CN"/>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432" w:type="pct"/>
                  <w:vMerge w:val="restart"/>
                  <w:vAlign w:val="center"/>
                </w:tcPr>
                <w:p>
                  <w:pPr>
                    <w:snapToGrid w:val="0"/>
                    <w:jc w:val="center"/>
                    <w:rPr>
                      <w:rFonts w:ascii="Times New Roman" w:hAnsi="Times New Roman"/>
                    </w:rPr>
                  </w:pPr>
                  <w:r>
                    <w:rPr>
                      <w:rFonts w:ascii="Times New Roman" w:hAnsi="Times New Roman"/>
                    </w:rPr>
                    <w:t>废气</w:t>
                  </w:r>
                </w:p>
                <w:p>
                  <w:pPr>
                    <w:snapToGrid w:val="0"/>
                    <w:jc w:val="center"/>
                    <w:rPr>
                      <w:rFonts w:ascii="Times New Roman" w:hAnsi="Times New Roman"/>
                    </w:rPr>
                  </w:pPr>
                  <w:r>
                    <w:rPr>
                      <w:rFonts w:ascii="Times New Roman" w:hAnsi="Times New Roman"/>
                    </w:rPr>
                    <w:t>治理</w:t>
                  </w:r>
                </w:p>
              </w:tc>
              <w:tc>
                <w:tcPr>
                  <w:tcW w:w="841" w:type="pct"/>
                  <w:vAlign w:val="center"/>
                </w:tcPr>
                <w:p>
                  <w:pPr>
                    <w:snapToGrid w:val="0"/>
                    <w:jc w:val="center"/>
                    <w:rPr>
                      <w:rFonts w:ascii="Times New Roman" w:hAnsi="Times New Roman"/>
                    </w:rPr>
                  </w:pPr>
                  <w:r>
                    <w:rPr>
                      <w:rFonts w:ascii="Times New Roman" w:hAnsi="Times New Roman"/>
                    </w:rPr>
                    <w:t>喷涂保护液废气</w:t>
                  </w:r>
                </w:p>
              </w:tc>
              <w:tc>
                <w:tcPr>
                  <w:tcW w:w="1331" w:type="pct"/>
                  <w:vAlign w:val="center"/>
                </w:tcPr>
                <w:p>
                  <w:pPr>
                    <w:snapToGrid w:val="0"/>
                    <w:jc w:val="center"/>
                    <w:rPr>
                      <w:rFonts w:ascii="Times New Roman" w:hAnsi="Times New Roman"/>
                    </w:rPr>
                  </w:pPr>
                  <w:r>
                    <w:rPr>
                      <w:rFonts w:ascii="Times New Roman" w:hAnsi="Times New Roman"/>
                      <w:lang w:val="en-US"/>
                    </w:rPr>
                    <w:t>二级活性炭吸附装置经30m排气筒（DA001）</w:t>
                  </w:r>
                </w:p>
              </w:tc>
              <w:tc>
                <w:tcPr>
                  <w:tcW w:w="2082" w:type="pct"/>
                  <w:vMerge w:val="restart"/>
                  <w:vAlign w:val="center"/>
                </w:tcPr>
                <w:p>
                  <w:pPr>
                    <w:snapToGrid w:val="0"/>
                    <w:jc w:val="center"/>
                    <w:rPr>
                      <w:rFonts w:ascii="Times New Roman" w:hAnsi="Times New Roman"/>
                    </w:rPr>
                  </w:pPr>
                  <w:r>
                    <w:rPr>
                      <w:rFonts w:ascii="Times New Roman" w:hAnsi="Times New Roman"/>
                    </w:rPr>
                    <w:t>《大气污染物综合排放标准》（GB16297-1996）表2中二级标准</w:t>
                  </w:r>
                </w:p>
              </w:tc>
              <w:tc>
                <w:tcPr>
                  <w:tcW w:w="314" w:type="pct"/>
                  <w:vMerge w:val="restart"/>
                  <w:vAlign w:val="center"/>
                </w:tcPr>
                <w:p>
                  <w:pPr>
                    <w:adjustRightInd w:val="0"/>
                    <w:snapToGrid w:val="0"/>
                    <w:jc w:val="center"/>
                    <w:rPr>
                      <w:rFonts w:ascii="Times New Roman" w:hAnsi="Times New Roman"/>
                    </w:rPr>
                  </w:pPr>
                  <w:r>
                    <w:rPr>
                      <w:rFonts w:ascii="Times New Roman" w:hAnsi="Times New Roman"/>
                    </w:rPr>
                    <w:t>同时设计；同时施工；同时投入使用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432" w:type="pct"/>
                  <w:vMerge w:val="continue"/>
                  <w:vAlign w:val="center"/>
                </w:tcPr>
                <w:p>
                  <w:pPr>
                    <w:snapToGrid w:val="0"/>
                    <w:jc w:val="center"/>
                    <w:rPr>
                      <w:rFonts w:ascii="Times New Roman" w:hAnsi="Times New Roman"/>
                    </w:rPr>
                  </w:pPr>
                </w:p>
              </w:tc>
              <w:tc>
                <w:tcPr>
                  <w:tcW w:w="841" w:type="pct"/>
                  <w:vAlign w:val="center"/>
                </w:tcPr>
                <w:p>
                  <w:pPr>
                    <w:snapToGrid w:val="0"/>
                    <w:jc w:val="center"/>
                    <w:rPr>
                      <w:rFonts w:ascii="Times New Roman" w:hAnsi="Times New Roman"/>
                    </w:rPr>
                  </w:pPr>
                  <w:r>
                    <w:rPr>
                      <w:rFonts w:ascii="Times New Roman" w:hAnsi="Times New Roman"/>
                    </w:rPr>
                    <w:t>印刷、烘烤废气</w:t>
                  </w:r>
                </w:p>
              </w:tc>
              <w:tc>
                <w:tcPr>
                  <w:tcW w:w="1331" w:type="pct"/>
                  <w:vAlign w:val="center"/>
                </w:tcPr>
                <w:p>
                  <w:pPr>
                    <w:snapToGrid w:val="0"/>
                    <w:jc w:val="center"/>
                    <w:rPr>
                      <w:rFonts w:ascii="Times New Roman" w:hAnsi="Times New Roman"/>
                    </w:rPr>
                  </w:pPr>
                  <w:r>
                    <w:rPr>
                      <w:rFonts w:ascii="Times New Roman" w:hAnsi="Times New Roman"/>
                      <w:lang w:val="en-US"/>
                    </w:rPr>
                    <w:t>印刷区域密闭、烤炉进出口密闭收集+二级活性炭纤维吸附处理后经30m排气筒（DA002）</w:t>
                  </w:r>
                </w:p>
              </w:tc>
              <w:tc>
                <w:tcPr>
                  <w:tcW w:w="2082" w:type="pct"/>
                  <w:vMerge w:val="continue"/>
                  <w:vAlign w:val="center"/>
                </w:tcPr>
                <w:p>
                  <w:pPr>
                    <w:snapToGrid w:val="0"/>
                    <w:jc w:val="center"/>
                    <w:rPr>
                      <w:rFonts w:ascii="Times New Roman" w:hAnsi="Times New Roman"/>
                    </w:rPr>
                  </w:pPr>
                </w:p>
              </w:tc>
              <w:tc>
                <w:tcPr>
                  <w:tcW w:w="314" w:type="pct"/>
                  <w:vMerge w:val="continue"/>
                  <w:vAlign w:val="center"/>
                </w:tcPr>
                <w:p>
                  <w:pPr>
                    <w:adjustRightInd w:val="0"/>
                    <w:snapToGrid w:val="0"/>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432" w:type="pct"/>
                  <w:vMerge w:val="continue"/>
                  <w:vAlign w:val="center"/>
                </w:tcPr>
                <w:p>
                  <w:pPr>
                    <w:snapToGrid w:val="0"/>
                    <w:jc w:val="center"/>
                    <w:rPr>
                      <w:rFonts w:ascii="Times New Roman" w:hAnsi="Times New Roman"/>
                    </w:rPr>
                  </w:pPr>
                </w:p>
              </w:tc>
              <w:tc>
                <w:tcPr>
                  <w:tcW w:w="841" w:type="pct"/>
                  <w:vAlign w:val="center"/>
                </w:tcPr>
                <w:p>
                  <w:pPr>
                    <w:snapToGrid w:val="0"/>
                    <w:jc w:val="center"/>
                    <w:rPr>
                      <w:rFonts w:ascii="Times New Roman" w:hAnsi="Times New Roman"/>
                    </w:rPr>
                  </w:pPr>
                  <w:r>
                    <w:rPr>
                      <w:rFonts w:ascii="Times New Roman" w:hAnsi="Times New Roman"/>
                    </w:rPr>
                    <w:t>食堂油烟废气</w:t>
                  </w:r>
                </w:p>
              </w:tc>
              <w:tc>
                <w:tcPr>
                  <w:tcW w:w="1331" w:type="pct"/>
                  <w:vAlign w:val="center"/>
                </w:tcPr>
                <w:p>
                  <w:pPr>
                    <w:snapToGrid w:val="0"/>
                    <w:jc w:val="center"/>
                    <w:rPr>
                      <w:rFonts w:ascii="Times New Roman" w:hAnsi="Times New Roman"/>
                    </w:rPr>
                  </w:pPr>
                  <w:r>
                    <w:rPr>
                      <w:rFonts w:ascii="Times New Roman" w:hAnsi="Times New Roman"/>
                    </w:rPr>
                    <w:t>油烟净化器处理+专用风道</w:t>
                  </w:r>
                </w:p>
              </w:tc>
              <w:tc>
                <w:tcPr>
                  <w:tcW w:w="2082" w:type="pct"/>
                  <w:vAlign w:val="center"/>
                </w:tcPr>
                <w:p>
                  <w:pPr>
                    <w:snapToGrid w:val="0"/>
                    <w:jc w:val="center"/>
                    <w:rPr>
                      <w:rFonts w:ascii="Times New Roman" w:hAnsi="Times New Roman"/>
                    </w:rPr>
                  </w:pPr>
                  <w:r>
                    <w:rPr>
                      <w:rFonts w:ascii="Times New Roman" w:hAnsi="Times New Roman"/>
                    </w:rPr>
                    <w:t>《饮食业油烟排放标准（试行）》（GB18483-2001）规定</w:t>
                  </w:r>
                </w:p>
              </w:tc>
              <w:tc>
                <w:tcPr>
                  <w:tcW w:w="314" w:type="pct"/>
                  <w:vMerge w:val="continue"/>
                  <w:vAlign w:val="center"/>
                </w:tcPr>
                <w:p>
                  <w:pPr>
                    <w:adjustRightInd w:val="0"/>
                    <w:snapToGrid w:val="0"/>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32" w:type="pct"/>
                  <w:vMerge w:val="restart"/>
                  <w:vAlign w:val="center"/>
                </w:tcPr>
                <w:p>
                  <w:pPr>
                    <w:snapToGrid w:val="0"/>
                    <w:jc w:val="center"/>
                    <w:rPr>
                      <w:rFonts w:ascii="Times New Roman" w:hAnsi="Times New Roman"/>
                    </w:rPr>
                  </w:pPr>
                  <w:r>
                    <w:rPr>
                      <w:rFonts w:ascii="Times New Roman" w:hAnsi="Times New Roman"/>
                    </w:rPr>
                    <w:t>废水</w:t>
                  </w:r>
                </w:p>
                <w:p>
                  <w:pPr>
                    <w:snapToGrid w:val="0"/>
                    <w:jc w:val="center"/>
                    <w:rPr>
                      <w:rFonts w:ascii="Times New Roman" w:hAnsi="Times New Roman"/>
                    </w:rPr>
                  </w:pPr>
                  <w:r>
                    <w:rPr>
                      <w:rFonts w:ascii="Times New Roman" w:hAnsi="Times New Roman"/>
                    </w:rPr>
                    <w:t>治理</w:t>
                  </w:r>
                </w:p>
              </w:tc>
              <w:tc>
                <w:tcPr>
                  <w:tcW w:w="841" w:type="pct"/>
                  <w:vAlign w:val="center"/>
                </w:tcPr>
                <w:p>
                  <w:pPr>
                    <w:snapToGrid w:val="0"/>
                    <w:jc w:val="center"/>
                    <w:rPr>
                      <w:rFonts w:ascii="Times New Roman" w:hAnsi="Times New Roman"/>
                    </w:rPr>
                  </w:pPr>
                  <w:r>
                    <w:rPr>
                      <w:rFonts w:ascii="Times New Roman" w:hAnsi="Times New Roman"/>
                    </w:rPr>
                    <w:t>生活污水</w:t>
                  </w:r>
                </w:p>
              </w:tc>
              <w:tc>
                <w:tcPr>
                  <w:tcW w:w="1331" w:type="pct"/>
                  <w:vAlign w:val="center"/>
                </w:tcPr>
                <w:p>
                  <w:pPr>
                    <w:snapToGrid w:val="0"/>
                    <w:jc w:val="center"/>
                    <w:rPr>
                      <w:rFonts w:ascii="Times New Roman" w:hAnsi="Times New Roman"/>
                    </w:rPr>
                  </w:pPr>
                  <w:r>
                    <w:rPr>
                      <w:rFonts w:ascii="Times New Roman" w:hAnsi="Times New Roman"/>
                    </w:rPr>
                    <w:t>化粪池处理后经污水管网排入桂集镇污水处理厂</w:t>
                  </w:r>
                </w:p>
              </w:tc>
              <w:tc>
                <w:tcPr>
                  <w:tcW w:w="2082" w:type="pct"/>
                  <w:vMerge w:val="restart"/>
                  <w:vAlign w:val="center"/>
                </w:tcPr>
                <w:p>
                  <w:pPr>
                    <w:pStyle w:val="15"/>
                    <w:jc w:val="both"/>
                    <w:rPr>
                      <w:rFonts w:ascii="Times New Roman" w:hAnsi="Times New Roman" w:cs="Times New Roman"/>
                    </w:rPr>
                  </w:pPr>
                  <w:r>
                    <w:rPr>
                      <w:rFonts w:ascii="Times New Roman" w:hAnsi="Times New Roman" w:cs="Times New Roman"/>
                      <w:sz w:val="21"/>
                      <w:szCs w:val="21"/>
                    </w:rPr>
                    <w:t>项目废水执行《污水综合排放标准》（GB8978-1996）中三级排放标准及桂集镇污水处理厂接管标准中较严标准</w:t>
                  </w:r>
                </w:p>
              </w:tc>
              <w:tc>
                <w:tcPr>
                  <w:tcW w:w="314" w:type="pct"/>
                  <w:vMerge w:val="continue"/>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32" w:type="pct"/>
                  <w:vMerge w:val="continue"/>
                  <w:vAlign w:val="center"/>
                </w:tcPr>
                <w:p>
                  <w:pPr>
                    <w:snapToGrid w:val="0"/>
                    <w:jc w:val="center"/>
                    <w:rPr>
                      <w:rFonts w:ascii="Times New Roman" w:hAnsi="Times New Roman"/>
                    </w:rPr>
                  </w:pPr>
                </w:p>
              </w:tc>
              <w:tc>
                <w:tcPr>
                  <w:tcW w:w="841" w:type="pct"/>
                  <w:vAlign w:val="center"/>
                </w:tcPr>
                <w:p>
                  <w:pPr>
                    <w:snapToGrid w:val="0"/>
                    <w:jc w:val="center"/>
                    <w:rPr>
                      <w:rFonts w:ascii="Times New Roman" w:hAnsi="Times New Roman"/>
                    </w:rPr>
                  </w:pPr>
                  <w:r>
                    <w:rPr>
                      <w:rFonts w:ascii="Times New Roman" w:hAnsi="Times New Roman"/>
                    </w:rPr>
                    <w:t>纯水制备产生的浓水</w:t>
                  </w:r>
                </w:p>
              </w:tc>
              <w:tc>
                <w:tcPr>
                  <w:tcW w:w="1331" w:type="pct"/>
                  <w:vAlign w:val="center"/>
                </w:tcPr>
                <w:p>
                  <w:pPr>
                    <w:snapToGrid w:val="0"/>
                    <w:jc w:val="center"/>
                    <w:rPr>
                      <w:rFonts w:ascii="Times New Roman" w:hAnsi="Times New Roman"/>
                    </w:rPr>
                  </w:pPr>
                  <w:r>
                    <w:rPr>
                      <w:rFonts w:ascii="Times New Roman" w:hAnsi="Times New Roman"/>
                    </w:rPr>
                    <w:t>化粪池处理后经污水管网排入桂集镇污水处理厂</w:t>
                  </w:r>
                </w:p>
              </w:tc>
              <w:tc>
                <w:tcPr>
                  <w:tcW w:w="2082" w:type="pct"/>
                  <w:vMerge w:val="continue"/>
                  <w:vAlign w:val="center"/>
                </w:tcPr>
                <w:p>
                  <w:pPr>
                    <w:snapToGrid w:val="0"/>
                    <w:jc w:val="center"/>
                    <w:rPr>
                      <w:rFonts w:ascii="Times New Roman" w:hAnsi="Times New Roman"/>
                    </w:rPr>
                  </w:pPr>
                </w:p>
              </w:tc>
              <w:tc>
                <w:tcPr>
                  <w:tcW w:w="314" w:type="pct"/>
                  <w:vMerge w:val="continue"/>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32" w:type="pct"/>
                  <w:vMerge w:val="continue"/>
                  <w:vAlign w:val="center"/>
                </w:tcPr>
                <w:p>
                  <w:pPr>
                    <w:snapToGrid w:val="0"/>
                    <w:jc w:val="center"/>
                    <w:rPr>
                      <w:rFonts w:ascii="Times New Roman" w:hAnsi="Times New Roman"/>
                    </w:rPr>
                  </w:pPr>
                </w:p>
              </w:tc>
              <w:tc>
                <w:tcPr>
                  <w:tcW w:w="841" w:type="pct"/>
                  <w:vAlign w:val="center"/>
                </w:tcPr>
                <w:p>
                  <w:pPr>
                    <w:snapToGrid w:val="0"/>
                    <w:jc w:val="center"/>
                    <w:rPr>
                      <w:rFonts w:ascii="Times New Roman" w:hAnsi="Times New Roman"/>
                    </w:rPr>
                  </w:pPr>
                  <w:r>
                    <w:rPr>
                      <w:rFonts w:ascii="Times New Roman" w:hAnsi="Times New Roman"/>
                    </w:rPr>
                    <w:t>生产废水（玻璃浸泡废水、清洗废水）</w:t>
                  </w:r>
                </w:p>
              </w:tc>
              <w:tc>
                <w:tcPr>
                  <w:tcW w:w="1331" w:type="pct"/>
                  <w:vAlign w:val="center"/>
                </w:tcPr>
                <w:p>
                  <w:pPr>
                    <w:snapToGrid w:val="0"/>
                    <w:jc w:val="center"/>
                    <w:rPr>
                      <w:rFonts w:ascii="Times New Roman" w:hAnsi="Times New Roman"/>
                    </w:rPr>
                  </w:pPr>
                  <w:r>
                    <w:rPr>
                      <w:rFonts w:ascii="Times New Roman" w:hAnsi="Times New Roman"/>
                      <w:lang w:val="en-US"/>
                    </w:rPr>
                    <w:t>三级絮凝沉淀池</w:t>
                  </w:r>
                  <w:r>
                    <w:rPr>
                      <w:rFonts w:ascii="Times New Roman" w:hAnsi="Times New Roman"/>
                    </w:rPr>
                    <w:t>处理后经污水管网排入桂集镇污水处理厂</w:t>
                  </w:r>
                </w:p>
              </w:tc>
              <w:tc>
                <w:tcPr>
                  <w:tcW w:w="2082" w:type="pct"/>
                  <w:vMerge w:val="continue"/>
                  <w:vAlign w:val="center"/>
                </w:tcPr>
                <w:p>
                  <w:pPr>
                    <w:snapToGrid w:val="0"/>
                    <w:jc w:val="center"/>
                    <w:rPr>
                      <w:rFonts w:ascii="Times New Roman" w:hAnsi="Times New Roman"/>
                    </w:rPr>
                  </w:pPr>
                </w:p>
              </w:tc>
              <w:tc>
                <w:tcPr>
                  <w:tcW w:w="314" w:type="pct"/>
                  <w:vMerge w:val="continue"/>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pPr>
                    <w:snapToGrid w:val="0"/>
                    <w:jc w:val="center"/>
                    <w:rPr>
                      <w:rFonts w:ascii="Times New Roman" w:hAnsi="Times New Roman"/>
                    </w:rPr>
                  </w:pPr>
                  <w:r>
                    <w:rPr>
                      <w:rFonts w:ascii="Times New Roman" w:hAnsi="Times New Roman"/>
                    </w:rPr>
                    <w:t>噪声</w:t>
                  </w:r>
                </w:p>
                <w:p>
                  <w:pPr>
                    <w:snapToGrid w:val="0"/>
                    <w:jc w:val="center"/>
                    <w:rPr>
                      <w:rFonts w:ascii="Times New Roman" w:hAnsi="Times New Roman"/>
                    </w:rPr>
                  </w:pPr>
                  <w:r>
                    <w:rPr>
                      <w:rFonts w:ascii="Times New Roman" w:hAnsi="Times New Roman"/>
                    </w:rPr>
                    <w:t>治理</w:t>
                  </w:r>
                </w:p>
              </w:tc>
              <w:tc>
                <w:tcPr>
                  <w:tcW w:w="841" w:type="pct"/>
                  <w:vAlign w:val="center"/>
                </w:tcPr>
                <w:p>
                  <w:pPr>
                    <w:snapToGrid w:val="0"/>
                    <w:jc w:val="center"/>
                    <w:rPr>
                      <w:rFonts w:ascii="Times New Roman" w:hAnsi="Times New Roman"/>
                    </w:rPr>
                  </w:pPr>
                  <w:r>
                    <w:rPr>
                      <w:rFonts w:ascii="Times New Roman" w:hAnsi="Times New Roman"/>
                    </w:rPr>
                    <w:t>机械噪声</w:t>
                  </w:r>
                </w:p>
              </w:tc>
              <w:tc>
                <w:tcPr>
                  <w:tcW w:w="1331" w:type="pct"/>
                  <w:vAlign w:val="center"/>
                </w:tcPr>
                <w:p>
                  <w:pPr>
                    <w:snapToGrid w:val="0"/>
                    <w:jc w:val="center"/>
                    <w:rPr>
                      <w:rFonts w:ascii="Times New Roman" w:hAnsi="Times New Roman"/>
                    </w:rPr>
                  </w:pPr>
                  <w:r>
                    <w:rPr>
                      <w:rFonts w:ascii="Times New Roman" w:hAnsi="Times New Roman"/>
                    </w:rPr>
                    <w:t>隔声、减振</w:t>
                  </w:r>
                </w:p>
              </w:tc>
              <w:tc>
                <w:tcPr>
                  <w:tcW w:w="2082" w:type="pct"/>
                  <w:vAlign w:val="center"/>
                </w:tcPr>
                <w:p>
                  <w:pPr>
                    <w:snapToGrid w:val="0"/>
                    <w:jc w:val="center"/>
                    <w:rPr>
                      <w:rFonts w:ascii="Times New Roman" w:hAnsi="Times New Roman"/>
                    </w:rPr>
                  </w:pPr>
                  <w:r>
                    <w:rPr>
                      <w:rFonts w:ascii="Times New Roman" w:hAnsi="Times New Roman"/>
                    </w:rPr>
                    <w:t>厂界噪声达到《工业企业厂界噪声排放标准》（GB12348-2008）3类标准</w:t>
                  </w:r>
                </w:p>
              </w:tc>
              <w:tc>
                <w:tcPr>
                  <w:tcW w:w="314" w:type="pct"/>
                  <w:vMerge w:val="continue"/>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32" w:type="pct"/>
                  <w:vMerge w:val="restart"/>
                  <w:vAlign w:val="center"/>
                </w:tcPr>
                <w:p>
                  <w:pPr>
                    <w:snapToGrid w:val="0"/>
                    <w:jc w:val="center"/>
                    <w:rPr>
                      <w:rFonts w:ascii="Times New Roman" w:hAnsi="Times New Roman"/>
                    </w:rPr>
                  </w:pPr>
                  <w:r>
                    <w:rPr>
                      <w:rFonts w:ascii="Times New Roman" w:hAnsi="Times New Roman"/>
                    </w:rPr>
                    <w:t>固体</w:t>
                  </w:r>
                </w:p>
                <w:p>
                  <w:pPr>
                    <w:snapToGrid w:val="0"/>
                    <w:jc w:val="center"/>
                    <w:rPr>
                      <w:rFonts w:ascii="Times New Roman" w:hAnsi="Times New Roman"/>
                    </w:rPr>
                  </w:pPr>
                  <w:r>
                    <w:rPr>
                      <w:rFonts w:ascii="Times New Roman" w:hAnsi="Times New Roman"/>
                    </w:rPr>
                    <w:t>废物</w:t>
                  </w:r>
                </w:p>
              </w:tc>
              <w:tc>
                <w:tcPr>
                  <w:tcW w:w="841" w:type="pct"/>
                  <w:vMerge w:val="restart"/>
                  <w:vAlign w:val="center"/>
                </w:tcPr>
                <w:p>
                  <w:pPr>
                    <w:snapToGrid w:val="0"/>
                    <w:jc w:val="center"/>
                    <w:rPr>
                      <w:rFonts w:ascii="Times New Roman" w:hAnsi="Times New Roman"/>
                    </w:rPr>
                  </w:pPr>
                  <w:r>
                    <w:rPr>
                      <w:rFonts w:ascii="Times New Roman" w:hAnsi="Times New Roman"/>
                    </w:rPr>
                    <w:t>生产垃圾</w:t>
                  </w:r>
                </w:p>
              </w:tc>
              <w:tc>
                <w:tcPr>
                  <w:tcW w:w="1331" w:type="pct"/>
                  <w:vAlign w:val="center"/>
                </w:tcPr>
                <w:p>
                  <w:pPr>
                    <w:snapToGrid w:val="0"/>
                    <w:jc w:val="center"/>
                    <w:rPr>
                      <w:rFonts w:ascii="Times New Roman" w:hAnsi="Times New Roman"/>
                    </w:rPr>
                  </w:pPr>
                  <w:r>
                    <w:rPr>
                      <w:rFonts w:ascii="Times New Roman" w:hAnsi="Times New Roman"/>
                    </w:rPr>
                    <w:t>一般固体废物</w:t>
                  </w:r>
                </w:p>
              </w:tc>
              <w:tc>
                <w:tcPr>
                  <w:tcW w:w="2082" w:type="pct"/>
                  <w:vAlign w:val="center"/>
                </w:tcPr>
                <w:p>
                  <w:pPr>
                    <w:widowControl/>
                    <w:jc w:val="center"/>
                    <w:rPr>
                      <w:rFonts w:ascii="Times New Roman" w:hAnsi="Times New Roman"/>
                    </w:rPr>
                  </w:pPr>
                  <w:r>
                    <w:rPr>
                      <w:rFonts w:ascii="Times New Roman" w:hAnsi="Times New Roman"/>
                    </w:rPr>
                    <w:t>参照执行《一般工业固体废物贮存和填埋污染控制标准》（GB18599-2020）和《排污许可证申请与核发技术规范工业固体废物（试行）》（HJ1200-2021）中有关要求</w:t>
                  </w:r>
                </w:p>
              </w:tc>
              <w:tc>
                <w:tcPr>
                  <w:tcW w:w="314" w:type="pct"/>
                  <w:vMerge w:val="continue"/>
                  <w:vAlign w:val="center"/>
                </w:tcPr>
                <w:p>
                  <w:pPr>
                    <w:pStyle w:val="92"/>
                    <w:spacing w:line="240" w:lineRule="auto"/>
                    <w:ind w:firstLine="420"/>
                    <w:jc w:val="center"/>
                    <w:rPr>
                      <w:rFonts w:ascii="Times New Roman" w:hAnsi="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32" w:type="pct"/>
                  <w:vMerge w:val="continue"/>
                  <w:vAlign w:val="center"/>
                </w:tcPr>
                <w:p>
                  <w:pPr>
                    <w:snapToGrid w:val="0"/>
                    <w:jc w:val="center"/>
                    <w:rPr>
                      <w:rFonts w:ascii="Times New Roman" w:hAnsi="Times New Roman"/>
                    </w:rPr>
                  </w:pPr>
                </w:p>
              </w:tc>
              <w:tc>
                <w:tcPr>
                  <w:tcW w:w="841" w:type="pct"/>
                  <w:vMerge w:val="continue"/>
                  <w:vAlign w:val="center"/>
                </w:tcPr>
                <w:p>
                  <w:pPr>
                    <w:snapToGrid w:val="0"/>
                    <w:jc w:val="center"/>
                    <w:rPr>
                      <w:rFonts w:ascii="Times New Roman" w:hAnsi="Times New Roman"/>
                    </w:rPr>
                  </w:pPr>
                </w:p>
              </w:tc>
              <w:tc>
                <w:tcPr>
                  <w:tcW w:w="1331" w:type="pct"/>
                  <w:vAlign w:val="center"/>
                </w:tcPr>
                <w:p>
                  <w:pPr>
                    <w:snapToGrid w:val="0"/>
                    <w:jc w:val="center"/>
                    <w:rPr>
                      <w:rFonts w:ascii="Times New Roman" w:hAnsi="Times New Roman"/>
                    </w:rPr>
                  </w:pPr>
                  <w:r>
                    <w:rPr>
                      <w:rFonts w:ascii="Times New Roman" w:hAnsi="Times New Roman"/>
                    </w:rPr>
                    <w:t>危险废物</w:t>
                  </w:r>
                </w:p>
              </w:tc>
              <w:tc>
                <w:tcPr>
                  <w:tcW w:w="2082" w:type="pct"/>
                  <w:vAlign w:val="center"/>
                </w:tcPr>
                <w:p>
                  <w:pPr>
                    <w:snapToGrid w:val="0"/>
                    <w:jc w:val="both"/>
                    <w:rPr>
                      <w:rFonts w:ascii="Times New Roman" w:hAnsi="Times New Roman"/>
                    </w:rPr>
                  </w:pPr>
                  <w:r>
                    <w:rPr>
                      <w:rFonts w:ascii="Times New Roman" w:hAnsi="Times New Roman"/>
                    </w:rPr>
                    <w:t>执行《排污许可证申请与核发技术规范工业固体废物（试行）》（HJ1200-2021）和《危险废物贮存污染控制标准》（GB18597-2001）及其2013修改清单相关要求</w:t>
                  </w:r>
                </w:p>
              </w:tc>
              <w:tc>
                <w:tcPr>
                  <w:tcW w:w="314" w:type="pct"/>
                  <w:vMerge w:val="continue"/>
                  <w:vAlign w:val="center"/>
                </w:tcPr>
                <w:p>
                  <w:pPr>
                    <w:snapToGrid w:val="0"/>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432" w:type="pct"/>
                  <w:vMerge w:val="continue"/>
                  <w:vAlign w:val="center"/>
                </w:tcPr>
                <w:p>
                  <w:pPr>
                    <w:pStyle w:val="92"/>
                    <w:spacing w:line="240" w:lineRule="auto"/>
                    <w:ind w:firstLine="420"/>
                    <w:jc w:val="center"/>
                    <w:rPr>
                      <w:rFonts w:ascii="Times New Roman" w:hAnsi="Times New Roman"/>
                      <w:sz w:val="21"/>
                      <w:szCs w:val="21"/>
                      <w:lang w:eastAsia="zh-CN"/>
                    </w:rPr>
                  </w:pPr>
                </w:p>
              </w:tc>
              <w:tc>
                <w:tcPr>
                  <w:tcW w:w="841" w:type="pct"/>
                  <w:vAlign w:val="center"/>
                </w:tcPr>
                <w:p>
                  <w:pPr>
                    <w:pStyle w:val="92"/>
                    <w:spacing w:line="240" w:lineRule="auto"/>
                    <w:ind w:firstLine="0" w:firstLineChars="0"/>
                    <w:jc w:val="center"/>
                    <w:rPr>
                      <w:rFonts w:ascii="Times New Roman" w:hAnsi="Times New Roman"/>
                      <w:sz w:val="21"/>
                      <w:szCs w:val="21"/>
                      <w:lang w:eastAsia="zh-CN"/>
                    </w:rPr>
                  </w:pPr>
                  <w:r>
                    <w:rPr>
                      <w:rFonts w:ascii="Times New Roman" w:hAnsi="Times New Roman"/>
                      <w:sz w:val="21"/>
                      <w:szCs w:val="21"/>
                      <w:lang w:eastAsia="zh-CN"/>
                    </w:rPr>
                    <w:t>生活垃圾</w:t>
                  </w:r>
                </w:p>
              </w:tc>
              <w:tc>
                <w:tcPr>
                  <w:tcW w:w="1331" w:type="pct"/>
                  <w:vAlign w:val="center"/>
                </w:tcPr>
                <w:p>
                  <w:pPr>
                    <w:pStyle w:val="92"/>
                    <w:spacing w:line="240" w:lineRule="auto"/>
                    <w:ind w:firstLine="0" w:firstLineChars="0"/>
                    <w:jc w:val="center"/>
                    <w:rPr>
                      <w:rFonts w:ascii="Times New Roman" w:hAnsi="Times New Roman"/>
                      <w:sz w:val="21"/>
                      <w:szCs w:val="21"/>
                      <w:lang w:eastAsia="zh-CN"/>
                    </w:rPr>
                  </w:pPr>
                  <w:r>
                    <w:rPr>
                      <w:rFonts w:ascii="Times New Roman" w:hAnsi="Times New Roman"/>
                      <w:sz w:val="21"/>
                      <w:szCs w:val="21"/>
                      <w:lang w:eastAsia="zh-CN"/>
                    </w:rPr>
                    <w:t>环卫部门统一处理</w:t>
                  </w:r>
                </w:p>
              </w:tc>
              <w:tc>
                <w:tcPr>
                  <w:tcW w:w="2082" w:type="pct"/>
                  <w:vAlign w:val="center"/>
                </w:tcPr>
                <w:p>
                  <w:pPr>
                    <w:pStyle w:val="92"/>
                    <w:spacing w:line="240" w:lineRule="auto"/>
                    <w:ind w:firstLine="420"/>
                    <w:jc w:val="center"/>
                    <w:rPr>
                      <w:rFonts w:ascii="Times New Roman" w:hAnsi="Times New Roman"/>
                      <w:sz w:val="21"/>
                      <w:szCs w:val="21"/>
                      <w:lang w:eastAsia="zh-CN"/>
                    </w:rPr>
                  </w:pPr>
                  <w:r>
                    <w:rPr>
                      <w:rFonts w:ascii="Times New Roman" w:hAnsi="Times New Roman"/>
                      <w:sz w:val="21"/>
                      <w:szCs w:val="21"/>
                      <w:lang w:eastAsia="zh-CN"/>
                    </w:rPr>
                    <w:t>满足垃圾分类要求</w:t>
                  </w:r>
                </w:p>
              </w:tc>
              <w:tc>
                <w:tcPr>
                  <w:tcW w:w="314" w:type="pct"/>
                  <w:vMerge w:val="continue"/>
                  <w:vAlign w:val="center"/>
                </w:tcPr>
                <w:p>
                  <w:pPr>
                    <w:pStyle w:val="92"/>
                    <w:spacing w:line="240" w:lineRule="auto"/>
                    <w:ind w:firstLine="420"/>
                    <w:jc w:val="center"/>
                    <w:rPr>
                      <w:rFonts w:ascii="Times New Roman" w:hAnsi="Times New Roman"/>
                      <w:sz w:val="21"/>
                      <w:szCs w:val="21"/>
                      <w:lang w:eastAsia="zh-CN"/>
                    </w:rPr>
                  </w:pPr>
                </w:p>
              </w:tc>
            </w:tr>
          </w:tbl>
          <w:p>
            <w:pPr>
              <w:spacing w:line="440" w:lineRule="exact"/>
              <w:jc w:val="both"/>
              <w:rPr>
                <w:rFonts w:ascii="Times New Roman" w:hAnsi="Times New Roman"/>
                <w:lang w:val="en-US"/>
              </w:rPr>
            </w:pPr>
          </w:p>
          <w:p>
            <w:pPr>
              <w:pStyle w:val="2"/>
              <w:ind w:left="0" w:leftChars="0" w:firstLine="0" w:firstLineChars="0"/>
              <w:rPr>
                <w:rFonts w:ascii="Times New Roman" w:hAnsi="Times New Roman"/>
                <w:lang w:val="en-US"/>
              </w:rPr>
            </w:pPr>
          </w:p>
        </w:tc>
      </w:tr>
    </w:tbl>
    <w:p>
      <w:pPr>
        <w:pStyle w:val="40"/>
        <w:widowControl/>
        <w:autoSpaceDE/>
        <w:autoSpaceDN/>
        <w:snapToGrid w:val="0"/>
        <w:spacing w:beforeAutospacing="0" w:afterAutospacing="0" w:line="440" w:lineRule="exact"/>
        <w:jc w:val="center"/>
        <w:outlineLvl w:val="0"/>
        <w:rPr>
          <w:rFonts w:ascii="Times New Roman" w:hAnsi="Times New Roman" w:eastAsia="黑体"/>
          <w:bCs/>
          <w:snapToGrid w:val="0"/>
          <w:sz w:val="30"/>
          <w:szCs w:val="30"/>
        </w:rPr>
      </w:pPr>
      <w:r>
        <w:rPr>
          <w:rFonts w:ascii="Times New Roman" w:hAnsi="Times New Roman" w:eastAsia="黑体"/>
          <w:bCs/>
          <w:snapToGrid w:val="0"/>
          <w:sz w:val="30"/>
          <w:szCs w:val="30"/>
        </w:rPr>
        <w:br w:type="page"/>
      </w:r>
      <w:bookmarkStart w:id="62" w:name="_Toc112488140"/>
      <w:r>
        <w:rPr>
          <w:rFonts w:ascii="Times New Roman" w:hAnsi="Times New Roman" w:eastAsia="黑体"/>
          <w:bCs/>
          <w:snapToGrid w:val="0"/>
          <w:sz w:val="30"/>
          <w:szCs w:val="30"/>
        </w:rPr>
        <w:t>五、环境保护措施监督检查清单</w:t>
      </w:r>
      <w:bookmarkEnd w:id="62"/>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83"/>
        <w:gridCol w:w="1274"/>
        <w:gridCol w:w="1558"/>
        <w:gridCol w:w="2978"/>
        <w:gridCol w:w="28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tcBorders>
              <w:top w:val="single" w:color="000000" w:sz="12" w:space="0"/>
              <w:bottom w:val="single" w:color="000000" w:sz="8" w:space="0"/>
              <w:tl2br w:val="single" w:color="000000" w:sz="8"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 xml:space="preserve">    内容</w:t>
            </w:r>
          </w:p>
          <w:p>
            <w:pPr>
              <w:pStyle w:val="62"/>
              <w:spacing w:line="440" w:lineRule="exact"/>
              <w:jc w:val="both"/>
              <w:rPr>
                <w:rFonts w:ascii="Times New Roman" w:hAnsi="Times New Roman" w:cs="Times New Roman"/>
                <w:b/>
                <w:bCs/>
              </w:rPr>
            </w:pPr>
            <w:r>
              <w:rPr>
                <w:rFonts w:ascii="Times New Roman" w:hAnsi="Times New Roman" w:cs="Times New Roman"/>
                <w:b/>
                <w:bCs/>
              </w:rPr>
              <w:t>要素</w:t>
            </w:r>
          </w:p>
        </w:tc>
        <w:tc>
          <w:tcPr>
            <w:tcW w:w="661" w:type="pct"/>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排放口（编号、名称）/污染源</w:t>
            </w:r>
          </w:p>
        </w:tc>
        <w:tc>
          <w:tcPr>
            <w:tcW w:w="808" w:type="pct"/>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污染物项目</w:t>
            </w:r>
          </w:p>
        </w:tc>
        <w:tc>
          <w:tcPr>
            <w:tcW w:w="1545" w:type="pct"/>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环境保护措施</w:t>
            </w:r>
          </w:p>
        </w:tc>
        <w:tc>
          <w:tcPr>
            <w:tcW w:w="1476" w:type="pct"/>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51" w:hRule="atLeast"/>
          <w:jc w:val="center"/>
        </w:trPr>
        <w:tc>
          <w:tcPr>
            <w:tcW w:w="510" w:type="pct"/>
            <w:vMerge w:val="restart"/>
            <w:tcBorders>
              <w:top w:val="single" w:color="000000" w:sz="8"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大气环境</w:t>
            </w:r>
          </w:p>
        </w:tc>
        <w:tc>
          <w:tcPr>
            <w:tcW w:w="661" w:type="pct"/>
            <w:vAlign w:val="center"/>
          </w:tcPr>
          <w:p>
            <w:pPr>
              <w:pStyle w:val="62"/>
              <w:spacing w:line="440" w:lineRule="exact"/>
              <w:jc w:val="center"/>
              <w:rPr>
                <w:rFonts w:ascii="Times New Roman" w:hAnsi="Times New Roman" w:cs="Times New Roman"/>
              </w:rPr>
            </w:pPr>
            <w:r>
              <w:rPr>
                <w:rFonts w:ascii="Times New Roman" w:hAnsi="Times New Roman" w:cs="Times New Roman"/>
              </w:rPr>
              <w:t>DA001/喷涂保护液废气</w:t>
            </w:r>
          </w:p>
        </w:tc>
        <w:tc>
          <w:tcPr>
            <w:tcW w:w="808" w:type="pct"/>
            <w:vAlign w:val="center"/>
          </w:tcPr>
          <w:p>
            <w:pPr>
              <w:pStyle w:val="67"/>
              <w:spacing w:line="440" w:lineRule="exact"/>
              <w:rPr>
                <w:rFonts w:ascii="Times New Roman" w:hAnsi="Times New Roman"/>
                <w:spacing w:val="0"/>
                <w:lang w:val="en-US"/>
              </w:rPr>
            </w:pPr>
            <w:r>
              <w:rPr>
                <w:rFonts w:ascii="Times New Roman" w:hAnsi="Times New Roman"/>
                <w:spacing w:val="0"/>
                <w:lang w:val="en-US"/>
              </w:rPr>
              <w:t>非甲烷总烃</w:t>
            </w:r>
          </w:p>
          <w:p>
            <w:pPr>
              <w:jc w:val="center"/>
              <w:rPr>
                <w:rFonts w:ascii="Times New Roman" w:hAnsi="Times New Roman"/>
                <w:lang w:val="en-US"/>
              </w:rPr>
            </w:pPr>
            <w:r>
              <w:rPr>
                <w:rFonts w:ascii="Times New Roman" w:hAnsi="Times New Roman"/>
              </w:rPr>
              <w:t>（有组织）</w:t>
            </w:r>
          </w:p>
        </w:tc>
        <w:tc>
          <w:tcPr>
            <w:tcW w:w="1545" w:type="pct"/>
            <w:vAlign w:val="center"/>
          </w:tcPr>
          <w:p>
            <w:pPr>
              <w:pStyle w:val="24"/>
              <w:adjustRightInd/>
              <w:spacing w:before="0" w:line="440" w:lineRule="exact"/>
              <w:jc w:val="both"/>
              <w:rPr>
                <w:rFonts w:ascii="Times New Roman" w:hAnsi="Times New Roman"/>
                <w:szCs w:val="21"/>
                <w:lang w:val="en-US"/>
              </w:rPr>
            </w:pPr>
            <w:r>
              <w:rPr>
                <w:rFonts w:ascii="Times New Roman" w:hAnsi="Times New Roman"/>
                <w:szCs w:val="21"/>
                <w:lang w:val="en-US"/>
              </w:rPr>
              <w:t>二级</w:t>
            </w:r>
            <w:r>
              <w:rPr>
                <w:rFonts w:ascii="Times New Roman" w:hAnsi="Times New Roman"/>
                <w:lang w:val="en-US"/>
              </w:rPr>
              <w:t>活性炭吸附装置经30m排气筒（DA001）</w:t>
            </w:r>
          </w:p>
        </w:tc>
        <w:tc>
          <w:tcPr>
            <w:tcW w:w="1476" w:type="pct"/>
            <w:vMerge w:val="restart"/>
            <w:vAlign w:val="center"/>
          </w:tcPr>
          <w:p>
            <w:pPr>
              <w:spacing w:line="440" w:lineRule="exact"/>
              <w:jc w:val="both"/>
              <w:rPr>
                <w:rFonts w:ascii="Times New Roman" w:hAnsi="Times New Roman"/>
              </w:rPr>
            </w:pPr>
            <w:r>
              <w:rPr>
                <w:rFonts w:ascii="Times New Roman" w:hAnsi="Times New Roman"/>
              </w:rPr>
              <w:t>参考《大气污染物综合排放标准》（GB16297-1996）表2中二级标准及无组织排放限值及</w:t>
            </w:r>
            <w:r>
              <w:rPr>
                <w:rFonts w:ascii="Times New Roman" w:hAnsi="Times New Roman"/>
                <w:bCs/>
              </w:rPr>
              <w:t>《挥发性有机物无组织排放控制标准》（GB37822-2019）</w:t>
            </w:r>
            <w:r>
              <w:rPr>
                <w:rFonts w:ascii="Times New Roman" w:hAnsi="Times New Roman"/>
              </w:rPr>
              <w:t>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18"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DA002/印刷、烘烤废气</w:t>
            </w:r>
          </w:p>
        </w:tc>
        <w:tc>
          <w:tcPr>
            <w:tcW w:w="808" w:type="pct"/>
            <w:vAlign w:val="center"/>
          </w:tcPr>
          <w:p>
            <w:pPr>
              <w:pStyle w:val="67"/>
              <w:spacing w:line="440" w:lineRule="exact"/>
              <w:rPr>
                <w:rFonts w:ascii="Times New Roman" w:hAnsi="Times New Roman"/>
                <w:spacing w:val="0"/>
                <w:lang w:val="en-US"/>
              </w:rPr>
            </w:pPr>
            <w:r>
              <w:rPr>
                <w:rFonts w:ascii="Times New Roman" w:hAnsi="Times New Roman"/>
                <w:spacing w:val="0"/>
                <w:lang w:val="en-US"/>
              </w:rPr>
              <w:t>非甲烷总烃</w:t>
            </w:r>
          </w:p>
          <w:p>
            <w:pPr>
              <w:jc w:val="center"/>
              <w:rPr>
                <w:rFonts w:ascii="Times New Roman" w:hAnsi="Times New Roman"/>
                <w:lang w:val="en-US"/>
              </w:rPr>
            </w:pPr>
            <w:r>
              <w:rPr>
                <w:rFonts w:ascii="Times New Roman" w:hAnsi="Times New Roman"/>
              </w:rPr>
              <w:t>（有组织）</w:t>
            </w:r>
          </w:p>
        </w:tc>
        <w:tc>
          <w:tcPr>
            <w:tcW w:w="1545" w:type="pct"/>
            <w:vAlign w:val="center"/>
          </w:tcPr>
          <w:p>
            <w:pPr>
              <w:pStyle w:val="24"/>
              <w:adjustRightInd/>
              <w:spacing w:before="0" w:line="440" w:lineRule="exact"/>
              <w:jc w:val="both"/>
              <w:rPr>
                <w:rFonts w:ascii="Times New Roman" w:hAnsi="Times New Roman"/>
                <w:spacing w:val="0"/>
                <w:szCs w:val="21"/>
                <w:lang w:val="en-US"/>
              </w:rPr>
            </w:pPr>
            <w:r>
              <w:rPr>
                <w:rFonts w:ascii="Times New Roman" w:hAnsi="Times New Roman"/>
              </w:rPr>
              <w:t>印刷区域密闭、烤炉进出口密闭收集+二级活性炭纤维吸附处理后经30m排气筒（DA002）排放</w:t>
            </w:r>
          </w:p>
        </w:tc>
        <w:tc>
          <w:tcPr>
            <w:tcW w:w="1476" w:type="pct"/>
            <w:vMerge w:val="continue"/>
            <w:vAlign w:val="center"/>
          </w:tcPr>
          <w:p>
            <w:pPr>
              <w:spacing w:line="440" w:lineRule="exact"/>
              <w:jc w:val="both"/>
              <w:rPr>
                <w:rFonts w:ascii="Times New Roman" w:hAnsi="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43"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spacing w:line="440" w:lineRule="exact"/>
              <w:jc w:val="center"/>
              <w:rPr>
                <w:rFonts w:ascii="Times New Roman" w:hAnsi="Times New Roman"/>
              </w:rPr>
            </w:pPr>
            <w:r>
              <w:rPr>
                <w:rFonts w:ascii="Times New Roman" w:hAnsi="Times New Roman"/>
              </w:rPr>
              <w:t>涂保护液</w:t>
            </w:r>
          </w:p>
          <w:p>
            <w:pPr>
              <w:pStyle w:val="62"/>
              <w:spacing w:line="440" w:lineRule="exact"/>
              <w:jc w:val="center"/>
              <w:rPr>
                <w:rFonts w:ascii="Times New Roman" w:hAnsi="Times New Roman" w:cs="Times New Roman"/>
              </w:rPr>
            </w:pPr>
            <w:r>
              <w:rPr>
                <w:rFonts w:ascii="Times New Roman" w:hAnsi="Times New Roman" w:cs="Times New Roman"/>
              </w:rPr>
              <w:t>印刷、烘烤、喷AF膜、检验</w:t>
            </w:r>
          </w:p>
        </w:tc>
        <w:tc>
          <w:tcPr>
            <w:tcW w:w="808" w:type="pct"/>
            <w:vAlign w:val="center"/>
          </w:tcPr>
          <w:p>
            <w:pPr>
              <w:pStyle w:val="67"/>
              <w:spacing w:line="440" w:lineRule="exact"/>
              <w:rPr>
                <w:rFonts w:ascii="Times New Roman" w:hAnsi="Times New Roman"/>
                <w:spacing w:val="0"/>
                <w:lang w:val="en-US"/>
              </w:rPr>
            </w:pPr>
            <w:r>
              <w:rPr>
                <w:rFonts w:ascii="Times New Roman" w:hAnsi="Times New Roman"/>
                <w:spacing w:val="0"/>
                <w:lang w:val="en-US"/>
              </w:rPr>
              <w:t>非甲烷总烃</w:t>
            </w:r>
          </w:p>
          <w:p>
            <w:pPr>
              <w:jc w:val="center"/>
              <w:rPr>
                <w:rFonts w:ascii="Times New Roman" w:hAnsi="Times New Roman"/>
                <w:lang w:val="en-US"/>
              </w:rPr>
            </w:pPr>
            <w:r>
              <w:rPr>
                <w:rFonts w:ascii="Times New Roman" w:hAnsi="Times New Roman"/>
              </w:rPr>
              <w:t>（无组织）</w:t>
            </w:r>
          </w:p>
        </w:tc>
        <w:tc>
          <w:tcPr>
            <w:tcW w:w="1545" w:type="pct"/>
            <w:vAlign w:val="center"/>
          </w:tcPr>
          <w:p>
            <w:pPr>
              <w:pStyle w:val="24"/>
              <w:adjustRightInd/>
              <w:spacing w:before="0" w:line="440" w:lineRule="exact"/>
              <w:jc w:val="center"/>
              <w:rPr>
                <w:rFonts w:ascii="Times New Roman" w:hAnsi="Times New Roman"/>
              </w:rPr>
            </w:pPr>
            <w:r>
              <w:rPr>
                <w:rFonts w:ascii="Times New Roman" w:hAnsi="Times New Roman"/>
              </w:rPr>
              <w:t>安装排气扇，加强通风</w:t>
            </w:r>
          </w:p>
        </w:tc>
        <w:tc>
          <w:tcPr>
            <w:tcW w:w="1476" w:type="pct"/>
            <w:vMerge w:val="continue"/>
            <w:vAlign w:val="center"/>
          </w:tcPr>
          <w:p>
            <w:pPr>
              <w:spacing w:line="440" w:lineRule="exact"/>
              <w:jc w:val="both"/>
              <w:rPr>
                <w:rFonts w:ascii="Times New Roman" w:hAnsi="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食堂油烟废气</w:t>
            </w:r>
          </w:p>
        </w:tc>
        <w:tc>
          <w:tcPr>
            <w:tcW w:w="808" w:type="pct"/>
            <w:vAlign w:val="center"/>
          </w:tcPr>
          <w:p>
            <w:pPr>
              <w:pStyle w:val="67"/>
              <w:spacing w:line="440" w:lineRule="exact"/>
              <w:rPr>
                <w:rFonts w:ascii="Times New Roman" w:hAnsi="Times New Roman"/>
                <w:spacing w:val="0"/>
                <w:lang w:val="en-US"/>
              </w:rPr>
            </w:pPr>
            <w:r>
              <w:rPr>
                <w:rFonts w:ascii="Times New Roman" w:hAnsi="Times New Roman"/>
              </w:rPr>
              <w:t>油烟</w:t>
            </w:r>
          </w:p>
        </w:tc>
        <w:tc>
          <w:tcPr>
            <w:tcW w:w="1545" w:type="pct"/>
            <w:vAlign w:val="center"/>
          </w:tcPr>
          <w:p>
            <w:pPr>
              <w:pStyle w:val="62"/>
              <w:spacing w:line="440" w:lineRule="exact"/>
              <w:jc w:val="both"/>
              <w:rPr>
                <w:rFonts w:ascii="Times New Roman" w:hAnsi="Times New Roman" w:cs="Times New Roman"/>
                <w:lang w:val="en-US"/>
              </w:rPr>
            </w:pPr>
            <w:r>
              <w:rPr>
                <w:rFonts w:ascii="Times New Roman" w:hAnsi="Times New Roman" w:cs="Times New Roman"/>
              </w:rPr>
              <w:t>油烟净化器处理+专用风道排放</w:t>
            </w:r>
          </w:p>
        </w:tc>
        <w:tc>
          <w:tcPr>
            <w:tcW w:w="1476" w:type="pct"/>
            <w:vAlign w:val="center"/>
          </w:tcPr>
          <w:p>
            <w:pPr>
              <w:spacing w:line="440" w:lineRule="exact"/>
              <w:jc w:val="both"/>
              <w:rPr>
                <w:rFonts w:ascii="Times New Roman" w:hAnsi="Times New Roman"/>
                <w:lang w:val="en-US"/>
              </w:rPr>
            </w:pPr>
            <w:r>
              <w:rPr>
                <w:rFonts w:ascii="Times New Roman" w:hAnsi="Times New Roman"/>
              </w:rPr>
              <w:t>参考《饮食业油烟排放标准（试行）》（GB18483-2001）规定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Merge w:val="restart"/>
            <w:vAlign w:val="center"/>
          </w:tcPr>
          <w:p>
            <w:pPr>
              <w:pStyle w:val="62"/>
              <w:spacing w:line="440" w:lineRule="exact"/>
              <w:jc w:val="center"/>
              <w:rPr>
                <w:rFonts w:ascii="Times New Roman" w:hAnsi="Times New Roman" w:cs="Times New Roman"/>
              </w:rPr>
            </w:pPr>
            <w:r>
              <w:rPr>
                <w:rFonts w:ascii="Times New Roman" w:hAnsi="Times New Roman" w:cs="Times New Roman"/>
              </w:rPr>
              <w:t>地表水环境</w:t>
            </w:r>
          </w:p>
        </w:tc>
        <w:tc>
          <w:tcPr>
            <w:tcW w:w="661" w:type="pct"/>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生活污水</w:t>
            </w:r>
          </w:p>
        </w:tc>
        <w:tc>
          <w:tcPr>
            <w:tcW w:w="808" w:type="pct"/>
            <w:vAlign w:val="center"/>
          </w:tcPr>
          <w:p>
            <w:pPr>
              <w:pStyle w:val="62"/>
              <w:spacing w:line="440" w:lineRule="exact"/>
              <w:jc w:val="center"/>
              <w:rPr>
                <w:rFonts w:ascii="Times New Roman" w:hAnsi="Times New Roman" w:cs="Times New Roman"/>
                <w:lang w:val="en-US"/>
              </w:rPr>
            </w:pPr>
            <w:r>
              <w:rPr>
                <w:rFonts w:ascii="Times New Roman" w:hAnsi="Times New Roman" w:cs="Times New Roman"/>
                <w:position w:val="2"/>
                <w:lang w:val="en-US"/>
              </w:rPr>
              <w:t>COD</w:t>
            </w:r>
            <w:r>
              <w:rPr>
                <w:rFonts w:ascii="Times New Roman" w:hAnsi="Times New Roman" w:cs="Times New Roman"/>
                <w:position w:val="2"/>
              </w:rPr>
              <w:t>、</w:t>
            </w:r>
            <w:r>
              <w:rPr>
                <w:rFonts w:ascii="Times New Roman" w:hAnsi="Times New Roman" w:cs="Times New Roman"/>
                <w:position w:val="2"/>
                <w:lang w:val="en-US"/>
              </w:rPr>
              <w:t>SS</w:t>
            </w:r>
            <w:r>
              <w:rPr>
                <w:rFonts w:ascii="Times New Roman" w:hAnsi="Times New Roman" w:cs="Times New Roman"/>
                <w:position w:val="2"/>
              </w:rPr>
              <w:t>、</w:t>
            </w:r>
            <w:r>
              <w:rPr>
                <w:rFonts w:ascii="Times New Roman" w:hAnsi="Times New Roman" w:cs="Times New Roman"/>
                <w:lang w:val="en-US"/>
              </w:rPr>
              <w:t>NH</w:t>
            </w:r>
            <w:r>
              <w:rPr>
                <w:rFonts w:ascii="Times New Roman" w:hAnsi="Times New Roman" w:cs="Times New Roman"/>
                <w:vertAlign w:val="subscript"/>
                <w:lang w:val="en-US"/>
              </w:rPr>
              <w:t>3</w:t>
            </w:r>
            <w:r>
              <w:rPr>
                <w:rFonts w:ascii="Times New Roman" w:hAnsi="Times New Roman" w:cs="Times New Roman"/>
                <w:lang w:val="en-US"/>
              </w:rPr>
              <w:t>-N、TP、动植物油</w:t>
            </w:r>
          </w:p>
        </w:tc>
        <w:tc>
          <w:tcPr>
            <w:tcW w:w="1545" w:type="pct"/>
            <w:vMerge w:val="restart"/>
            <w:vAlign w:val="center"/>
          </w:tcPr>
          <w:p>
            <w:pPr>
              <w:pStyle w:val="62"/>
              <w:spacing w:line="440" w:lineRule="exact"/>
              <w:jc w:val="both"/>
              <w:rPr>
                <w:rFonts w:ascii="Times New Roman" w:hAnsi="Times New Roman" w:cs="Times New Roman"/>
              </w:rPr>
            </w:pPr>
            <w:r>
              <w:rPr>
                <w:rFonts w:ascii="Times New Roman" w:hAnsi="Times New Roman" w:cs="Times New Roman"/>
                <w:lang w:val="en-US"/>
              </w:rPr>
              <w:t>经隔油池+化粪池预处理后，通过市政污水管网，排入桂集镇污水处理厂进行处理</w:t>
            </w:r>
          </w:p>
        </w:tc>
        <w:tc>
          <w:tcPr>
            <w:tcW w:w="1476" w:type="pct"/>
            <w:vMerge w:val="restart"/>
            <w:vAlign w:val="center"/>
          </w:tcPr>
          <w:p>
            <w:pPr>
              <w:pStyle w:val="15"/>
              <w:jc w:val="both"/>
              <w:rPr>
                <w:rFonts w:ascii="Times New Roman" w:hAnsi="Times New Roman" w:cs="Times New Roman"/>
                <w:sz w:val="21"/>
                <w:szCs w:val="21"/>
              </w:rPr>
            </w:pPr>
            <w:r>
              <w:rPr>
                <w:rFonts w:ascii="Times New Roman" w:hAnsi="Times New Roman" w:cs="Times New Roman"/>
                <w:sz w:val="21"/>
                <w:szCs w:val="21"/>
              </w:rPr>
              <w:t>执行《污水综合排放标准》（GB8978-1996）中三级排放标准及桂集镇污水处理厂接管标准中较严标准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spacing w:line="440" w:lineRule="exact"/>
              <w:jc w:val="center"/>
              <w:rPr>
                <w:rFonts w:ascii="Times New Roman" w:hAnsi="Times New Roman"/>
              </w:rPr>
            </w:pPr>
            <w:r>
              <w:rPr>
                <w:rFonts w:ascii="Times New Roman" w:hAnsi="Times New Roman"/>
              </w:rPr>
              <w:t>纯水制备产生的浓水</w:t>
            </w:r>
          </w:p>
        </w:tc>
        <w:tc>
          <w:tcPr>
            <w:tcW w:w="808" w:type="pct"/>
            <w:vAlign w:val="center"/>
          </w:tcPr>
          <w:p>
            <w:pPr>
              <w:pStyle w:val="62"/>
              <w:spacing w:line="440" w:lineRule="exact"/>
              <w:jc w:val="center"/>
              <w:rPr>
                <w:rFonts w:ascii="Times New Roman" w:hAnsi="Times New Roman" w:cs="Times New Roman"/>
                <w:position w:val="2"/>
                <w:lang w:val="en-US"/>
              </w:rPr>
            </w:pPr>
            <w:r>
              <w:rPr>
                <w:rFonts w:ascii="Times New Roman" w:hAnsi="Times New Roman" w:cs="Times New Roman"/>
              </w:rPr>
              <w:t>COD、SS</w:t>
            </w:r>
          </w:p>
        </w:tc>
        <w:tc>
          <w:tcPr>
            <w:tcW w:w="1545" w:type="pct"/>
            <w:vMerge w:val="continue"/>
            <w:vAlign w:val="center"/>
          </w:tcPr>
          <w:p>
            <w:pPr>
              <w:pStyle w:val="62"/>
              <w:spacing w:line="440" w:lineRule="exact"/>
              <w:jc w:val="both"/>
              <w:rPr>
                <w:rFonts w:ascii="Times New Roman" w:hAnsi="Times New Roman" w:cs="Times New Roman"/>
                <w:lang w:val="en-US"/>
              </w:rPr>
            </w:pPr>
          </w:p>
        </w:tc>
        <w:tc>
          <w:tcPr>
            <w:tcW w:w="1476" w:type="pct"/>
            <w:vMerge w:val="continue"/>
            <w:vAlign w:val="center"/>
          </w:tcPr>
          <w:p>
            <w:pPr>
              <w:pStyle w:val="62"/>
              <w:spacing w:line="440" w:lineRule="exact"/>
              <w:jc w:val="both"/>
              <w:rPr>
                <w:rFonts w:ascii="Times New Roman" w:hAnsi="Times New Roman" w:cs="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spacing w:line="440" w:lineRule="exact"/>
              <w:jc w:val="center"/>
              <w:rPr>
                <w:rFonts w:ascii="Times New Roman" w:hAnsi="Times New Roman"/>
              </w:rPr>
            </w:pPr>
            <w:r>
              <w:rPr>
                <w:rFonts w:ascii="Times New Roman" w:hAnsi="Times New Roman"/>
              </w:rPr>
              <w:t>生产废水（玻璃浸泡废水、清洗废水）</w:t>
            </w:r>
          </w:p>
        </w:tc>
        <w:tc>
          <w:tcPr>
            <w:tcW w:w="808" w:type="pct"/>
            <w:vAlign w:val="center"/>
          </w:tcPr>
          <w:p>
            <w:pPr>
              <w:pStyle w:val="62"/>
              <w:spacing w:line="440" w:lineRule="exact"/>
              <w:jc w:val="center"/>
              <w:rPr>
                <w:rFonts w:ascii="Times New Roman" w:hAnsi="Times New Roman" w:cs="Times New Roman"/>
                <w:position w:val="2"/>
                <w:lang w:val="en-US"/>
              </w:rPr>
            </w:pPr>
            <w:r>
              <w:rPr>
                <w:rFonts w:ascii="Times New Roman" w:hAnsi="Times New Roman" w:cs="Times New Roman"/>
                <w:position w:val="2"/>
                <w:lang w:val="en-US"/>
              </w:rPr>
              <w:t>COD</w:t>
            </w:r>
            <w:r>
              <w:rPr>
                <w:rFonts w:ascii="Times New Roman" w:hAnsi="Times New Roman" w:cs="Times New Roman"/>
                <w:position w:val="2"/>
              </w:rPr>
              <w:t>、</w:t>
            </w:r>
            <w:r>
              <w:rPr>
                <w:rFonts w:ascii="Times New Roman" w:hAnsi="Times New Roman" w:cs="Times New Roman"/>
              </w:rPr>
              <w:t>BOD</w:t>
            </w:r>
            <w:r>
              <w:rPr>
                <w:rFonts w:ascii="Times New Roman" w:hAnsi="Times New Roman" w:cs="Times New Roman"/>
                <w:vertAlign w:val="subscript"/>
              </w:rPr>
              <w:t>5</w:t>
            </w:r>
            <w:r>
              <w:rPr>
                <w:rFonts w:ascii="Times New Roman" w:hAnsi="Times New Roman" w:cs="Times New Roman"/>
              </w:rPr>
              <w:t>、</w:t>
            </w:r>
            <w:r>
              <w:rPr>
                <w:rFonts w:ascii="Times New Roman" w:hAnsi="Times New Roman" w:cs="Times New Roman"/>
                <w:position w:val="2"/>
                <w:lang w:val="en-US"/>
              </w:rPr>
              <w:t>SS</w:t>
            </w:r>
            <w:r>
              <w:rPr>
                <w:rFonts w:ascii="Times New Roman" w:hAnsi="Times New Roman" w:cs="Times New Roman"/>
                <w:position w:val="2"/>
              </w:rPr>
              <w:t>、</w:t>
            </w:r>
            <w:r>
              <w:rPr>
                <w:rFonts w:ascii="Times New Roman" w:hAnsi="Times New Roman" w:cs="Times New Roman"/>
                <w:lang w:val="en-US"/>
              </w:rPr>
              <w:t>NH</w:t>
            </w:r>
            <w:r>
              <w:rPr>
                <w:rFonts w:ascii="Times New Roman" w:hAnsi="Times New Roman" w:cs="Times New Roman"/>
                <w:vertAlign w:val="subscript"/>
                <w:lang w:val="en-US"/>
              </w:rPr>
              <w:t>3</w:t>
            </w:r>
            <w:r>
              <w:rPr>
                <w:rFonts w:ascii="Times New Roman" w:hAnsi="Times New Roman" w:cs="Times New Roman"/>
                <w:lang w:val="en-US"/>
              </w:rPr>
              <w:t>-N、LAS</w:t>
            </w:r>
          </w:p>
        </w:tc>
        <w:tc>
          <w:tcPr>
            <w:tcW w:w="1545" w:type="pct"/>
            <w:vAlign w:val="center"/>
          </w:tcPr>
          <w:p>
            <w:pPr>
              <w:pStyle w:val="62"/>
              <w:spacing w:line="440" w:lineRule="exact"/>
              <w:jc w:val="both"/>
              <w:rPr>
                <w:rFonts w:ascii="Times New Roman" w:hAnsi="Times New Roman" w:cs="Times New Roman"/>
                <w:lang w:val="en-US"/>
              </w:rPr>
            </w:pPr>
            <w:r>
              <w:rPr>
                <w:rFonts w:ascii="Times New Roman" w:hAnsi="Times New Roman" w:cs="Times New Roman"/>
                <w:lang w:val="en-US"/>
              </w:rPr>
              <w:t>经三级絮凝沉淀池预处理后，通过市政污水管网，排入桂集镇污水处理厂进行处理</w:t>
            </w:r>
          </w:p>
        </w:tc>
        <w:tc>
          <w:tcPr>
            <w:tcW w:w="1476" w:type="pct"/>
            <w:vMerge w:val="continue"/>
            <w:vAlign w:val="center"/>
          </w:tcPr>
          <w:p>
            <w:pPr>
              <w:pStyle w:val="62"/>
              <w:spacing w:line="440" w:lineRule="exact"/>
              <w:jc w:val="both"/>
              <w:rPr>
                <w:rFonts w:ascii="Times New Roman" w:hAnsi="Times New Roman" w:cs="Times New Roman"/>
                <w:lang w:val="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Align w:val="center"/>
          </w:tcPr>
          <w:p>
            <w:pPr>
              <w:pStyle w:val="62"/>
              <w:spacing w:line="440" w:lineRule="exact"/>
              <w:jc w:val="center"/>
              <w:rPr>
                <w:rFonts w:ascii="Times New Roman" w:hAnsi="Times New Roman" w:cs="Times New Roman"/>
              </w:rPr>
            </w:pPr>
            <w:r>
              <w:rPr>
                <w:rFonts w:ascii="Times New Roman" w:hAnsi="Times New Roman" w:cs="Times New Roman"/>
              </w:rPr>
              <w:t>声环境</w:t>
            </w:r>
          </w:p>
        </w:tc>
        <w:tc>
          <w:tcPr>
            <w:tcW w:w="661" w:type="pct"/>
            <w:vAlign w:val="center"/>
          </w:tcPr>
          <w:p>
            <w:pPr>
              <w:pStyle w:val="62"/>
              <w:spacing w:line="440" w:lineRule="exact"/>
              <w:jc w:val="center"/>
              <w:rPr>
                <w:rFonts w:ascii="Times New Roman" w:hAnsi="Times New Roman" w:cs="Times New Roman"/>
              </w:rPr>
            </w:pPr>
            <w:r>
              <w:rPr>
                <w:rFonts w:ascii="Times New Roman" w:hAnsi="Times New Roman" w:cs="Times New Roman"/>
              </w:rPr>
              <w:t>生产设备</w:t>
            </w:r>
          </w:p>
        </w:tc>
        <w:tc>
          <w:tcPr>
            <w:tcW w:w="808" w:type="pct"/>
            <w:vAlign w:val="center"/>
          </w:tcPr>
          <w:p>
            <w:pPr>
              <w:pStyle w:val="62"/>
              <w:spacing w:line="440" w:lineRule="exact"/>
              <w:jc w:val="center"/>
              <w:rPr>
                <w:rFonts w:ascii="Times New Roman" w:hAnsi="Times New Roman" w:cs="Times New Roman"/>
              </w:rPr>
            </w:pPr>
            <w:r>
              <w:rPr>
                <w:rFonts w:ascii="Times New Roman" w:hAnsi="Times New Roman" w:cs="Times New Roman"/>
              </w:rPr>
              <w:t>噪声</w:t>
            </w:r>
          </w:p>
        </w:tc>
        <w:tc>
          <w:tcPr>
            <w:tcW w:w="1545" w:type="pct"/>
            <w:vAlign w:val="center"/>
          </w:tcPr>
          <w:p>
            <w:pPr>
              <w:pStyle w:val="62"/>
              <w:spacing w:line="440" w:lineRule="exact"/>
              <w:jc w:val="both"/>
              <w:rPr>
                <w:rFonts w:ascii="Times New Roman" w:hAnsi="Times New Roman" w:cs="Times New Roman"/>
              </w:rPr>
            </w:pPr>
            <w:r>
              <w:rPr>
                <w:rFonts w:ascii="Times New Roman" w:hAnsi="Times New Roman" w:cs="Times New Roman"/>
              </w:rPr>
              <w:t>选用低噪声设备，车间内布置隔声减振等设施</w:t>
            </w:r>
          </w:p>
        </w:tc>
        <w:tc>
          <w:tcPr>
            <w:tcW w:w="1476" w:type="pct"/>
            <w:vAlign w:val="center"/>
          </w:tcPr>
          <w:p>
            <w:pPr>
              <w:pStyle w:val="62"/>
              <w:spacing w:line="440" w:lineRule="exact"/>
              <w:jc w:val="center"/>
              <w:rPr>
                <w:rFonts w:ascii="Times New Roman" w:hAnsi="Times New Roman" w:cs="Times New Roman"/>
              </w:rPr>
            </w:pPr>
            <w:r>
              <w:rPr>
                <w:rFonts w:ascii="Times New Roman" w:hAnsi="Times New Roman" w:cs="Times New Roman"/>
              </w:rPr>
              <w:t>《工业企业厂界环境噪声排放标准》（GB12</w:t>
            </w:r>
            <w:r>
              <w:rPr>
                <w:rFonts w:ascii="Times New Roman" w:hAnsi="Times New Roman" w:cs="Times New Roman"/>
                <w:lang w:val="en-US"/>
              </w:rPr>
              <w:t>348-200</w:t>
            </w:r>
            <w:r>
              <w:rPr>
                <w:rFonts w:ascii="Times New Roman" w:hAnsi="Times New Roman" w:cs="Times New Roman"/>
              </w:rPr>
              <w:t>8）中</w:t>
            </w:r>
            <w:r>
              <w:rPr>
                <w:rFonts w:ascii="Times New Roman" w:hAnsi="Times New Roman" w:cs="Times New Roman"/>
                <w:lang w:val="en-US"/>
              </w:rPr>
              <w:t>3</w:t>
            </w:r>
            <w:r>
              <w:rPr>
                <w:rFonts w:ascii="Times New Roman" w:hAnsi="Times New Roman" w:cs="Times New Roman"/>
              </w:rPr>
              <w:t>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32" w:hRule="atLeast"/>
          <w:jc w:val="center"/>
        </w:trPr>
        <w:tc>
          <w:tcPr>
            <w:tcW w:w="510" w:type="pct"/>
            <w:vMerge w:val="restart"/>
            <w:vAlign w:val="center"/>
          </w:tcPr>
          <w:p>
            <w:pPr>
              <w:pStyle w:val="62"/>
              <w:spacing w:line="440" w:lineRule="exact"/>
              <w:jc w:val="center"/>
              <w:rPr>
                <w:rFonts w:ascii="Times New Roman" w:hAnsi="Times New Roman" w:cs="Times New Roman"/>
              </w:rPr>
            </w:pPr>
            <w:r>
              <w:rPr>
                <w:rFonts w:ascii="Times New Roman" w:hAnsi="Times New Roman" w:cs="Times New Roman"/>
              </w:rPr>
              <w:t>固体废物</w:t>
            </w:r>
          </w:p>
        </w:tc>
        <w:tc>
          <w:tcPr>
            <w:tcW w:w="661" w:type="pct"/>
            <w:vAlign w:val="center"/>
          </w:tcPr>
          <w:p>
            <w:pPr>
              <w:pStyle w:val="62"/>
              <w:spacing w:line="440" w:lineRule="exact"/>
              <w:jc w:val="center"/>
              <w:rPr>
                <w:rFonts w:ascii="Times New Roman" w:hAnsi="Times New Roman" w:cs="Times New Roman"/>
              </w:rPr>
            </w:pPr>
            <w:r>
              <w:rPr>
                <w:rFonts w:ascii="Times New Roman" w:hAnsi="Times New Roman" w:cs="Times New Roman"/>
              </w:rPr>
              <w:t>危险废物</w:t>
            </w:r>
          </w:p>
        </w:tc>
        <w:tc>
          <w:tcPr>
            <w:tcW w:w="808" w:type="pct"/>
            <w:vAlign w:val="center"/>
          </w:tcPr>
          <w:p>
            <w:pPr>
              <w:pStyle w:val="62"/>
              <w:spacing w:line="440" w:lineRule="exact"/>
              <w:jc w:val="center"/>
              <w:rPr>
                <w:rFonts w:ascii="Times New Roman" w:hAnsi="Times New Roman" w:cs="Times New Roman"/>
              </w:rPr>
            </w:pPr>
            <w:r>
              <w:rPr>
                <w:rFonts w:ascii="Times New Roman" w:hAnsi="Times New Roman" w:cs="Times New Roman"/>
              </w:rPr>
              <w:t>废活性炭、废润滑油、废洗网水、废油墨渣、废硝酸钾、废AF药水、废包装瓶（桶）、废水处理站污泥、废切削液、废显影液</w:t>
            </w:r>
            <w:r>
              <w:rPr>
                <w:rFonts w:hint="eastAsia" w:ascii="Times New Roman" w:hAnsi="Times New Roman" w:cs="Times New Roman"/>
              </w:rPr>
              <w:t>、</w:t>
            </w:r>
            <w:r>
              <w:rPr>
                <w:rFonts w:hint="eastAsia" w:ascii="Times New Roman" w:hAnsi="Times New Roman"/>
              </w:rPr>
              <w:t>废网版、</w:t>
            </w:r>
            <w:r>
              <w:rPr>
                <w:rFonts w:ascii="Times New Roman" w:hAnsi="Times New Roman"/>
              </w:rPr>
              <w:t>含油</w:t>
            </w:r>
            <w:r>
              <w:rPr>
                <w:rFonts w:hint="eastAsia" w:ascii="Times New Roman" w:hAnsi="Times New Roman"/>
              </w:rPr>
              <w:t>抹布</w:t>
            </w:r>
            <w:r>
              <w:rPr>
                <w:rFonts w:ascii="Times New Roman" w:hAnsi="Times New Roman"/>
              </w:rPr>
              <w:t>、手套</w:t>
            </w:r>
          </w:p>
        </w:tc>
        <w:tc>
          <w:tcPr>
            <w:tcW w:w="1545" w:type="pct"/>
            <w:vAlign w:val="center"/>
          </w:tcPr>
          <w:p>
            <w:pPr>
              <w:widowControl/>
              <w:spacing w:line="440" w:lineRule="exact"/>
              <w:jc w:val="both"/>
              <w:rPr>
                <w:rFonts w:ascii="Times New Roman" w:hAnsi="Times New Roman"/>
              </w:rPr>
            </w:pPr>
            <w:r>
              <w:rPr>
                <w:rFonts w:ascii="Times New Roman" w:hAnsi="Times New Roman"/>
              </w:rPr>
              <w:t>委托有资质单位进行无害化处理</w:t>
            </w:r>
          </w:p>
        </w:tc>
        <w:tc>
          <w:tcPr>
            <w:tcW w:w="1476" w:type="pct"/>
            <w:vMerge w:val="restart"/>
            <w:vAlign w:val="center"/>
          </w:tcPr>
          <w:p>
            <w:pPr>
              <w:widowControl/>
              <w:spacing w:line="440" w:lineRule="exact"/>
              <w:jc w:val="both"/>
              <w:rPr>
                <w:rFonts w:ascii="Times New Roman" w:hAnsi="Times New Roman"/>
              </w:rPr>
            </w:pPr>
            <w:r>
              <w:rPr>
                <w:rFonts w:ascii="Times New Roman" w:hAnsi="Times New Roman"/>
              </w:rPr>
              <w:t>1、生活垃圾实行分类袋装化，由市政环卫部门统一处理；</w:t>
            </w:r>
          </w:p>
          <w:p>
            <w:pPr>
              <w:widowControl/>
              <w:spacing w:line="440" w:lineRule="exact"/>
              <w:jc w:val="both"/>
              <w:rPr>
                <w:rFonts w:ascii="Times New Roman" w:hAnsi="Times New Roman"/>
              </w:rPr>
            </w:pPr>
            <w:r>
              <w:rPr>
                <w:rFonts w:ascii="Times New Roman" w:hAnsi="Times New Roman"/>
              </w:rPr>
              <w:t>2、一般工业固废收集后暂存一般固废暂存间，统一外售；</w:t>
            </w:r>
          </w:p>
          <w:p>
            <w:pPr>
              <w:pStyle w:val="62"/>
              <w:spacing w:line="440" w:lineRule="exact"/>
              <w:jc w:val="both"/>
              <w:rPr>
                <w:rFonts w:ascii="Times New Roman" w:hAnsi="Times New Roman" w:cs="Times New Roman"/>
              </w:rPr>
            </w:pPr>
            <w:r>
              <w:rPr>
                <w:rFonts w:ascii="Times New Roman" w:hAnsi="Times New Roman" w:cs="Times New Roman"/>
              </w:rPr>
              <w:t>3、危险废物收集后暂存于危险暂存间，由原厂家回收或委托有资质单位处理；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Merge w:val="restart"/>
            <w:vAlign w:val="center"/>
          </w:tcPr>
          <w:p>
            <w:pPr>
              <w:pStyle w:val="62"/>
              <w:spacing w:line="440" w:lineRule="exact"/>
              <w:jc w:val="center"/>
              <w:rPr>
                <w:rFonts w:ascii="Times New Roman" w:hAnsi="Times New Roman" w:cs="Times New Roman"/>
              </w:rPr>
            </w:pPr>
            <w:r>
              <w:rPr>
                <w:rFonts w:ascii="Times New Roman" w:hAnsi="Times New Roman" w:cs="Times New Roman"/>
              </w:rPr>
              <w:t>一般工业固废</w:t>
            </w:r>
          </w:p>
        </w:tc>
        <w:tc>
          <w:tcPr>
            <w:tcW w:w="808" w:type="pct"/>
            <w:vAlign w:val="center"/>
          </w:tcPr>
          <w:p>
            <w:pPr>
              <w:widowControl/>
              <w:spacing w:line="440" w:lineRule="exact"/>
              <w:jc w:val="center"/>
              <w:rPr>
                <w:rFonts w:ascii="Times New Roman" w:hAnsi="Times New Roman"/>
              </w:rPr>
            </w:pPr>
            <w:r>
              <w:rPr>
                <w:rFonts w:ascii="Times New Roman" w:hAnsi="Times New Roman"/>
              </w:rPr>
              <w:t>玻璃碎屑、边角料、次品</w:t>
            </w:r>
          </w:p>
        </w:tc>
        <w:tc>
          <w:tcPr>
            <w:tcW w:w="1545" w:type="pct"/>
            <w:vAlign w:val="center"/>
          </w:tcPr>
          <w:p>
            <w:pPr>
              <w:pStyle w:val="72"/>
              <w:spacing w:line="440" w:lineRule="exact"/>
            </w:pPr>
            <w:r>
              <w:t>集中收集，外售至玻璃生产商</w:t>
            </w:r>
          </w:p>
        </w:tc>
        <w:tc>
          <w:tcPr>
            <w:tcW w:w="1476" w:type="pct"/>
            <w:vMerge w:val="continue"/>
            <w:vAlign w:val="center"/>
          </w:tcPr>
          <w:p>
            <w:pPr>
              <w:pStyle w:val="62"/>
              <w:spacing w:line="440" w:lineRule="exact"/>
              <w:jc w:val="center"/>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Merge w:val="continue"/>
            <w:vAlign w:val="center"/>
          </w:tcPr>
          <w:p>
            <w:pPr>
              <w:pStyle w:val="62"/>
              <w:spacing w:line="440" w:lineRule="exact"/>
              <w:jc w:val="center"/>
              <w:rPr>
                <w:rFonts w:ascii="Times New Roman" w:hAnsi="Times New Roman" w:cs="Times New Roman"/>
              </w:rPr>
            </w:pPr>
          </w:p>
        </w:tc>
        <w:tc>
          <w:tcPr>
            <w:tcW w:w="808" w:type="pct"/>
            <w:vAlign w:val="center"/>
          </w:tcPr>
          <w:p>
            <w:pPr>
              <w:spacing w:line="440" w:lineRule="exact"/>
              <w:jc w:val="center"/>
              <w:rPr>
                <w:rFonts w:ascii="Times New Roman" w:hAnsi="Times New Roman"/>
              </w:rPr>
            </w:pPr>
            <w:r>
              <w:rPr>
                <w:rFonts w:ascii="Times New Roman" w:hAnsi="Times New Roman"/>
              </w:rPr>
              <w:t>废包装材料</w:t>
            </w:r>
          </w:p>
        </w:tc>
        <w:tc>
          <w:tcPr>
            <w:tcW w:w="1545" w:type="pct"/>
            <w:vAlign w:val="center"/>
          </w:tcPr>
          <w:p>
            <w:pPr>
              <w:pStyle w:val="72"/>
              <w:spacing w:line="440" w:lineRule="exact"/>
            </w:pPr>
            <w:r>
              <w:t>统一收集后，外售至废品收购站</w:t>
            </w:r>
          </w:p>
        </w:tc>
        <w:tc>
          <w:tcPr>
            <w:tcW w:w="1476" w:type="pct"/>
            <w:vMerge w:val="continue"/>
            <w:vAlign w:val="center"/>
          </w:tcPr>
          <w:p>
            <w:pPr>
              <w:pStyle w:val="62"/>
              <w:spacing w:line="440" w:lineRule="exact"/>
              <w:jc w:val="center"/>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Merge w:val="continue"/>
            <w:vAlign w:val="center"/>
          </w:tcPr>
          <w:p>
            <w:pPr>
              <w:pStyle w:val="62"/>
              <w:spacing w:line="440" w:lineRule="exact"/>
              <w:jc w:val="center"/>
              <w:rPr>
                <w:rFonts w:ascii="Times New Roman" w:hAnsi="Times New Roman" w:cs="Times New Roman"/>
              </w:rPr>
            </w:pPr>
          </w:p>
        </w:tc>
        <w:tc>
          <w:tcPr>
            <w:tcW w:w="808" w:type="pct"/>
            <w:vAlign w:val="center"/>
          </w:tcPr>
          <w:p>
            <w:pPr>
              <w:spacing w:line="440" w:lineRule="exact"/>
              <w:jc w:val="center"/>
              <w:rPr>
                <w:rFonts w:ascii="Times New Roman" w:hAnsi="Times New Roman"/>
              </w:rPr>
            </w:pPr>
            <w:r>
              <w:rPr>
                <w:rFonts w:ascii="Times New Roman" w:hAnsi="Times New Roman"/>
              </w:rPr>
              <w:t>废树脂</w:t>
            </w:r>
          </w:p>
        </w:tc>
        <w:tc>
          <w:tcPr>
            <w:tcW w:w="1545" w:type="pct"/>
            <w:vAlign w:val="center"/>
          </w:tcPr>
          <w:p>
            <w:pPr>
              <w:pStyle w:val="72"/>
              <w:spacing w:line="440" w:lineRule="exact"/>
            </w:pPr>
            <w:r>
              <w:t>统一收集后，委托厂家处理</w:t>
            </w:r>
          </w:p>
        </w:tc>
        <w:tc>
          <w:tcPr>
            <w:tcW w:w="1476" w:type="pct"/>
            <w:vMerge w:val="continue"/>
            <w:vAlign w:val="center"/>
          </w:tcPr>
          <w:p>
            <w:pPr>
              <w:pStyle w:val="62"/>
              <w:spacing w:line="440" w:lineRule="exact"/>
              <w:jc w:val="center"/>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Merge w:val="continue"/>
            <w:vAlign w:val="center"/>
          </w:tcPr>
          <w:p>
            <w:pPr>
              <w:pStyle w:val="62"/>
              <w:spacing w:line="440" w:lineRule="exact"/>
              <w:jc w:val="center"/>
              <w:rPr>
                <w:rFonts w:ascii="Times New Roman" w:hAnsi="Times New Roman" w:cs="Times New Roman"/>
              </w:rPr>
            </w:pPr>
          </w:p>
        </w:tc>
        <w:tc>
          <w:tcPr>
            <w:tcW w:w="661" w:type="pct"/>
            <w:vAlign w:val="center"/>
          </w:tcPr>
          <w:p>
            <w:pPr>
              <w:pStyle w:val="62"/>
              <w:spacing w:line="440" w:lineRule="exact"/>
              <w:jc w:val="center"/>
              <w:rPr>
                <w:rFonts w:ascii="Times New Roman" w:hAnsi="Times New Roman" w:cs="Times New Roman"/>
              </w:rPr>
            </w:pPr>
            <w:r>
              <w:rPr>
                <w:rFonts w:ascii="Times New Roman" w:hAnsi="Times New Roman" w:cs="Times New Roman"/>
              </w:rPr>
              <w:t>职工生活</w:t>
            </w:r>
          </w:p>
        </w:tc>
        <w:tc>
          <w:tcPr>
            <w:tcW w:w="808" w:type="pct"/>
            <w:vAlign w:val="center"/>
          </w:tcPr>
          <w:p>
            <w:pPr>
              <w:pStyle w:val="62"/>
              <w:spacing w:line="440" w:lineRule="exact"/>
              <w:jc w:val="center"/>
              <w:rPr>
                <w:rFonts w:ascii="Times New Roman" w:hAnsi="Times New Roman" w:cs="Times New Roman"/>
              </w:rPr>
            </w:pPr>
            <w:r>
              <w:rPr>
                <w:rFonts w:ascii="Times New Roman" w:hAnsi="Times New Roman" w:cs="Times New Roman"/>
              </w:rPr>
              <w:t>生活垃圾</w:t>
            </w:r>
          </w:p>
        </w:tc>
        <w:tc>
          <w:tcPr>
            <w:tcW w:w="1545" w:type="pct"/>
            <w:vAlign w:val="center"/>
          </w:tcPr>
          <w:p>
            <w:pPr>
              <w:widowControl/>
              <w:spacing w:line="440" w:lineRule="exact"/>
              <w:jc w:val="center"/>
              <w:rPr>
                <w:rFonts w:ascii="Times New Roman" w:hAnsi="Times New Roman"/>
              </w:rPr>
            </w:pPr>
            <w:r>
              <w:rPr>
                <w:rFonts w:ascii="Times New Roman" w:hAnsi="Times New Roman"/>
              </w:rPr>
              <w:t>委托当地环卫部门进行清运处理</w:t>
            </w:r>
          </w:p>
        </w:tc>
        <w:tc>
          <w:tcPr>
            <w:tcW w:w="1476" w:type="pct"/>
            <w:vMerge w:val="continue"/>
            <w:vAlign w:val="center"/>
          </w:tcPr>
          <w:p>
            <w:pPr>
              <w:pStyle w:val="62"/>
              <w:spacing w:line="440" w:lineRule="exact"/>
              <w:jc w:val="center"/>
              <w:rPr>
                <w:rFonts w:ascii="Times New Roman" w:hAnsi="Times New Roman"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Align w:val="center"/>
          </w:tcPr>
          <w:p>
            <w:pPr>
              <w:widowControl/>
              <w:spacing w:line="440" w:lineRule="exact"/>
              <w:rPr>
                <w:rFonts w:ascii="Times New Roman" w:hAnsi="Times New Roman"/>
              </w:rPr>
            </w:pPr>
            <w:r>
              <w:rPr>
                <w:rFonts w:ascii="Times New Roman" w:hAnsi="Times New Roman"/>
              </w:rPr>
              <w:t>土壤及地下水污染防治措施</w:t>
            </w:r>
          </w:p>
        </w:tc>
        <w:tc>
          <w:tcPr>
            <w:tcW w:w="4490" w:type="pct"/>
            <w:gridSpan w:val="4"/>
            <w:vAlign w:val="center"/>
          </w:tcPr>
          <w:p>
            <w:pPr>
              <w:widowControl/>
              <w:spacing w:line="440" w:lineRule="exact"/>
              <w:jc w:val="both"/>
              <w:rPr>
                <w:rFonts w:ascii="Times New Roman" w:hAnsi="Times New Roman"/>
              </w:rPr>
            </w:pPr>
            <w:r>
              <w:rPr>
                <w:rFonts w:ascii="Times New Roman" w:hAnsi="Times New Roman"/>
              </w:rPr>
              <w:t>1、丝印车间、污水处理设施、化学品仓库、危废暂存间采取重点防渗（渗透系数≤10</w:t>
            </w:r>
            <w:r>
              <w:rPr>
                <w:rFonts w:ascii="Times New Roman" w:hAnsi="Times New Roman"/>
                <w:vertAlign w:val="superscript"/>
              </w:rPr>
              <w:t>-10</w:t>
            </w:r>
            <w:r>
              <w:rPr>
                <w:rFonts w:ascii="Times New Roman" w:hAnsi="Times New Roman"/>
              </w:rPr>
              <w:t>cm/s）；</w:t>
            </w:r>
          </w:p>
          <w:p>
            <w:pPr>
              <w:widowControl/>
              <w:spacing w:line="440" w:lineRule="exact"/>
              <w:jc w:val="both"/>
              <w:rPr>
                <w:rFonts w:ascii="Times New Roman" w:hAnsi="Times New Roman"/>
              </w:rPr>
            </w:pPr>
            <w:r>
              <w:rPr>
                <w:rFonts w:ascii="Times New Roman" w:hAnsi="Times New Roman"/>
              </w:rPr>
              <w:t>2、办公区域及其他生产区域等采取一般防渗（（渗透系数≤10</w:t>
            </w:r>
            <w:r>
              <w:rPr>
                <w:rFonts w:ascii="Times New Roman" w:hAnsi="Times New Roman"/>
                <w:vertAlign w:val="superscript"/>
              </w:rPr>
              <w:t>-7</w:t>
            </w:r>
            <w:r>
              <w:rPr>
                <w:rFonts w:ascii="Times New Roman" w:hAnsi="Times New Roman"/>
              </w:rPr>
              <w:t>cm/s）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Align w:val="center"/>
          </w:tcPr>
          <w:p>
            <w:pPr>
              <w:widowControl/>
              <w:spacing w:line="440" w:lineRule="exact"/>
              <w:jc w:val="center"/>
              <w:rPr>
                <w:rFonts w:ascii="Times New Roman" w:hAnsi="Times New Roman"/>
              </w:rPr>
            </w:pPr>
            <w:r>
              <w:rPr>
                <w:rFonts w:ascii="Times New Roman" w:hAnsi="Times New Roman"/>
              </w:rPr>
              <w:t>生态保护措施</w:t>
            </w:r>
          </w:p>
        </w:tc>
        <w:tc>
          <w:tcPr>
            <w:tcW w:w="4490" w:type="pct"/>
            <w:gridSpan w:val="4"/>
            <w:vAlign w:val="center"/>
          </w:tcPr>
          <w:p>
            <w:pPr>
              <w:pStyle w:val="62"/>
              <w:spacing w:line="440" w:lineRule="exact"/>
              <w:rPr>
                <w:rFonts w:ascii="Times New Roman" w:hAnsi="Times New Roman" w:cs="Times New Roman"/>
              </w:rPr>
            </w:pPr>
            <w:r>
              <w:rPr>
                <w:rFonts w:ascii="Times New Roman" w:hAnsi="Times New Roman" w:cs="Times New Roman"/>
              </w:rPr>
              <w:t>项目区域附近无自然保护区，人文景观和名胜古迹等环境敏感点，周围没有需要特殊保护的生态环境。项目建设不会对周围生态环境造成影响。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Align w:val="center"/>
          </w:tcPr>
          <w:p>
            <w:pPr>
              <w:pStyle w:val="62"/>
              <w:spacing w:line="440" w:lineRule="exact"/>
              <w:jc w:val="center"/>
              <w:rPr>
                <w:rFonts w:ascii="Times New Roman" w:hAnsi="Times New Roman" w:cs="Times New Roman"/>
              </w:rPr>
            </w:pPr>
            <w:r>
              <w:rPr>
                <w:rFonts w:ascii="Times New Roman" w:hAnsi="Times New Roman" w:cs="Times New Roman"/>
              </w:rPr>
              <w:t>环境风险防范措施</w:t>
            </w:r>
          </w:p>
        </w:tc>
        <w:tc>
          <w:tcPr>
            <w:tcW w:w="4490" w:type="pct"/>
            <w:gridSpan w:val="4"/>
            <w:vAlign w:val="center"/>
          </w:tcPr>
          <w:p>
            <w:pPr>
              <w:widowControl/>
              <w:spacing w:line="440" w:lineRule="exact"/>
              <w:rPr>
                <w:rFonts w:ascii="Times New Roman" w:hAnsi="Times New Roman"/>
                <w:lang w:bidi="ar"/>
              </w:rPr>
            </w:pPr>
            <w:r>
              <w:rPr>
                <w:rFonts w:ascii="Times New Roman" w:hAnsi="Times New Roman"/>
                <w:lang w:bidi="ar"/>
              </w:rPr>
              <w:t>1、在危废暂存间设置防漏托盘，砂土，收容桶等应急物资，仓库设置围堰或收集沟槽做好地面防渗并进行管理记录。</w:t>
            </w:r>
          </w:p>
          <w:p>
            <w:pPr>
              <w:widowControl/>
              <w:spacing w:line="440" w:lineRule="exact"/>
              <w:rPr>
                <w:rFonts w:ascii="Times New Roman" w:hAnsi="Times New Roman"/>
              </w:rPr>
            </w:pPr>
            <w:r>
              <w:rPr>
                <w:rFonts w:ascii="Times New Roman" w:hAnsi="Times New Roman"/>
                <w:lang w:bidi="ar"/>
              </w:rPr>
              <w:t>2、对储存酒精类化学品仓库贴禁止明火禁止烟等标识标牌，并设置灭火器以防止火灾。</w:t>
            </w:r>
          </w:p>
          <w:p>
            <w:pPr>
              <w:pStyle w:val="62"/>
              <w:spacing w:line="440" w:lineRule="exact"/>
              <w:rPr>
                <w:rFonts w:ascii="Times New Roman" w:hAnsi="Times New Roman" w:cs="Times New Roman"/>
              </w:rPr>
            </w:pPr>
            <w:r>
              <w:rPr>
                <w:rFonts w:ascii="Times New Roman" w:hAnsi="Times New Roman" w:cs="Times New Roman"/>
                <w:lang w:bidi="ar"/>
              </w:rPr>
              <w:t>3、建设单位须制订环境突发事故应急预案，一旦突发环境风险事故，必须立即按应急预案提到的紧急处理、救援、监测方案等进行紧急救援，救援人员采取相应的防护措施，以避免造成人员伤亡事故。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10" w:type="pct"/>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其他环境管理要求</w:t>
            </w:r>
          </w:p>
        </w:tc>
        <w:tc>
          <w:tcPr>
            <w:tcW w:w="4490" w:type="pct"/>
            <w:gridSpan w:val="4"/>
            <w:vAlign w:val="center"/>
          </w:tcPr>
          <w:p>
            <w:pPr>
              <w:pStyle w:val="62"/>
              <w:spacing w:line="440" w:lineRule="exact"/>
              <w:jc w:val="both"/>
              <w:rPr>
                <w:rFonts w:ascii="Times New Roman" w:hAnsi="Times New Roman" w:cs="Times New Roman"/>
              </w:rPr>
            </w:pPr>
            <w:r>
              <w:rPr>
                <w:rFonts w:ascii="Times New Roman" w:hAnsi="Times New Roman" w:cs="Times New Roman"/>
              </w:rPr>
              <w:t>1、在运营期，项目建设单位负责检查厂房内各除尘设备和有机废气吸附净化设备的运行情况，确保其有效运行，如有故障应及时维修或更换；定期检查项目的密闭收集及风管的完好情况，确保废气的有效收集和排放。</w:t>
            </w:r>
          </w:p>
          <w:p>
            <w:pPr>
              <w:pStyle w:val="62"/>
              <w:spacing w:line="440" w:lineRule="exact"/>
              <w:jc w:val="both"/>
              <w:rPr>
                <w:rFonts w:ascii="Times New Roman" w:hAnsi="Times New Roman" w:cs="Times New Roman"/>
              </w:rPr>
            </w:pPr>
            <w:r>
              <w:rPr>
                <w:rFonts w:ascii="Times New Roman" w:hAnsi="Times New Roman" w:cs="Times New Roman"/>
              </w:rPr>
              <w:t>2、加强清洁生产管理，车间地面均实行硬化，加强项目原辅生产材料、固废和危废的管理工作，特别是危险废物暂存库、</w:t>
            </w:r>
            <w:r>
              <w:rPr>
                <w:rFonts w:ascii="Times New Roman" w:hAnsi="Times New Roman" w:cs="Times New Roman"/>
                <w:lang w:val="en-US"/>
              </w:rPr>
              <w:t>化学品围堰</w:t>
            </w:r>
            <w:r>
              <w:rPr>
                <w:rFonts w:ascii="Times New Roman" w:hAnsi="Times New Roman" w:cs="Times New Roman"/>
              </w:rPr>
              <w:t>等场所的防渗处理，防止雨季淋溶水污染附近地表和地下水体。</w:t>
            </w:r>
          </w:p>
          <w:p>
            <w:pPr>
              <w:pStyle w:val="62"/>
              <w:spacing w:line="440" w:lineRule="exact"/>
              <w:jc w:val="both"/>
              <w:rPr>
                <w:rFonts w:ascii="Times New Roman" w:hAnsi="Times New Roman" w:cs="Times New Roman"/>
              </w:rPr>
            </w:pPr>
            <w:r>
              <w:rPr>
                <w:rFonts w:ascii="Times New Roman" w:hAnsi="Times New Roman" w:cs="Times New Roman"/>
              </w:rPr>
              <w:t>3、结合所申领的排污许可证中载明的自行监测方案，委托具有资质的监测单位对本项目运营期的环境污染物排放达标情况进行自行监测。</w:t>
            </w:r>
          </w:p>
          <w:p>
            <w:pPr>
              <w:widowControl/>
              <w:spacing w:line="440" w:lineRule="exact"/>
              <w:rPr>
                <w:rFonts w:ascii="Times New Roman" w:hAnsi="Times New Roman"/>
              </w:rPr>
            </w:pPr>
            <w:r>
              <w:rPr>
                <w:rFonts w:ascii="Times New Roman" w:hAnsi="Times New Roman"/>
              </w:rPr>
              <w:t>4、根据相关环保法律中的规定，项目的主体工程与用于污染防治的设施必须同时设计、同时施工、同时投入运行，并且对于污染物防治设施建设“三同时”验收可以有效地防止大气污染物和水污染物对生态环境造成的不良影响。</w:t>
            </w:r>
          </w:p>
          <w:p>
            <w:pPr>
              <w:pStyle w:val="2"/>
              <w:spacing w:after="0"/>
              <w:ind w:left="0" w:leftChars="0" w:firstLine="0" w:firstLineChars="0"/>
              <w:rPr>
                <w:rFonts w:ascii="Times New Roman" w:hAnsi="Times New Roman"/>
              </w:rPr>
            </w:pPr>
          </w:p>
          <w:p>
            <w:pPr>
              <w:rPr>
                <w:rFonts w:ascii="Times New Roman" w:hAnsi="Times New Roman"/>
              </w:rPr>
            </w:pPr>
          </w:p>
          <w:p>
            <w:pPr>
              <w:pStyle w:val="2"/>
              <w:spacing w:after="0"/>
              <w:ind w:left="0" w:leftChars="0" w:firstLine="0" w:firstLineChars="0"/>
              <w:rPr>
                <w:rFonts w:ascii="Times New Roman" w:hAnsi="Times New Roman"/>
              </w:rPr>
            </w:pPr>
          </w:p>
          <w:p>
            <w:pPr>
              <w:rPr>
                <w:rFonts w:ascii="Times New Roman" w:hAnsi="Times New Roman"/>
              </w:rPr>
            </w:pPr>
          </w:p>
          <w:p>
            <w:pPr>
              <w:pStyle w:val="2"/>
              <w:ind w:left="0" w:leftChars="0" w:firstLine="0" w:firstLineChars="0"/>
              <w:rPr>
                <w:rFonts w:ascii="Times New Roman" w:hAnsi="Times New Roman"/>
              </w:rPr>
            </w:pPr>
          </w:p>
          <w:p>
            <w:pPr>
              <w:rPr>
                <w:rFonts w:ascii="Times New Roman" w:hAnsi="Times New Roman"/>
              </w:rPr>
            </w:pPr>
          </w:p>
          <w:p>
            <w:pPr>
              <w:pStyle w:val="2"/>
              <w:ind w:left="0" w:leftChars="0" w:firstLine="0" w:firstLineChars="0"/>
              <w:rPr>
                <w:rFonts w:ascii="Times New Roman" w:hAnsi="Times New Roman"/>
              </w:rPr>
            </w:pPr>
          </w:p>
          <w:p>
            <w:pPr>
              <w:rPr>
                <w:rFonts w:ascii="Times New Roman" w:hAnsi="Times New Roman"/>
              </w:rPr>
            </w:pPr>
          </w:p>
          <w:p>
            <w:pPr>
              <w:pStyle w:val="2"/>
              <w:spacing w:after="0"/>
              <w:ind w:left="0" w:leftChars="0" w:firstLine="0" w:firstLineChars="0"/>
              <w:rPr>
                <w:rFonts w:ascii="Times New Roman" w:hAnsi="Times New Roman"/>
              </w:rPr>
            </w:pPr>
          </w:p>
          <w:p>
            <w:pPr>
              <w:rPr>
                <w:rFonts w:ascii="Times New Roman" w:hAnsi="Times New Roman"/>
              </w:rPr>
            </w:pPr>
          </w:p>
          <w:p>
            <w:pPr>
              <w:pStyle w:val="2"/>
              <w:spacing w:after="0"/>
              <w:ind w:left="0" w:leftChars="0" w:firstLine="0" w:firstLineChars="0"/>
              <w:rPr>
                <w:rFonts w:ascii="Times New Roman" w:hAnsi="Times New Roman"/>
              </w:rPr>
            </w:pPr>
          </w:p>
          <w:p>
            <w:pPr>
              <w:rPr>
                <w:rFonts w:ascii="Times New Roman" w:hAnsi="Times New Roman"/>
              </w:rPr>
            </w:pPr>
          </w:p>
          <w:p>
            <w:pPr>
              <w:pStyle w:val="2"/>
              <w:spacing w:after="0"/>
              <w:ind w:left="0" w:leftChars="0" w:firstLine="0" w:firstLineChars="0"/>
              <w:rPr>
                <w:rFonts w:ascii="Times New Roman" w:hAnsi="Times New Roman"/>
              </w:rPr>
            </w:pPr>
          </w:p>
          <w:p>
            <w:pPr>
              <w:rPr>
                <w:rFonts w:ascii="Times New Roman" w:hAnsi="Times New Roman"/>
              </w:rPr>
            </w:pPr>
          </w:p>
          <w:p>
            <w:pPr>
              <w:pStyle w:val="2"/>
              <w:spacing w:after="0"/>
              <w:ind w:left="0" w:leftChars="0" w:firstLine="0" w:firstLineChars="0"/>
              <w:rPr>
                <w:rFonts w:ascii="Times New Roman" w:hAnsi="Times New Roman"/>
              </w:rPr>
            </w:pPr>
          </w:p>
          <w:p>
            <w:pPr>
              <w:rPr>
                <w:rFonts w:ascii="Times New Roman" w:hAnsi="Times New Roman"/>
              </w:rPr>
            </w:pPr>
          </w:p>
          <w:p>
            <w:pPr>
              <w:pStyle w:val="2"/>
              <w:spacing w:after="0"/>
              <w:ind w:left="0" w:leftChars="0" w:firstLine="0" w:firstLineChars="0"/>
              <w:rPr>
                <w:rFonts w:ascii="Times New Roman" w:hAnsi="Times New Roman"/>
              </w:rPr>
            </w:pPr>
          </w:p>
          <w:p>
            <w:pPr>
              <w:rPr>
                <w:rFonts w:ascii="Times New Roman" w:hAnsi="Times New Roman"/>
              </w:rPr>
            </w:pPr>
          </w:p>
          <w:p>
            <w:pPr>
              <w:pStyle w:val="2"/>
              <w:spacing w:after="0"/>
              <w:ind w:left="0" w:leftChars="0" w:firstLine="0" w:firstLineChars="0"/>
              <w:rPr>
                <w:rFonts w:ascii="Times New Roman" w:hAnsi="Times New Roman"/>
              </w:rPr>
            </w:pPr>
          </w:p>
          <w:p>
            <w:pPr>
              <w:rPr>
                <w:rFonts w:ascii="Times New Roman" w:hAnsi="Times New Roman"/>
              </w:rPr>
            </w:pPr>
          </w:p>
          <w:p>
            <w:pPr>
              <w:pStyle w:val="2"/>
              <w:spacing w:after="0"/>
              <w:ind w:left="0" w:leftChars="0" w:firstLine="0" w:firstLineChars="0"/>
              <w:rPr>
                <w:rFonts w:ascii="Times New Roman" w:hAnsi="Times New Roman"/>
              </w:rPr>
            </w:pPr>
          </w:p>
          <w:p>
            <w:pPr>
              <w:rPr>
                <w:rFonts w:ascii="Times New Roman" w:hAnsi="Times New Roman"/>
              </w:rPr>
            </w:pPr>
          </w:p>
          <w:p>
            <w:pPr>
              <w:pStyle w:val="2"/>
              <w:spacing w:after="0"/>
              <w:ind w:left="0" w:leftChars="0" w:firstLine="0" w:firstLineChars="0"/>
              <w:rPr>
                <w:rFonts w:ascii="Times New Roman" w:hAnsi="Times New Roman"/>
              </w:rPr>
            </w:pPr>
          </w:p>
          <w:p>
            <w:pPr>
              <w:rPr>
                <w:rFonts w:ascii="Times New Roman" w:hAnsi="Times New Roman"/>
              </w:rPr>
            </w:pPr>
          </w:p>
          <w:p>
            <w:pPr>
              <w:rPr>
                <w:rFonts w:ascii="Times New Roman" w:hAnsi="Times New Roman"/>
              </w:rPr>
            </w:pPr>
          </w:p>
        </w:tc>
      </w:tr>
    </w:tbl>
    <w:p>
      <w:pPr>
        <w:pStyle w:val="40"/>
        <w:widowControl/>
        <w:autoSpaceDE/>
        <w:autoSpaceDN/>
        <w:snapToGrid w:val="0"/>
        <w:spacing w:beforeAutospacing="0" w:afterAutospacing="0" w:line="440" w:lineRule="exact"/>
        <w:jc w:val="center"/>
        <w:outlineLvl w:val="0"/>
        <w:rPr>
          <w:rFonts w:ascii="Times New Roman" w:hAnsi="Times New Roman" w:eastAsia="黑体"/>
          <w:bCs/>
          <w:snapToGrid w:val="0"/>
          <w:sz w:val="30"/>
          <w:szCs w:val="30"/>
        </w:rPr>
      </w:pPr>
      <w:r>
        <w:rPr>
          <w:rFonts w:ascii="Times New Roman" w:hAnsi="Times New Roman" w:eastAsia="黑体"/>
          <w:bCs/>
          <w:snapToGrid w:val="0"/>
          <w:sz w:val="30"/>
          <w:szCs w:val="30"/>
        </w:rPr>
        <w:br w:type="page"/>
      </w:r>
      <w:bookmarkStart w:id="63" w:name="_Toc112488141"/>
      <w:r>
        <w:rPr>
          <w:rFonts w:ascii="Times New Roman" w:hAnsi="Times New Roman" w:eastAsia="黑体"/>
          <w:bCs/>
          <w:snapToGrid w:val="0"/>
          <w:sz w:val="30"/>
          <w:szCs w:val="30"/>
        </w:rPr>
        <w:t>六、结论</w:t>
      </w:r>
      <w:bookmarkEnd w:id="63"/>
    </w:p>
    <w:tbl>
      <w:tblPr>
        <w:tblStyle w:val="222"/>
        <w:tblW w:w="9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6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282" w:type="dxa"/>
            <w:vAlign w:val="center"/>
          </w:tcPr>
          <w:p>
            <w:pPr>
              <w:pStyle w:val="15"/>
              <w:spacing w:line="440" w:lineRule="exact"/>
              <w:ind w:left="63" w:leftChars="30" w:right="170" w:rightChars="81" w:firstLine="480" w:firstLineChars="200"/>
              <w:jc w:val="both"/>
              <w:rPr>
                <w:rFonts w:ascii="Times New Roman" w:hAnsi="Times New Roman" w:cs="Times New Roman"/>
              </w:rPr>
            </w:pPr>
            <w:r>
              <w:rPr>
                <w:rFonts w:ascii="Times New Roman" w:hAnsi="Times New Roman" w:cs="Times New Roman"/>
              </w:rPr>
              <w:t>安徽恺卓昂智能制造科技有限公司年产400万片车载触控显示屏生产线项目的实施，符合国家产业政策、当地规划要求，</w:t>
            </w:r>
            <w:r>
              <w:rPr>
                <w:rFonts w:ascii="Times New Roman" w:hAnsi="Times New Roman" w:cs="Times New Roman"/>
                <w:spacing w:val="-4"/>
              </w:rPr>
              <w:t>建设单位在建设和运行期间认真落实本环评提出的污染防治措施，加强环保设</w:t>
            </w:r>
            <w:r>
              <w:rPr>
                <w:rFonts w:ascii="Times New Roman" w:hAnsi="Times New Roman" w:cs="Times New Roman"/>
                <w:spacing w:val="-1"/>
              </w:rPr>
              <w:t>施的运行管理和维护，建立和完善厂内环保机构和规范环保管理制度，保证各类污染物达标排放，实施排污总量控制，做好事故情况下的应急措施，严格执行主体工程和环保设施同时设计、同时施工、同时投产的“三同时“制度，落实本报告中提</w:t>
            </w:r>
            <w:r>
              <w:rPr>
                <w:rFonts w:ascii="Times New Roman" w:hAnsi="Times New Roman" w:cs="Times New Roman"/>
              </w:rPr>
              <w:t>出的污染控制对策要求的提条件下，项目的建设不改变所在区域的环境功能。</w:t>
            </w:r>
          </w:p>
          <w:p>
            <w:pPr>
              <w:pStyle w:val="15"/>
              <w:spacing w:line="440" w:lineRule="exact"/>
              <w:ind w:left="63" w:leftChars="30" w:right="170" w:rightChars="81" w:firstLine="480" w:firstLineChars="200"/>
              <w:jc w:val="both"/>
              <w:rPr>
                <w:rFonts w:ascii="Times New Roman" w:hAnsi="Times New Roman" w:cs="Times New Roman"/>
              </w:rPr>
            </w:pPr>
            <w:r>
              <w:rPr>
                <w:rFonts w:ascii="Times New Roman" w:hAnsi="Times New Roman" w:cs="Times New Roman"/>
              </w:rPr>
              <w:t>从环境保护角度分析，本项目的建设是可行的。</w:t>
            </w: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p>
            <w:pPr>
              <w:spacing w:line="440" w:lineRule="exact"/>
              <w:jc w:val="both"/>
              <w:rPr>
                <w:rFonts w:ascii="Times New Roman" w:hAnsi="Times New Roman"/>
                <w:lang w:val="en-US"/>
              </w:rPr>
            </w:pPr>
          </w:p>
        </w:tc>
      </w:tr>
    </w:tbl>
    <w:p>
      <w:pPr>
        <w:pStyle w:val="57"/>
        <w:spacing w:line="440" w:lineRule="exact"/>
        <w:ind w:firstLine="0" w:firstLineChars="0"/>
        <w:jc w:val="center"/>
        <w:rPr>
          <w:b/>
          <w:bCs/>
          <w:sz w:val="30"/>
          <w:szCs w:val="30"/>
          <w:lang w:val="en-US"/>
        </w:rPr>
        <w:sectPr>
          <w:pgSz w:w="11910" w:h="16840"/>
          <w:pgMar w:top="1701" w:right="1531" w:bottom="1701" w:left="1531" w:header="0" w:footer="963" w:gutter="0"/>
          <w:cols w:space="720" w:num="1"/>
          <w:docGrid w:linePitch="286" w:charSpace="0"/>
        </w:sectPr>
      </w:pPr>
    </w:p>
    <w:p>
      <w:pPr>
        <w:pStyle w:val="3"/>
        <w:spacing w:line="440" w:lineRule="exact"/>
        <w:jc w:val="left"/>
        <w:rPr>
          <w:rFonts w:ascii="Times New Roman" w:hAnsi="Times New Roman" w:cs="Times New Roman"/>
        </w:rPr>
      </w:pPr>
      <w:bookmarkStart w:id="64" w:name="_Toc112488142"/>
      <w:r>
        <w:rPr>
          <w:rFonts w:ascii="Times New Roman" w:hAnsi="Times New Roman" w:cs="Times New Roman"/>
          <w:lang w:val="en-US"/>
        </w:rPr>
        <w:t>附表</w:t>
      </w:r>
      <w:bookmarkEnd w:id="64"/>
    </w:p>
    <w:p>
      <w:pPr>
        <w:pStyle w:val="3"/>
        <w:rPr>
          <w:rFonts w:ascii="Times New Roman" w:hAnsi="Times New Roman" w:cs="Times New Roman"/>
        </w:rPr>
      </w:pPr>
      <w:bookmarkStart w:id="65" w:name="_Toc112488143"/>
      <w:r>
        <w:rPr>
          <w:rFonts w:ascii="Times New Roman" w:hAnsi="Times New Roman" w:cs="Times New Roman"/>
          <w:lang w:val="en-US"/>
        </w:rPr>
        <w:t>建设项目污染物排放量汇总表</w:t>
      </w:r>
      <w:bookmarkEnd w:id="65"/>
    </w:p>
    <w:tbl>
      <w:tblPr>
        <w:tblStyle w:val="43"/>
        <w:tblW w:w="1378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07"/>
        <w:gridCol w:w="2409"/>
        <w:gridCol w:w="1208"/>
        <w:gridCol w:w="1281"/>
        <w:gridCol w:w="1569"/>
        <w:gridCol w:w="1627"/>
        <w:gridCol w:w="1545"/>
        <w:gridCol w:w="1701"/>
        <w:gridCol w:w="15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tcBorders>
              <w:bottom w:val="single" w:color="000000" w:sz="4" w:space="0"/>
              <w:right w:val="single" w:color="000000" w:sz="4" w:space="0"/>
            </w:tcBorders>
            <w:vAlign w:val="center"/>
          </w:tcPr>
          <w:p>
            <w:pPr>
              <w:pStyle w:val="62"/>
              <w:spacing w:line="440" w:lineRule="exact"/>
              <w:rPr>
                <w:rFonts w:ascii="Times New Roman" w:hAnsi="Times New Roman" w:cs="Times New Roman"/>
                <w:b/>
                <w:bCs/>
              </w:rPr>
            </w:pPr>
            <w:bookmarkStart w:id="66" w:name="_Hlk115104243"/>
            <w:r>
              <w:rPr>
                <w:rFonts w:ascii="Times New Roman" w:hAnsi="Times New Roman" w:cs="Times New Roman"/>
                <w:b/>
                <w:bCs/>
                <w:lang w:val="en-US" w:bidi="ar-SA"/>
              </w:rPr>
              <mc:AlternateContent>
                <mc:Choice Requires="wps">
                  <w:drawing>
                    <wp:anchor distT="0" distB="0" distL="114300" distR="114300" simplePos="0" relativeHeight="251659264" behindDoc="1" locked="0" layoutInCell="1" allowOverlap="1">
                      <wp:simplePos x="0" y="0"/>
                      <wp:positionH relativeFrom="page">
                        <wp:posOffset>10160</wp:posOffset>
                      </wp:positionH>
                      <wp:positionV relativeFrom="paragraph">
                        <wp:posOffset>10160</wp:posOffset>
                      </wp:positionV>
                      <wp:extent cx="528320" cy="1097280"/>
                      <wp:effectExtent l="0" t="0" r="24130" b="26670"/>
                      <wp:wrapNone/>
                      <wp:docPr id="6" name="直线 166"/>
                      <wp:cNvGraphicFramePr/>
                      <a:graphic xmlns:a="http://schemas.openxmlformats.org/drawingml/2006/main">
                        <a:graphicData uri="http://schemas.microsoft.com/office/word/2010/wordprocessingShape">
                          <wps:wsp>
                            <wps:cNvCnPr/>
                            <wps:spPr>
                              <a:xfrm>
                                <a:off x="0" y="0"/>
                                <a:ext cx="528320" cy="109728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直线 166" o:spid="_x0000_s1026" o:spt="20" style="position:absolute;left:0pt;margin-left:0.8pt;margin-top:0.8pt;height:86.4pt;width:41.6pt;mso-position-horizontal-relative:page;z-index:-251657216;mso-width-relative:page;mso-height-relative:page;" filled="f" stroked="t" coordsize="21600,21600" o:gfxdata="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9dN99IAAAAGAQAA&#10;DwAAAAAAAAABACAAAAAiAAAAZHJzL2Rvd25yZXYueG1sUEsBAhQAFAAAAAgAh07iQEoqXSzmAQAA&#10;1gMAAA4AAAAAAAAAAQAgAAAAIQEAAGRycy9lMm9Eb2MueG1sUEsFBgAAAAAGAAYAWQEAAHkFAAAA&#10;AA==&#10;">
                      <v:fill on="f" focussize="0,0"/>
                      <v:stroke weight="0.5pt" color="#000000" joinstyle="round"/>
                      <v:imagedata o:title=""/>
                      <o:lock v:ext="edit" aspectratio="f"/>
                    </v:line>
                  </w:pict>
                </mc:Fallback>
              </mc:AlternateContent>
            </w:r>
          </w:p>
          <w:p>
            <w:pPr>
              <w:pStyle w:val="62"/>
              <w:spacing w:line="440" w:lineRule="exact"/>
              <w:ind w:firstLine="422" w:firstLineChars="200"/>
              <w:rPr>
                <w:rFonts w:ascii="Times New Roman" w:hAnsi="Times New Roman" w:cs="Times New Roman"/>
                <w:b/>
                <w:bCs/>
              </w:rPr>
            </w:pPr>
            <w:r>
              <w:rPr>
                <w:rFonts w:ascii="Times New Roman" w:hAnsi="Times New Roman" w:cs="Times New Roman"/>
                <w:b/>
                <w:bCs/>
              </w:rPr>
              <w:t>项目</w:t>
            </w:r>
          </w:p>
          <w:p>
            <w:pPr>
              <w:pStyle w:val="62"/>
              <w:spacing w:line="440" w:lineRule="exact"/>
              <w:rPr>
                <w:rFonts w:ascii="Times New Roman" w:hAnsi="Times New Roman" w:cs="Times New Roman"/>
                <w:b/>
                <w:bCs/>
              </w:rPr>
            </w:pPr>
            <w:r>
              <w:rPr>
                <w:rFonts w:ascii="Times New Roman" w:hAnsi="Times New Roman" w:cs="Times New Roman"/>
                <w:b/>
                <w:bCs/>
              </w:rPr>
              <w:t>分类</w:t>
            </w:r>
          </w:p>
        </w:tc>
        <w:tc>
          <w:tcPr>
            <w:tcW w:w="2409"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污染物名称</w:t>
            </w:r>
          </w:p>
        </w:tc>
        <w:tc>
          <w:tcPr>
            <w:tcW w:w="1208"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现有工程排放量（固体废物产生量）</w:t>
            </w:r>
            <w:r>
              <w:rPr>
                <w:rFonts w:hint="eastAsia"/>
                <w:b/>
                <w:bCs/>
              </w:rPr>
              <w:t>①</w:t>
            </w:r>
          </w:p>
        </w:tc>
        <w:tc>
          <w:tcPr>
            <w:tcW w:w="1281"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现有工程许可排放量</w:t>
            </w:r>
            <w:r>
              <w:rPr>
                <w:rFonts w:hint="eastAsia"/>
                <w:b/>
                <w:bCs/>
              </w:rPr>
              <w:t>②</w:t>
            </w:r>
          </w:p>
        </w:tc>
        <w:tc>
          <w:tcPr>
            <w:tcW w:w="1569"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在建工程排放量（固体废物产生量）</w:t>
            </w:r>
            <w:r>
              <w:rPr>
                <w:rFonts w:hint="eastAsia"/>
                <w:b/>
                <w:bCs/>
              </w:rPr>
              <w:t>③</w:t>
            </w:r>
          </w:p>
        </w:tc>
        <w:tc>
          <w:tcPr>
            <w:tcW w:w="1627"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本项目排放量（固体废物产生量）</w:t>
            </w:r>
            <w:r>
              <w:rPr>
                <w:rFonts w:hint="eastAsia"/>
                <w:b/>
                <w:bCs/>
              </w:rPr>
              <w:t>④</w:t>
            </w:r>
          </w:p>
        </w:tc>
        <w:tc>
          <w:tcPr>
            <w:tcW w:w="1545"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以新带老削减量</w:t>
            </w:r>
          </w:p>
          <w:p>
            <w:pPr>
              <w:pStyle w:val="62"/>
              <w:spacing w:line="440" w:lineRule="exact"/>
              <w:jc w:val="center"/>
              <w:rPr>
                <w:rFonts w:ascii="Times New Roman" w:hAnsi="Times New Roman" w:cs="Times New Roman"/>
                <w:b/>
                <w:bCs/>
              </w:rPr>
            </w:pPr>
            <w:r>
              <w:rPr>
                <w:rFonts w:ascii="Times New Roman" w:hAnsi="Times New Roman" w:cs="Times New Roman"/>
                <w:b/>
                <w:bCs/>
              </w:rPr>
              <w:t>（新建项目不填）</w:t>
            </w:r>
          </w:p>
          <w:p>
            <w:pPr>
              <w:pStyle w:val="62"/>
              <w:spacing w:line="440" w:lineRule="exact"/>
              <w:jc w:val="center"/>
              <w:rPr>
                <w:rFonts w:ascii="Times New Roman" w:hAnsi="Times New Roman" w:cs="Times New Roman"/>
                <w:b/>
                <w:bCs/>
              </w:rPr>
            </w:pPr>
            <w:r>
              <w:rPr>
                <w:rFonts w:hint="eastAsia"/>
                <w:b/>
                <w:bCs/>
              </w:rPr>
              <w:t>⑤</w:t>
            </w:r>
          </w:p>
        </w:tc>
        <w:tc>
          <w:tcPr>
            <w:tcW w:w="1701" w:type="dxa"/>
            <w:tcBorders>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本项目建成后全厂排放量（固体废物产生量）</w:t>
            </w:r>
            <w:r>
              <w:rPr>
                <w:rFonts w:hint="eastAsia"/>
                <w:b/>
                <w:bCs/>
              </w:rPr>
              <w:t>⑥</w:t>
            </w:r>
          </w:p>
        </w:tc>
        <w:tc>
          <w:tcPr>
            <w:tcW w:w="1541" w:type="dxa"/>
            <w:tcBorders>
              <w:left w:val="single" w:color="000000" w:sz="4" w:space="0"/>
              <w:bottom w:val="single" w:color="000000" w:sz="4" w:space="0"/>
            </w:tcBorders>
            <w:vAlign w:val="center"/>
          </w:tcPr>
          <w:p>
            <w:pPr>
              <w:pStyle w:val="62"/>
              <w:spacing w:line="440" w:lineRule="exact"/>
              <w:jc w:val="center"/>
              <w:rPr>
                <w:rFonts w:ascii="Times New Roman" w:hAnsi="Times New Roman" w:cs="Times New Roman"/>
                <w:b/>
                <w:bCs/>
              </w:rPr>
            </w:pPr>
            <w:r>
              <w:rPr>
                <w:rFonts w:ascii="Times New Roman" w:hAnsi="Times New Roman" w:cs="Times New Roman"/>
                <w:b/>
                <w:bCs/>
              </w:rPr>
              <w:t>变化量</w:t>
            </w:r>
          </w:p>
          <w:p>
            <w:pPr>
              <w:pStyle w:val="62"/>
              <w:spacing w:line="440" w:lineRule="exact"/>
              <w:jc w:val="center"/>
              <w:rPr>
                <w:rFonts w:ascii="Times New Roman" w:hAnsi="Times New Roman" w:cs="Times New Roman"/>
                <w:b/>
                <w:bCs/>
              </w:rPr>
            </w:pPr>
            <w:r>
              <w:rPr>
                <w:rFonts w:hint="eastAsia"/>
                <w:b/>
                <w:bCs/>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tcBorders>
              <w:righ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废气</w:t>
            </w: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非甲烷总烃</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lang w:val="en-US"/>
              </w:rPr>
              <w:t>0.1t/a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tcPr>
          <w:p>
            <w:pPr>
              <w:pStyle w:val="62"/>
              <w:spacing w:line="440" w:lineRule="exact"/>
              <w:jc w:val="center"/>
              <w:rPr>
                <w:rFonts w:ascii="Times New Roman" w:hAnsi="Times New Roman" w:cs="Times New Roman"/>
              </w:rPr>
            </w:pPr>
            <w:r>
              <w:rPr>
                <w:rFonts w:ascii="Times New Roman" w:hAnsi="Times New Roman" w:cs="Times New Roman"/>
                <w:lang w:val="en-US"/>
              </w:rPr>
              <w:t>0.1t/a</w:t>
            </w:r>
          </w:p>
        </w:tc>
        <w:tc>
          <w:tcPr>
            <w:tcW w:w="1541" w:type="dxa"/>
            <w:tcBorders>
              <w:top w:val="single" w:color="000000" w:sz="4" w:space="0"/>
              <w:left w:val="single" w:color="000000" w:sz="4" w:space="0"/>
              <w:bottom w:val="single" w:color="000000" w:sz="4" w:space="0"/>
            </w:tcBorders>
          </w:tcPr>
          <w:p>
            <w:pPr>
              <w:pStyle w:val="62"/>
              <w:spacing w:line="440" w:lineRule="exact"/>
              <w:jc w:val="center"/>
              <w:rPr>
                <w:rFonts w:ascii="Times New Roman" w:hAnsi="Times New Roman" w:cs="Times New Roman"/>
              </w:rPr>
            </w:pPr>
            <w:r>
              <w:rPr>
                <w:rFonts w:ascii="Times New Roman" w:hAnsi="Times New Roman" w:cs="Times New Roman"/>
                <w:lang w:val="en-US"/>
              </w:rPr>
              <w:t>0.1t/a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restart"/>
            <w:tcBorders>
              <w:righ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废水</w:t>
            </w: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position w:val="2"/>
              </w:rPr>
              <w:t>COD</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2.987</w:t>
            </w:r>
            <w:r>
              <w:rPr>
                <w:rFonts w:ascii="Times New Roman" w:hAnsi="Times New Roman" w:cs="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2.987</w:t>
            </w:r>
            <w:r>
              <w:rPr>
                <w:rFonts w:ascii="Times New Roman" w:hAnsi="Times New Roman" w:cs="Times New Roman"/>
                <w:lang w:val="en-US"/>
              </w:rPr>
              <w:t>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2.987</w:t>
            </w:r>
            <w:r>
              <w:rPr>
                <w:rFonts w:ascii="Times New Roman" w:hAnsi="Times New Roman"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position w:val="2"/>
              </w:rPr>
              <w:t>BOD</w:t>
            </w:r>
            <w:r>
              <w:rPr>
                <w:rFonts w:ascii="Times New Roman" w:hAnsi="Times New Roman" w:cs="Times New Roman"/>
                <w:position w:val="2"/>
                <w:vertAlign w:val="subscript"/>
              </w:rPr>
              <w:t>5</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0.403</w:t>
            </w:r>
            <w:r>
              <w:rPr>
                <w:rFonts w:ascii="Times New Roman" w:hAnsi="Times New Roman" w:cs="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0.403</w:t>
            </w:r>
            <w:r>
              <w:rPr>
                <w:rFonts w:ascii="Times New Roman" w:hAnsi="Times New Roman" w:cs="Times New Roman"/>
                <w:lang w:val="en-US"/>
              </w:rPr>
              <w:t>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0.403</w:t>
            </w:r>
            <w:r>
              <w:rPr>
                <w:rFonts w:ascii="Times New Roman" w:hAnsi="Times New Roman"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SS</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2.5</w:t>
            </w:r>
            <w:r>
              <w:rPr>
                <w:rFonts w:ascii="Times New Roman" w:hAnsi="Times New Roman" w:cs="Times New Roman"/>
                <w:lang w:val="en-US"/>
              </w:rPr>
              <w:t>1t/a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2.5</w:t>
            </w:r>
            <w:r>
              <w:rPr>
                <w:rFonts w:ascii="Times New Roman" w:hAnsi="Times New Roman" w:cs="Times New Roman"/>
                <w:lang w:val="en-US"/>
              </w:rPr>
              <w:t>1t/a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2.5</w:t>
            </w:r>
            <w:r>
              <w:rPr>
                <w:rFonts w:ascii="Times New Roman" w:hAnsi="Times New Roman" w:cs="Times New Roman"/>
                <w:lang w:val="en-US"/>
              </w:rPr>
              <w:t>1t/a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氨氮</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0.27</w:t>
            </w:r>
            <w:r>
              <w:rPr>
                <w:rFonts w:ascii="Times New Roman" w:hAnsi="Times New Roman" w:cs="Times New Roman"/>
                <w:lang w:val="en-US"/>
              </w:rPr>
              <w:t>1t/a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0.27</w:t>
            </w:r>
            <w:r>
              <w:rPr>
                <w:rFonts w:ascii="Times New Roman" w:hAnsi="Times New Roman" w:cs="Times New Roman"/>
                <w:lang w:val="en-US"/>
              </w:rPr>
              <w:t>1t/a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0.27</w:t>
            </w:r>
            <w:r>
              <w:rPr>
                <w:rFonts w:ascii="Times New Roman" w:hAnsi="Times New Roman" w:cs="Times New Roman"/>
                <w:lang w:val="en-US"/>
              </w:rPr>
              <w:t>1t/a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LAS</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0.121</w:t>
            </w:r>
            <w:r>
              <w:rPr>
                <w:rFonts w:ascii="Times New Roman" w:hAnsi="Times New Roman" w:cs="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0.121</w:t>
            </w:r>
            <w:r>
              <w:rPr>
                <w:rFonts w:ascii="Times New Roman" w:hAnsi="Times New Roman" w:cs="Times New Roman"/>
                <w:lang w:val="en-US"/>
              </w:rPr>
              <w:t>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0.121</w:t>
            </w:r>
            <w:r>
              <w:rPr>
                <w:rFonts w:ascii="Times New Roman" w:hAnsi="Times New Roman"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TP</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0.025</w:t>
            </w:r>
            <w:r>
              <w:rPr>
                <w:rFonts w:ascii="Times New Roman" w:hAnsi="Times New Roman" w:cs="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0.025</w:t>
            </w:r>
            <w:r>
              <w:rPr>
                <w:rFonts w:ascii="Times New Roman" w:hAnsi="Times New Roman" w:cs="Times New Roman"/>
                <w:lang w:val="en-US"/>
              </w:rPr>
              <w:t>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0.025</w:t>
            </w:r>
            <w:r>
              <w:rPr>
                <w:rFonts w:ascii="Times New Roman" w:hAnsi="Times New Roman"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动植物油</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0.053</w:t>
            </w:r>
            <w:r>
              <w:rPr>
                <w:rFonts w:ascii="Times New Roman" w:hAnsi="Times New Roman" w:cs="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0.053</w:t>
            </w:r>
            <w:r>
              <w:rPr>
                <w:rFonts w:ascii="Times New Roman" w:hAnsi="Times New Roman" w:cs="Times New Roman"/>
                <w:lang w:val="en-US"/>
              </w:rPr>
              <w:t>t/a</w:t>
            </w:r>
          </w:p>
        </w:tc>
        <w:tc>
          <w:tcPr>
            <w:tcW w:w="1541" w:type="dxa"/>
            <w:tcBorders>
              <w:top w:val="single" w:color="000000" w:sz="4" w:space="0"/>
              <w:left w:val="single" w:color="000000" w:sz="4" w:space="0"/>
              <w:bottom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eastAsia="等线" w:cs="Times New Roman"/>
              </w:rPr>
              <w:t>0.053</w:t>
            </w:r>
            <w:r>
              <w:rPr>
                <w:rFonts w:ascii="Times New Roman" w:hAnsi="Times New Roman" w:cs="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restart"/>
            <w:tcBorders>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一般工业固体废物</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lang w:val="en-US"/>
              </w:rPr>
              <w:t>玻璃碎屑、边角料、次品</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20</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20</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20</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pStyle w:val="62"/>
              <w:spacing w:line="440" w:lineRule="exact"/>
              <w:jc w:val="center"/>
              <w:rPr>
                <w:rFonts w:ascii="Times New Roman" w:hAnsi="Times New Roman" w:cs="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废包装材料</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1.6</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1.6</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1.6</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pStyle w:val="62"/>
              <w:spacing w:line="440" w:lineRule="exact"/>
              <w:jc w:val="center"/>
              <w:rPr>
                <w:rFonts w:ascii="Times New Roman" w:hAnsi="Times New Roman" w:cs="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废树脂</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2</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lang w:val="en-US"/>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2</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2</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restart"/>
            <w:tcBorders>
              <w:right w:val="single" w:color="000000" w:sz="4" w:space="0"/>
            </w:tcBorders>
            <w:vAlign w:val="center"/>
          </w:tcPr>
          <w:p>
            <w:pPr>
              <w:spacing w:line="440" w:lineRule="exact"/>
              <w:jc w:val="center"/>
              <w:rPr>
                <w:rFonts w:ascii="Times New Roman" w:hAnsi="Times New Roman"/>
              </w:rPr>
            </w:pPr>
            <w:r>
              <w:rPr>
                <w:rFonts w:ascii="Times New Roman" w:hAnsi="Times New Roman"/>
              </w:rPr>
              <w:t>危险废物</w:t>
            </w: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废活性炭</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6.33</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6.33</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6.33</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废润滑油</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0.01</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0.01</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0.01</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废洗网水</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0.1</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0.1</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0.1</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废油墨渣</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0.04</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0.04</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0.04</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废硝酸钾</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15</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15</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15</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废AF药水</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0.32</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0.32</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0.32</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废包装瓶（桶）</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1.43</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1.43</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1.43</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废水处理站污泥</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5</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Times New Roman" w:hAnsi="Times New Roman"/>
              </w:rPr>
            </w:pPr>
            <w:r>
              <w:rPr>
                <w:rFonts w:ascii="Times New Roman" w:hAnsi="Times New Roman"/>
              </w:rPr>
              <w:t>5</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spacing w:line="440" w:lineRule="exact"/>
              <w:jc w:val="center"/>
              <w:rPr>
                <w:rFonts w:ascii="Times New Roman" w:hAnsi="Times New Roman"/>
              </w:rPr>
            </w:pPr>
            <w:r>
              <w:rPr>
                <w:rFonts w:ascii="Times New Roman" w:hAnsi="Times New Roman"/>
              </w:rPr>
              <w:t>5</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rPr>
              <w:t>废切削液</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lang w:bidi="ar"/>
              </w:rPr>
              <w:t>8</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lang w:bidi="ar"/>
              </w:rPr>
              <w:t>8</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lang w:bidi="ar"/>
              </w:rPr>
              <w:t>8</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rPr>
            </w:pPr>
            <w:r>
              <w:rPr>
                <w:rFonts w:ascii="Times New Roman" w:hAnsi="Times New Roman"/>
              </w:rPr>
              <w:t>废显影液</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lang w:bidi="ar"/>
              </w:rPr>
              <w:t>0.3</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lang w:bidi="ar"/>
              </w:rPr>
              <w:t>0.3</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widowControl/>
              <w:spacing w:line="440" w:lineRule="exact"/>
              <w:jc w:val="center"/>
              <w:rPr>
                <w:rFonts w:ascii="Times New Roman" w:hAnsi="Times New Roman"/>
                <w:lang w:bidi="ar"/>
              </w:rPr>
            </w:pPr>
            <w:r>
              <w:rPr>
                <w:rFonts w:ascii="Times New Roman" w:hAnsi="Times New Roman"/>
                <w:lang w:bidi="ar"/>
              </w:rPr>
              <w:t>0.3</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rPr>
            </w:pPr>
            <w:r>
              <w:rPr>
                <w:rFonts w:hint="eastAsia" w:ascii="Times New Roman" w:hAnsi="Times New Roman"/>
              </w:rPr>
              <w:t>废网版</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hint="eastAsia"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hint="eastAsia"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hint="eastAsia"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hint="eastAsia" w:ascii="Times New Roman" w:hAnsi="Times New Roman"/>
                <w:lang w:bidi="ar"/>
              </w:rPr>
              <w:t>2</w:t>
            </w:r>
            <w:r>
              <w:rPr>
                <w:rFonts w:ascii="Times New Roman" w:hAnsi="Times New Roman"/>
                <w:lang w:bidi="ar"/>
              </w:rPr>
              <w:t>.5</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hint="eastAsia" w:ascii="Times New Roman" w:hAnsi="Times New Roman"/>
                <w:lang w:bidi="ar"/>
              </w:rPr>
              <w:t>2</w:t>
            </w:r>
            <w:r>
              <w:rPr>
                <w:rFonts w:ascii="Times New Roman" w:hAnsi="Times New Roman"/>
                <w:lang w:bidi="ar"/>
              </w:rPr>
              <w:t>.5</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widowControl/>
              <w:spacing w:line="440" w:lineRule="exact"/>
              <w:jc w:val="center"/>
              <w:rPr>
                <w:rFonts w:ascii="Times New Roman" w:hAnsi="Times New Roman"/>
                <w:lang w:bidi="ar"/>
              </w:rPr>
            </w:pPr>
            <w:r>
              <w:rPr>
                <w:rFonts w:hint="eastAsia" w:ascii="Times New Roman" w:hAnsi="Times New Roman"/>
                <w:lang w:bidi="ar"/>
              </w:rPr>
              <w:t>2</w:t>
            </w:r>
            <w:r>
              <w:rPr>
                <w:rFonts w:ascii="Times New Roman" w:hAnsi="Times New Roman"/>
                <w:lang w:bidi="ar"/>
              </w:rPr>
              <w:t>.5</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vMerge w:val="continue"/>
            <w:tcBorders>
              <w:right w:val="single" w:color="000000" w:sz="4" w:space="0"/>
            </w:tcBorders>
            <w:vAlign w:val="center"/>
          </w:tcPr>
          <w:p>
            <w:pPr>
              <w:spacing w:line="440" w:lineRule="exact"/>
              <w:jc w:val="center"/>
              <w:rPr>
                <w:rFonts w:ascii="Times New Roman" w:hAnsi="Times New Roman"/>
              </w:rPr>
            </w:pP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rPr>
            </w:pPr>
            <w:r>
              <w:rPr>
                <w:rFonts w:ascii="Times New Roman" w:hAnsi="Times New Roman"/>
              </w:rPr>
              <w:t>含油</w:t>
            </w:r>
            <w:r>
              <w:rPr>
                <w:rFonts w:hint="eastAsia" w:ascii="Times New Roman" w:hAnsi="Times New Roman"/>
              </w:rPr>
              <w:t>抹布</w:t>
            </w:r>
            <w:r>
              <w:rPr>
                <w:rFonts w:ascii="Times New Roman" w:hAnsi="Times New Roman"/>
              </w:rPr>
              <w:t>、手套</w:t>
            </w:r>
          </w:p>
        </w:tc>
        <w:tc>
          <w:tcPr>
            <w:tcW w:w="1208"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hint="eastAsia" w:ascii="Times New Roman" w:hAnsi="Times New Roman" w:cs="Times New Roman"/>
              </w:rPr>
              <w:t>/</w:t>
            </w:r>
          </w:p>
        </w:tc>
        <w:tc>
          <w:tcPr>
            <w:tcW w:w="1281"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hint="eastAsia" w:ascii="Times New Roman" w:hAnsi="Times New Roman" w:cs="Times New Roman"/>
              </w:rPr>
              <w:t>/</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hint="eastAsia" w:ascii="Times New Roman" w:hAnsi="Times New Roman" w:cs="Times New Roman"/>
              </w:rPr>
              <w:t>/</w:t>
            </w:r>
          </w:p>
        </w:tc>
        <w:tc>
          <w:tcPr>
            <w:tcW w:w="1627"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hint="eastAsia" w:ascii="Times New Roman" w:hAnsi="Times New Roman"/>
                <w:lang w:bidi="ar"/>
              </w:rPr>
              <w:t>1</w:t>
            </w:r>
            <w:r>
              <w:rPr>
                <w:rFonts w:ascii="Times New Roman" w:hAnsi="Times New Roman"/>
                <w:lang w:bidi="ar"/>
              </w:rPr>
              <w:t>.5</w:t>
            </w:r>
            <w:r>
              <w:rPr>
                <w:rFonts w:ascii="Times New Roman" w:hAnsi="Times New Roman"/>
                <w:lang w:val="en-US"/>
              </w:rPr>
              <w:t>t/a</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62"/>
              <w:spacing w:line="440" w:lineRule="exact"/>
              <w:jc w:val="center"/>
              <w:rPr>
                <w:rFonts w:ascii="Times New Roman" w:hAnsi="Times New Roman" w:cs="Times New Roman"/>
              </w:rPr>
            </w:pP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Times New Roman" w:hAnsi="Times New Roman"/>
                <w:lang w:bidi="ar"/>
              </w:rPr>
            </w:pPr>
            <w:r>
              <w:rPr>
                <w:rFonts w:hint="eastAsia" w:ascii="Times New Roman" w:hAnsi="Times New Roman"/>
                <w:lang w:bidi="ar"/>
              </w:rPr>
              <w:t>1</w:t>
            </w:r>
            <w:r>
              <w:rPr>
                <w:rFonts w:ascii="Times New Roman" w:hAnsi="Times New Roman"/>
                <w:lang w:bidi="ar"/>
              </w:rPr>
              <w:t>.5</w:t>
            </w:r>
            <w:r>
              <w:rPr>
                <w:rFonts w:ascii="Times New Roman" w:hAnsi="Times New Roman"/>
                <w:lang w:val="en-US"/>
              </w:rPr>
              <w:t>t/a</w:t>
            </w:r>
          </w:p>
        </w:tc>
        <w:tc>
          <w:tcPr>
            <w:tcW w:w="1541" w:type="dxa"/>
            <w:tcBorders>
              <w:top w:val="single" w:color="000000" w:sz="4" w:space="0"/>
              <w:left w:val="single" w:color="000000" w:sz="4" w:space="0"/>
              <w:bottom w:val="single" w:color="000000" w:sz="4" w:space="0"/>
            </w:tcBorders>
            <w:vAlign w:val="center"/>
          </w:tcPr>
          <w:p>
            <w:pPr>
              <w:widowControl/>
              <w:spacing w:line="440" w:lineRule="exact"/>
              <w:jc w:val="center"/>
              <w:rPr>
                <w:rFonts w:ascii="Times New Roman" w:hAnsi="Times New Roman"/>
                <w:lang w:bidi="ar"/>
              </w:rPr>
            </w:pPr>
            <w:r>
              <w:rPr>
                <w:rFonts w:hint="eastAsia" w:ascii="Times New Roman" w:hAnsi="Times New Roman"/>
                <w:lang w:bidi="ar"/>
              </w:rPr>
              <w:t>1</w:t>
            </w:r>
            <w:r>
              <w:rPr>
                <w:rFonts w:ascii="Times New Roman" w:hAnsi="Times New Roman"/>
                <w:lang w:bidi="ar"/>
              </w:rPr>
              <w:t>.5</w:t>
            </w:r>
            <w:r>
              <w:rPr>
                <w:rFonts w:ascii="Times New Roman" w:hAnsi="Times New Roman"/>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jc w:val="center"/>
        </w:trPr>
        <w:tc>
          <w:tcPr>
            <w:tcW w:w="907" w:type="dxa"/>
            <w:tcBorders>
              <w:right w:val="single" w:color="000000" w:sz="4" w:space="0"/>
            </w:tcBorders>
            <w:vAlign w:val="center"/>
          </w:tcPr>
          <w:p>
            <w:pPr>
              <w:spacing w:line="440" w:lineRule="exact"/>
              <w:jc w:val="center"/>
              <w:rPr>
                <w:rFonts w:ascii="Times New Roman" w:hAnsi="Times New Roman"/>
              </w:rPr>
            </w:pPr>
            <w:r>
              <w:rPr>
                <w:rFonts w:ascii="Times New Roman" w:hAnsi="Times New Roman"/>
              </w:rPr>
              <w:t>其他废物</w:t>
            </w:r>
          </w:p>
        </w:tc>
        <w:tc>
          <w:tcPr>
            <w:tcW w:w="2409" w:type="dxa"/>
            <w:tcBorders>
              <w:top w:val="single" w:color="000000" w:sz="4" w:space="0"/>
              <w:left w:val="single" w:color="000000" w:sz="4" w:space="0"/>
              <w:right w:val="single" w:color="000000" w:sz="4" w:space="0"/>
            </w:tcBorders>
            <w:vAlign w:val="center"/>
          </w:tcPr>
          <w:p>
            <w:pPr>
              <w:spacing w:line="440" w:lineRule="exact"/>
              <w:jc w:val="center"/>
              <w:rPr>
                <w:rFonts w:ascii="Times New Roman" w:hAnsi="Times New Roman"/>
                <w:kern w:val="2"/>
                <w:lang w:val="en-US" w:bidi="ar-SA"/>
              </w:rPr>
            </w:pPr>
            <w:r>
              <w:rPr>
                <w:rFonts w:ascii="Times New Roman" w:hAnsi="Times New Roman"/>
              </w:rPr>
              <w:t>生活垃圾</w:t>
            </w:r>
          </w:p>
        </w:tc>
        <w:tc>
          <w:tcPr>
            <w:tcW w:w="1208" w:type="dxa"/>
            <w:tcBorders>
              <w:top w:val="single" w:color="000000" w:sz="4" w:space="0"/>
              <w:left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281" w:type="dxa"/>
            <w:tcBorders>
              <w:top w:val="single" w:color="000000" w:sz="4" w:space="0"/>
              <w:left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569" w:type="dxa"/>
            <w:tcBorders>
              <w:top w:val="single" w:color="000000" w:sz="4" w:space="0"/>
              <w:left w:val="single" w:color="000000" w:sz="4" w:space="0"/>
              <w:right w:val="single" w:color="000000" w:sz="4" w:space="0"/>
            </w:tcBorders>
            <w:vAlign w:val="center"/>
          </w:tcPr>
          <w:p>
            <w:pPr>
              <w:pStyle w:val="62"/>
              <w:spacing w:line="440" w:lineRule="exact"/>
              <w:jc w:val="center"/>
              <w:rPr>
                <w:rFonts w:ascii="Times New Roman" w:hAnsi="Times New Roman" w:cs="Times New Roman"/>
              </w:rPr>
            </w:pPr>
            <w:r>
              <w:rPr>
                <w:rFonts w:ascii="Times New Roman" w:hAnsi="Times New Roman" w:cs="Times New Roman"/>
              </w:rPr>
              <w:t>/</w:t>
            </w:r>
          </w:p>
        </w:tc>
        <w:tc>
          <w:tcPr>
            <w:tcW w:w="1627" w:type="dxa"/>
            <w:tcBorders>
              <w:top w:val="single" w:color="000000" w:sz="4" w:space="0"/>
              <w:left w:val="single" w:color="000000" w:sz="4" w:space="0"/>
              <w:righ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75t/a</w:t>
            </w:r>
          </w:p>
        </w:tc>
        <w:tc>
          <w:tcPr>
            <w:tcW w:w="1545" w:type="dxa"/>
            <w:tcBorders>
              <w:top w:val="single" w:color="000000" w:sz="4" w:space="0"/>
              <w:left w:val="single" w:color="000000" w:sz="4" w:space="0"/>
              <w:right w:val="single" w:color="000000" w:sz="4" w:space="0"/>
            </w:tcBorders>
            <w:vAlign w:val="center"/>
          </w:tcPr>
          <w:p>
            <w:pPr>
              <w:pStyle w:val="62"/>
              <w:spacing w:line="440" w:lineRule="exact"/>
              <w:jc w:val="center"/>
              <w:rPr>
                <w:rFonts w:ascii="Times New Roman" w:hAnsi="Times New Roman" w:cs="Times New Roman"/>
                <w:lang w:val="en-US"/>
              </w:rPr>
            </w:pPr>
            <w:r>
              <w:rPr>
                <w:rFonts w:ascii="Times New Roman" w:hAnsi="Times New Roman" w:cs="Times New Roman"/>
              </w:rPr>
              <w:t>/</w:t>
            </w:r>
          </w:p>
        </w:tc>
        <w:tc>
          <w:tcPr>
            <w:tcW w:w="1701" w:type="dxa"/>
            <w:tcBorders>
              <w:top w:val="single" w:color="000000" w:sz="4" w:space="0"/>
              <w:left w:val="single" w:color="000000" w:sz="4" w:space="0"/>
              <w:righ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75t/a</w:t>
            </w:r>
          </w:p>
        </w:tc>
        <w:tc>
          <w:tcPr>
            <w:tcW w:w="1541" w:type="dxa"/>
            <w:tcBorders>
              <w:top w:val="single" w:color="000000" w:sz="4" w:space="0"/>
              <w:left w:val="single" w:color="000000" w:sz="4" w:space="0"/>
            </w:tcBorders>
            <w:vAlign w:val="center"/>
          </w:tcPr>
          <w:p>
            <w:pPr>
              <w:spacing w:line="440" w:lineRule="exact"/>
              <w:jc w:val="center"/>
              <w:rPr>
                <w:rFonts w:ascii="Times New Roman" w:hAnsi="Times New Roman"/>
                <w:lang w:val="en-US"/>
              </w:rPr>
            </w:pPr>
            <w:r>
              <w:rPr>
                <w:rFonts w:ascii="Times New Roman" w:hAnsi="Times New Roman"/>
                <w:lang w:val="en-US"/>
              </w:rPr>
              <w:t>75t/a</w:t>
            </w:r>
          </w:p>
        </w:tc>
      </w:tr>
      <w:bookmarkEnd w:id="66"/>
    </w:tbl>
    <w:p>
      <w:pPr>
        <w:pStyle w:val="40"/>
        <w:widowControl/>
        <w:shd w:val="clear" w:color="auto" w:fill="FFFFFF"/>
        <w:spacing w:beforeAutospacing="0" w:afterAutospacing="0" w:line="440" w:lineRule="exact"/>
        <w:rPr>
          <w:rFonts w:ascii="Times New Roman" w:hAnsi="Times New Roman"/>
        </w:rPr>
      </w:pPr>
      <w:r>
        <w:rPr>
          <w:rFonts w:ascii="Times New Roman" w:hAnsi="Times New Roman"/>
          <w:bCs/>
          <w:sz w:val="22"/>
        </w:rPr>
        <w:t>注：</w:t>
      </w:r>
      <w:r>
        <w:rPr>
          <w:rFonts w:hint="eastAsia" w:cs="宋体"/>
          <w:bCs/>
          <w:sz w:val="22"/>
        </w:rPr>
        <w:t>⑥</w:t>
      </w:r>
      <w:r>
        <w:rPr>
          <w:rFonts w:ascii="Times New Roman" w:hAnsi="Times New Roman"/>
          <w:bCs/>
          <w:sz w:val="22"/>
        </w:rPr>
        <w:t>=</w:t>
      </w:r>
      <w:r>
        <w:rPr>
          <w:rFonts w:hint="eastAsia" w:cs="宋体"/>
          <w:bCs/>
          <w:sz w:val="22"/>
        </w:rPr>
        <w:t>①</w:t>
      </w:r>
      <w:r>
        <w:rPr>
          <w:rFonts w:ascii="Times New Roman" w:hAnsi="Times New Roman"/>
          <w:bCs/>
          <w:sz w:val="22"/>
        </w:rPr>
        <w:t>+</w:t>
      </w:r>
      <w:r>
        <w:rPr>
          <w:rFonts w:hint="eastAsia" w:cs="宋体"/>
          <w:bCs/>
          <w:sz w:val="22"/>
        </w:rPr>
        <w:t>③</w:t>
      </w:r>
      <w:r>
        <w:rPr>
          <w:rFonts w:ascii="Times New Roman" w:hAnsi="Times New Roman"/>
          <w:bCs/>
          <w:sz w:val="22"/>
        </w:rPr>
        <w:t>+</w:t>
      </w:r>
      <w:r>
        <w:rPr>
          <w:rFonts w:hint="eastAsia" w:cs="宋体"/>
          <w:bCs/>
          <w:sz w:val="22"/>
        </w:rPr>
        <w:t>④</w:t>
      </w:r>
      <w:r>
        <w:rPr>
          <w:rFonts w:ascii="Times New Roman" w:hAnsi="Times New Roman"/>
          <w:bCs/>
          <w:sz w:val="22"/>
        </w:rPr>
        <w:t>-</w:t>
      </w:r>
      <w:r>
        <w:rPr>
          <w:rFonts w:hint="eastAsia" w:cs="宋体"/>
          <w:bCs/>
          <w:sz w:val="22"/>
        </w:rPr>
        <w:t>⑤</w:t>
      </w:r>
      <w:r>
        <w:rPr>
          <w:rFonts w:ascii="Times New Roman" w:hAnsi="Times New Roman"/>
          <w:bCs/>
          <w:sz w:val="22"/>
        </w:rPr>
        <w:t>；</w:t>
      </w:r>
      <w:r>
        <w:rPr>
          <w:rFonts w:hint="eastAsia" w:cs="宋体"/>
          <w:bCs/>
          <w:sz w:val="22"/>
        </w:rPr>
        <w:t>⑦</w:t>
      </w:r>
      <w:r>
        <w:rPr>
          <w:rFonts w:ascii="Times New Roman" w:hAnsi="Times New Roman"/>
          <w:bCs/>
          <w:sz w:val="22"/>
        </w:rPr>
        <w:t>=</w:t>
      </w:r>
      <w:r>
        <w:rPr>
          <w:rFonts w:hint="eastAsia" w:cs="宋体"/>
          <w:bCs/>
          <w:sz w:val="22"/>
        </w:rPr>
        <w:t>⑥</w:t>
      </w:r>
      <w:r>
        <w:rPr>
          <w:rFonts w:ascii="Times New Roman" w:hAnsi="Times New Roman"/>
          <w:bCs/>
          <w:sz w:val="22"/>
        </w:rPr>
        <w:t>-</w:t>
      </w:r>
      <w:bookmarkStart w:id="67" w:name="三、区域环境质量现状、环境保护目标及评价标准"/>
      <w:bookmarkEnd w:id="67"/>
      <w:r>
        <w:rPr>
          <w:rFonts w:hint="eastAsia" w:cs="宋体"/>
          <w:bCs/>
          <w:sz w:val="22"/>
        </w:rPr>
        <w:t>①</w:t>
      </w:r>
    </w:p>
    <w:sectPr>
      <w:headerReference r:id="rId6" w:type="default"/>
      <w:footerReference r:id="rId7" w:type="default"/>
      <w:pgSz w:w="16840" w:h="11910" w:orient="landscape"/>
      <w:pgMar w:top="1797" w:right="1440" w:bottom="1797" w:left="1440" w:header="119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ACB0C9-6855-4083-AE95-CBCB432E60E4}"/>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986AEA0-207A-4B2B-86C7-C9DBD7CD64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宋体">
    <w:panose1 w:val="02010600040101010101"/>
    <w:charset w:val="86"/>
    <w:family w:val="auto"/>
    <w:pitch w:val="default"/>
    <w:sig w:usb0="00000287" w:usb1="080F0000" w:usb2="00000000" w:usb3="00000000" w:csb0="0004009F" w:csb1="DFD70000"/>
  </w:font>
  <w:font w:name="新宋体-18030">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DD342911-3825-4665-9707-DFDCB7772531}"/>
  </w:font>
  <w:font w:name="楷体_GB2312">
    <w:panose1 w:val="02010609030101010101"/>
    <w:charset w:val="86"/>
    <w:family w:val="modern"/>
    <w:pitch w:val="default"/>
    <w:sig w:usb0="00000001" w:usb1="080E0000" w:usb2="00000000" w:usb3="00000000" w:csb0="00040000" w:csb1="00000000"/>
    <w:embedRegular r:id="rId4" w:fontKey="{A831E507-5833-43AB-A1F6-F5F66F403248}"/>
  </w:font>
  <w:font w:name="等线">
    <w:panose1 w:val="02010600030101010101"/>
    <w:charset w:val="86"/>
    <w:family w:val="auto"/>
    <w:pitch w:val="default"/>
    <w:sig w:usb0="A00002BF" w:usb1="38CF7CFA" w:usb2="00000016" w:usb3="00000000" w:csb0="0004000F" w:csb1="00000000"/>
    <w:embedRegular r:id="rId5" w:fontKey="{BED3D202-140C-4146-B8F5-1FE156CCCCE2}"/>
  </w:font>
  <w:font w:name="Courier New">
    <w:panose1 w:val="02070309020205020404"/>
    <w:charset w:val="00"/>
    <w:family w:val="modern"/>
    <w:pitch w:val="default"/>
    <w:sig w:usb0="E0002EFF" w:usb1="C0007843" w:usb2="00000009" w:usb3="00000000" w:csb0="400001FF" w:csb1="FFFF0000"/>
  </w:font>
  <w:font w:name="Arial Black">
    <w:panose1 w:val="020B0A04020102020204"/>
    <w:charset w:val="00"/>
    <w:family w:val="swiss"/>
    <w:pitch w:val="default"/>
    <w:sig w:usb0="A00002AF" w:usb1="400078FB" w:usb2="00000000" w:usb3="00000000" w:csb0="6000009F" w:csb1="DFD70000"/>
  </w:font>
  <w:font w:name="方正书宋简体">
    <w:altName w:val="宋体"/>
    <w:panose1 w:val="00000000000000000000"/>
    <w:charset w:val="86"/>
    <w:family w:val="auto"/>
    <w:pitch w:val="default"/>
    <w:sig w:usb0="00000000" w:usb1="00000000" w:usb2="00000010" w:usb3="00000000" w:csb0="00040000" w:csb1="00000000"/>
  </w:font>
  <w:font w:name="Lucida Console">
    <w:panose1 w:val="020B0609040504020204"/>
    <w:charset w:val="00"/>
    <w:family w:val="modern"/>
    <w:pitch w:val="default"/>
    <w:sig w:usb0="8000028F" w:usb1="00001800" w:usb2="00000000" w:usb3="00000000" w:csb0="0000001F" w:csb1="D7D7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体">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6" w:fontKey="{DA06F71D-2B8A-4791-B30D-8894B4ED7684}"/>
  </w:font>
  <w:font w:name="Segoe UI Symbol">
    <w:panose1 w:val="020B0502040204020203"/>
    <w:charset w:val="00"/>
    <w:family w:val="swiss"/>
    <w:pitch w:val="default"/>
    <w:sig w:usb0="800001E3" w:usb1="1200FFEF" w:usb2="00040000" w:usb3="04000000" w:csb0="00000001" w:csb1="40000000"/>
    <w:embedRegular r:id="rId7" w:fontKey="{95340B6F-1533-4771-87E1-68F00ACEBF9D}"/>
  </w:font>
  <w:font w:name="Wingdings 2">
    <w:panose1 w:val="05020102010507070707"/>
    <w:charset w:val="02"/>
    <w:family w:val="roman"/>
    <w:pitch w:val="default"/>
    <w:sig w:usb0="00000000" w:usb1="00000000" w:usb2="00000000" w:usb3="00000000" w:csb0="80000000" w:csb1="00000000"/>
    <w:embedRegular r:id="rId8" w:fontKey="{72D11AD1-F4BB-4021-9DDE-D01B82E203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p>
  <w:p>
    <w:pPr>
      <w:pStyle w:val="15"/>
      <w:spacing w:line="14" w:lineRule="auto"/>
      <w:rPr>
        <w:rFonts w:ascii="Times New Roman" w:hAnsi="Times New Roman" w:cs="Times New Roman"/>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PAGE   \* MERGEFORMAT</w:instrText>
    </w:r>
    <w:r>
      <w:fldChar w:fldCharType="separate"/>
    </w:r>
    <w:r>
      <w:t>89</w:t>
    </w:r>
    <w:r>
      <w:fldChar w:fldCharType="end"/>
    </w:r>
  </w:p>
  <w:p>
    <w:pPr>
      <w:pStyle w:val="29"/>
      <w:jc w:val="both"/>
      <w:rPr>
        <w:lang w:val="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5NGE2MjNjZGI0MzMwNzJmNGY5ZTIzNTI3ODFjYTEifQ=="/>
  </w:docVars>
  <w:rsids>
    <w:rsidRoot w:val="00CB5D6D"/>
    <w:rsid w:val="00001234"/>
    <w:rsid w:val="000024D1"/>
    <w:rsid w:val="00003687"/>
    <w:rsid w:val="0000655F"/>
    <w:rsid w:val="00007C91"/>
    <w:rsid w:val="00011DB0"/>
    <w:rsid w:val="000123B2"/>
    <w:rsid w:val="000174D2"/>
    <w:rsid w:val="00017BF8"/>
    <w:rsid w:val="00017CD3"/>
    <w:rsid w:val="00020482"/>
    <w:rsid w:val="000204AF"/>
    <w:rsid w:val="00020903"/>
    <w:rsid w:val="00020B86"/>
    <w:rsid w:val="00022625"/>
    <w:rsid w:val="000228D1"/>
    <w:rsid w:val="000233C0"/>
    <w:rsid w:val="0002523C"/>
    <w:rsid w:val="00026342"/>
    <w:rsid w:val="0002640D"/>
    <w:rsid w:val="00027102"/>
    <w:rsid w:val="00031519"/>
    <w:rsid w:val="00032E2E"/>
    <w:rsid w:val="00033979"/>
    <w:rsid w:val="0003478B"/>
    <w:rsid w:val="00034E39"/>
    <w:rsid w:val="000350EA"/>
    <w:rsid w:val="000358E5"/>
    <w:rsid w:val="000369DC"/>
    <w:rsid w:val="000429BF"/>
    <w:rsid w:val="00042AA2"/>
    <w:rsid w:val="00042E1E"/>
    <w:rsid w:val="000439E9"/>
    <w:rsid w:val="000440F5"/>
    <w:rsid w:val="00045A76"/>
    <w:rsid w:val="00045C0E"/>
    <w:rsid w:val="000465D2"/>
    <w:rsid w:val="00050092"/>
    <w:rsid w:val="00050100"/>
    <w:rsid w:val="00050508"/>
    <w:rsid w:val="000516B5"/>
    <w:rsid w:val="00052000"/>
    <w:rsid w:val="0005322F"/>
    <w:rsid w:val="0005485B"/>
    <w:rsid w:val="0005726A"/>
    <w:rsid w:val="00057A2F"/>
    <w:rsid w:val="00057C2F"/>
    <w:rsid w:val="00060179"/>
    <w:rsid w:val="00062F96"/>
    <w:rsid w:val="000634EB"/>
    <w:rsid w:val="00066B5C"/>
    <w:rsid w:val="00067387"/>
    <w:rsid w:val="00070223"/>
    <w:rsid w:val="00070262"/>
    <w:rsid w:val="000705E2"/>
    <w:rsid w:val="000714C3"/>
    <w:rsid w:val="00071585"/>
    <w:rsid w:val="0007433A"/>
    <w:rsid w:val="000748C0"/>
    <w:rsid w:val="00075882"/>
    <w:rsid w:val="000766CF"/>
    <w:rsid w:val="00076945"/>
    <w:rsid w:val="000779F0"/>
    <w:rsid w:val="0008139F"/>
    <w:rsid w:val="000819F7"/>
    <w:rsid w:val="000826CE"/>
    <w:rsid w:val="00083128"/>
    <w:rsid w:val="00084901"/>
    <w:rsid w:val="0009013F"/>
    <w:rsid w:val="0009070D"/>
    <w:rsid w:val="000932CC"/>
    <w:rsid w:val="000943B7"/>
    <w:rsid w:val="000944A3"/>
    <w:rsid w:val="00094BBF"/>
    <w:rsid w:val="00094E79"/>
    <w:rsid w:val="00094EEB"/>
    <w:rsid w:val="000974C8"/>
    <w:rsid w:val="000A07DC"/>
    <w:rsid w:val="000A0D74"/>
    <w:rsid w:val="000A1D6C"/>
    <w:rsid w:val="000A7DB5"/>
    <w:rsid w:val="000B33AC"/>
    <w:rsid w:val="000B33B3"/>
    <w:rsid w:val="000B37C6"/>
    <w:rsid w:val="000B38F1"/>
    <w:rsid w:val="000B3A69"/>
    <w:rsid w:val="000B46F2"/>
    <w:rsid w:val="000B4779"/>
    <w:rsid w:val="000B539C"/>
    <w:rsid w:val="000B58D1"/>
    <w:rsid w:val="000B6368"/>
    <w:rsid w:val="000B63FF"/>
    <w:rsid w:val="000B6D9F"/>
    <w:rsid w:val="000B7B69"/>
    <w:rsid w:val="000B7FC8"/>
    <w:rsid w:val="000C1EEF"/>
    <w:rsid w:val="000C3AA2"/>
    <w:rsid w:val="000C4CC4"/>
    <w:rsid w:val="000C6623"/>
    <w:rsid w:val="000C6803"/>
    <w:rsid w:val="000C7EEF"/>
    <w:rsid w:val="000D04CD"/>
    <w:rsid w:val="000D0AC0"/>
    <w:rsid w:val="000D2194"/>
    <w:rsid w:val="000D29B4"/>
    <w:rsid w:val="000D4838"/>
    <w:rsid w:val="000D4E46"/>
    <w:rsid w:val="000D4E59"/>
    <w:rsid w:val="000D579F"/>
    <w:rsid w:val="000D5BBD"/>
    <w:rsid w:val="000D5EC1"/>
    <w:rsid w:val="000D7E14"/>
    <w:rsid w:val="000E0909"/>
    <w:rsid w:val="000E1CBA"/>
    <w:rsid w:val="000E23DB"/>
    <w:rsid w:val="000E76E6"/>
    <w:rsid w:val="000F1083"/>
    <w:rsid w:val="000F25BB"/>
    <w:rsid w:val="000F27FB"/>
    <w:rsid w:val="000F2E80"/>
    <w:rsid w:val="000F3E24"/>
    <w:rsid w:val="000F63AA"/>
    <w:rsid w:val="00100B6D"/>
    <w:rsid w:val="00101300"/>
    <w:rsid w:val="00103B41"/>
    <w:rsid w:val="001041E4"/>
    <w:rsid w:val="00104B6D"/>
    <w:rsid w:val="00104B7D"/>
    <w:rsid w:val="001074B3"/>
    <w:rsid w:val="001100A3"/>
    <w:rsid w:val="001101EB"/>
    <w:rsid w:val="00111274"/>
    <w:rsid w:val="00111D67"/>
    <w:rsid w:val="001121C2"/>
    <w:rsid w:val="001146A2"/>
    <w:rsid w:val="00115B00"/>
    <w:rsid w:val="00115B4E"/>
    <w:rsid w:val="0011643A"/>
    <w:rsid w:val="001173C1"/>
    <w:rsid w:val="00117922"/>
    <w:rsid w:val="001205EE"/>
    <w:rsid w:val="0012276C"/>
    <w:rsid w:val="001242AF"/>
    <w:rsid w:val="00126C60"/>
    <w:rsid w:val="0013344B"/>
    <w:rsid w:val="00133A14"/>
    <w:rsid w:val="00135922"/>
    <w:rsid w:val="001368D6"/>
    <w:rsid w:val="0013796B"/>
    <w:rsid w:val="001404E3"/>
    <w:rsid w:val="00141586"/>
    <w:rsid w:val="001430DC"/>
    <w:rsid w:val="0014329D"/>
    <w:rsid w:val="001439DF"/>
    <w:rsid w:val="00143B5B"/>
    <w:rsid w:val="0014405A"/>
    <w:rsid w:val="00145CEA"/>
    <w:rsid w:val="001476C1"/>
    <w:rsid w:val="001504A4"/>
    <w:rsid w:val="00150E28"/>
    <w:rsid w:val="0015120B"/>
    <w:rsid w:val="001523D3"/>
    <w:rsid w:val="00153B5E"/>
    <w:rsid w:val="00154FBD"/>
    <w:rsid w:val="00155519"/>
    <w:rsid w:val="00155C01"/>
    <w:rsid w:val="00155F8C"/>
    <w:rsid w:val="00156DEA"/>
    <w:rsid w:val="00157D0C"/>
    <w:rsid w:val="00157E64"/>
    <w:rsid w:val="001611E4"/>
    <w:rsid w:val="00161A2C"/>
    <w:rsid w:val="0016227B"/>
    <w:rsid w:val="00165B2B"/>
    <w:rsid w:val="00165F35"/>
    <w:rsid w:val="001665E9"/>
    <w:rsid w:val="001671E2"/>
    <w:rsid w:val="0017157A"/>
    <w:rsid w:val="00171B4A"/>
    <w:rsid w:val="00174C76"/>
    <w:rsid w:val="00175435"/>
    <w:rsid w:val="0017623E"/>
    <w:rsid w:val="00176621"/>
    <w:rsid w:val="001773CF"/>
    <w:rsid w:val="00177966"/>
    <w:rsid w:val="00177E2C"/>
    <w:rsid w:val="00180DEE"/>
    <w:rsid w:val="0018139B"/>
    <w:rsid w:val="001814F6"/>
    <w:rsid w:val="0018241D"/>
    <w:rsid w:val="00183A9B"/>
    <w:rsid w:val="00183CE3"/>
    <w:rsid w:val="00184609"/>
    <w:rsid w:val="001869D0"/>
    <w:rsid w:val="001904C7"/>
    <w:rsid w:val="00193690"/>
    <w:rsid w:val="001940BC"/>
    <w:rsid w:val="00194DAB"/>
    <w:rsid w:val="0019511C"/>
    <w:rsid w:val="0019564D"/>
    <w:rsid w:val="001968AB"/>
    <w:rsid w:val="001A19E5"/>
    <w:rsid w:val="001A28C7"/>
    <w:rsid w:val="001A2C27"/>
    <w:rsid w:val="001A3559"/>
    <w:rsid w:val="001A6452"/>
    <w:rsid w:val="001A733F"/>
    <w:rsid w:val="001A77AB"/>
    <w:rsid w:val="001B03CF"/>
    <w:rsid w:val="001B03F7"/>
    <w:rsid w:val="001B1753"/>
    <w:rsid w:val="001B269A"/>
    <w:rsid w:val="001B36A8"/>
    <w:rsid w:val="001B4EB2"/>
    <w:rsid w:val="001C02F9"/>
    <w:rsid w:val="001C118B"/>
    <w:rsid w:val="001C28B2"/>
    <w:rsid w:val="001C65C0"/>
    <w:rsid w:val="001C69BC"/>
    <w:rsid w:val="001C7B12"/>
    <w:rsid w:val="001C7FA7"/>
    <w:rsid w:val="001D00E3"/>
    <w:rsid w:val="001D1D07"/>
    <w:rsid w:val="001D25A7"/>
    <w:rsid w:val="001D4FC4"/>
    <w:rsid w:val="001D5982"/>
    <w:rsid w:val="001D59DB"/>
    <w:rsid w:val="001D5ACE"/>
    <w:rsid w:val="001D5C4E"/>
    <w:rsid w:val="001D6D4F"/>
    <w:rsid w:val="001D7001"/>
    <w:rsid w:val="001E0F14"/>
    <w:rsid w:val="001E1C3C"/>
    <w:rsid w:val="001E1D2F"/>
    <w:rsid w:val="001E2C0D"/>
    <w:rsid w:val="001E2D46"/>
    <w:rsid w:val="001E2EA1"/>
    <w:rsid w:val="001E40DB"/>
    <w:rsid w:val="001E4C33"/>
    <w:rsid w:val="001E5545"/>
    <w:rsid w:val="001E59B6"/>
    <w:rsid w:val="001E5E4A"/>
    <w:rsid w:val="001E611D"/>
    <w:rsid w:val="001E6442"/>
    <w:rsid w:val="001F01B9"/>
    <w:rsid w:val="001F12AD"/>
    <w:rsid w:val="001F2A89"/>
    <w:rsid w:val="001F3700"/>
    <w:rsid w:val="001F3BB4"/>
    <w:rsid w:val="001F3E9B"/>
    <w:rsid w:val="001F4B90"/>
    <w:rsid w:val="001F4CED"/>
    <w:rsid w:val="001F580D"/>
    <w:rsid w:val="001F5B83"/>
    <w:rsid w:val="001F69D5"/>
    <w:rsid w:val="001F788E"/>
    <w:rsid w:val="00200010"/>
    <w:rsid w:val="0020057D"/>
    <w:rsid w:val="002007AF"/>
    <w:rsid w:val="002014A7"/>
    <w:rsid w:val="00201C8B"/>
    <w:rsid w:val="00202990"/>
    <w:rsid w:val="00205127"/>
    <w:rsid w:val="0021069E"/>
    <w:rsid w:val="002106DF"/>
    <w:rsid w:val="002106FD"/>
    <w:rsid w:val="00212648"/>
    <w:rsid w:val="00214FEF"/>
    <w:rsid w:val="00215FA5"/>
    <w:rsid w:val="00216405"/>
    <w:rsid w:val="00216534"/>
    <w:rsid w:val="00220DBE"/>
    <w:rsid w:val="00220F19"/>
    <w:rsid w:val="002226AE"/>
    <w:rsid w:val="002243A5"/>
    <w:rsid w:val="00224922"/>
    <w:rsid w:val="00224E88"/>
    <w:rsid w:val="002260F5"/>
    <w:rsid w:val="002263E9"/>
    <w:rsid w:val="00226C0C"/>
    <w:rsid w:val="00230D2B"/>
    <w:rsid w:val="0023147E"/>
    <w:rsid w:val="0023176E"/>
    <w:rsid w:val="00231D97"/>
    <w:rsid w:val="00231ED9"/>
    <w:rsid w:val="00233D76"/>
    <w:rsid w:val="00234052"/>
    <w:rsid w:val="00237B93"/>
    <w:rsid w:val="00240115"/>
    <w:rsid w:val="002429EA"/>
    <w:rsid w:val="00243241"/>
    <w:rsid w:val="00250222"/>
    <w:rsid w:val="00250E02"/>
    <w:rsid w:val="002514AC"/>
    <w:rsid w:val="00253635"/>
    <w:rsid w:val="00253E28"/>
    <w:rsid w:val="00257490"/>
    <w:rsid w:val="00260829"/>
    <w:rsid w:val="00262FCC"/>
    <w:rsid w:val="00263514"/>
    <w:rsid w:val="00265631"/>
    <w:rsid w:val="002659CB"/>
    <w:rsid w:val="00265BED"/>
    <w:rsid w:val="00267863"/>
    <w:rsid w:val="00267F3F"/>
    <w:rsid w:val="00270453"/>
    <w:rsid w:val="002728B3"/>
    <w:rsid w:val="00273725"/>
    <w:rsid w:val="002745E6"/>
    <w:rsid w:val="00276000"/>
    <w:rsid w:val="002761C9"/>
    <w:rsid w:val="002768D5"/>
    <w:rsid w:val="0027745A"/>
    <w:rsid w:val="002800E4"/>
    <w:rsid w:val="00280AE6"/>
    <w:rsid w:val="0028266F"/>
    <w:rsid w:val="00282E7C"/>
    <w:rsid w:val="00284C28"/>
    <w:rsid w:val="00284DBC"/>
    <w:rsid w:val="00284E0B"/>
    <w:rsid w:val="002860BE"/>
    <w:rsid w:val="0029256F"/>
    <w:rsid w:val="00292ACF"/>
    <w:rsid w:val="00293803"/>
    <w:rsid w:val="00294B93"/>
    <w:rsid w:val="00295303"/>
    <w:rsid w:val="002A02F5"/>
    <w:rsid w:val="002A15EC"/>
    <w:rsid w:val="002A377E"/>
    <w:rsid w:val="002A4B86"/>
    <w:rsid w:val="002A5117"/>
    <w:rsid w:val="002A67DC"/>
    <w:rsid w:val="002A6E7D"/>
    <w:rsid w:val="002A76D5"/>
    <w:rsid w:val="002A77DB"/>
    <w:rsid w:val="002B0797"/>
    <w:rsid w:val="002B15EE"/>
    <w:rsid w:val="002B3677"/>
    <w:rsid w:val="002B3FAD"/>
    <w:rsid w:val="002B5142"/>
    <w:rsid w:val="002B5FA3"/>
    <w:rsid w:val="002B6D86"/>
    <w:rsid w:val="002B725A"/>
    <w:rsid w:val="002C02D0"/>
    <w:rsid w:val="002C29A6"/>
    <w:rsid w:val="002C4112"/>
    <w:rsid w:val="002C7DAC"/>
    <w:rsid w:val="002D08DB"/>
    <w:rsid w:val="002D156E"/>
    <w:rsid w:val="002D2E7B"/>
    <w:rsid w:val="002D4237"/>
    <w:rsid w:val="002D513D"/>
    <w:rsid w:val="002D6D15"/>
    <w:rsid w:val="002D7799"/>
    <w:rsid w:val="002D7FA0"/>
    <w:rsid w:val="002E0FAF"/>
    <w:rsid w:val="002E51E5"/>
    <w:rsid w:val="002E59C4"/>
    <w:rsid w:val="002E5ED6"/>
    <w:rsid w:val="002E624D"/>
    <w:rsid w:val="002E75C2"/>
    <w:rsid w:val="002E7C38"/>
    <w:rsid w:val="002F1ED6"/>
    <w:rsid w:val="002F23D0"/>
    <w:rsid w:val="002F53DB"/>
    <w:rsid w:val="002F761F"/>
    <w:rsid w:val="002F7699"/>
    <w:rsid w:val="002F7D73"/>
    <w:rsid w:val="00300B89"/>
    <w:rsid w:val="003027C4"/>
    <w:rsid w:val="0030397E"/>
    <w:rsid w:val="00303C90"/>
    <w:rsid w:val="00304761"/>
    <w:rsid w:val="0030528D"/>
    <w:rsid w:val="0030611B"/>
    <w:rsid w:val="003071B0"/>
    <w:rsid w:val="00307395"/>
    <w:rsid w:val="00307649"/>
    <w:rsid w:val="00307940"/>
    <w:rsid w:val="003079C7"/>
    <w:rsid w:val="00307ECD"/>
    <w:rsid w:val="00312675"/>
    <w:rsid w:val="003130F9"/>
    <w:rsid w:val="0031336B"/>
    <w:rsid w:val="003157F2"/>
    <w:rsid w:val="00315B01"/>
    <w:rsid w:val="0031687B"/>
    <w:rsid w:val="003200D3"/>
    <w:rsid w:val="00322902"/>
    <w:rsid w:val="003242F6"/>
    <w:rsid w:val="00324E6B"/>
    <w:rsid w:val="00324ED9"/>
    <w:rsid w:val="00325113"/>
    <w:rsid w:val="00327C69"/>
    <w:rsid w:val="00331190"/>
    <w:rsid w:val="00334131"/>
    <w:rsid w:val="00334BB2"/>
    <w:rsid w:val="00336BBC"/>
    <w:rsid w:val="00336CD8"/>
    <w:rsid w:val="0033747A"/>
    <w:rsid w:val="00337BFC"/>
    <w:rsid w:val="00337D65"/>
    <w:rsid w:val="00341F8A"/>
    <w:rsid w:val="003426F4"/>
    <w:rsid w:val="00343ADE"/>
    <w:rsid w:val="00344740"/>
    <w:rsid w:val="0034521F"/>
    <w:rsid w:val="00351179"/>
    <w:rsid w:val="00353439"/>
    <w:rsid w:val="003553D3"/>
    <w:rsid w:val="00355D62"/>
    <w:rsid w:val="00355DC5"/>
    <w:rsid w:val="003569DD"/>
    <w:rsid w:val="00356AC3"/>
    <w:rsid w:val="00360EA0"/>
    <w:rsid w:val="00360FA9"/>
    <w:rsid w:val="003616B5"/>
    <w:rsid w:val="00362349"/>
    <w:rsid w:val="003635DC"/>
    <w:rsid w:val="00363940"/>
    <w:rsid w:val="00363AC3"/>
    <w:rsid w:val="0036488D"/>
    <w:rsid w:val="003658CE"/>
    <w:rsid w:val="0036593D"/>
    <w:rsid w:val="00367FCF"/>
    <w:rsid w:val="0037047D"/>
    <w:rsid w:val="00370E8D"/>
    <w:rsid w:val="003737E7"/>
    <w:rsid w:val="003739F1"/>
    <w:rsid w:val="00373EF4"/>
    <w:rsid w:val="003755B1"/>
    <w:rsid w:val="003763EE"/>
    <w:rsid w:val="00380045"/>
    <w:rsid w:val="003802D3"/>
    <w:rsid w:val="00382DCD"/>
    <w:rsid w:val="00384B87"/>
    <w:rsid w:val="003858E2"/>
    <w:rsid w:val="003875D0"/>
    <w:rsid w:val="003905BB"/>
    <w:rsid w:val="00390F88"/>
    <w:rsid w:val="00393287"/>
    <w:rsid w:val="00394C64"/>
    <w:rsid w:val="0039548D"/>
    <w:rsid w:val="0039597D"/>
    <w:rsid w:val="00396666"/>
    <w:rsid w:val="003A1262"/>
    <w:rsid w:val="003A1825"/>
    <w:rsid w:val="003A1E08"/>
    <w:rsid w:val="003A7175"/>
    <w:rsid w:val="003A788E"/>
    <w:rsid w:val="003B216A"/>
    <w:rsid w:val="003B2FC4"/>
    <w:rsid w:val="003B5B49"/>
    <w:rsid w:val="003B5FF7"/>
    <w:rsid w:val="003B6243"/>
    <w:rsid w:val="003B6490"/>
    <w:rsid w:val="003B6DE8"/>
    <w:rsid w:val="003B7451"/>
    <w:rsid w:val="003B7B60"/>
    <w:rsid w:val="003C03AD"/>
    <w:rsid w:val="003C0C26"/>
    <w:rsid w:val="003C0CF3"/>
    <w:rsid w:val="003C2897"/>
    <w:rsid w:val="003C3992"/>
    <w:rsid w:val="003D088E"/>
    <w:rsid w:val="003D0EFC"/>
    <w:rsid w:val="003D1912"/>
    <w:rsid w:val="003D28B7"/>
    <w:rsid w:val="003D49AC"/>
    <w:rsid w:val="003D4BE5"/>
    <w:rsid w:val="003D5A1F"/>
    <w:rsid w:val="003E6CED"/>
    <w:rsid w:val="003E6DBB"/>
    <w:rsid w:val="003F0A58"/>
    <w:rsid w:val="003F0A9D"/>
    <w:rsid w:val="003F166D"/>
    <w:rsid w:val="003F20B6"/>
    <w:rsid w:val="003F224B"/>
    <w:rsid w:val="003F6BFA"/>
    <w:rsid w:val="003F6FB4"/>
    <w:rsid w:val="003F7215"/>
    <w:rsid w:val="003F7867"/>
    <w:rsid w:val="004009F7"/>
    <w:rsid w:val="00400A74"/>
    <w:rsid w:val="00403194"/>
    <w:rsid w:val="00403F31"/>
    <w:rsid w:val="00405735"/>
    <w:rsid w:val="0040595B"/>
    <w:rsid w:val="00405D58"/>
    <w:rsid w:val="0040796D"/>
    <w:rsid w:val="00411EB3"/>
    <w:rsid w:val="004132D4"/>
    <w:rsid w:val="00413311"/>
    <w:rsid w:val="00414084"/>
    <w:rsid w:val="004147E1"/>
    <w:rsid w:val="004156E1"/>
    <w:rsid w:val="00415892"/>
    <w:rsid w:val="00415BC2"/>
    <w:rsid w:val="00416285"/>
    <w:rsid w:val="004163E3"/>
    <w:rsid w:val="00416CFF"/>
    <w:rsid w:val="00417376"/>
    <w:rsid w:val="00417765"/>
    <w:rsid w:val="00417E51"/>
    <w:rsid w:val="00420261"/>
    <w:rsid w:val="00420E3C"/>
    <w:rsid w:val="00425C0C"/>
    <w:rsid w:val="00425F82"/>
    <w:rsid w:val="00431D5F"/>
    <w:rsid w:val="00431EDB"/>
    <w:rsid w:val="00432369"/>
    <w:rsid w:val="00432DB2"/>
    <w:rsid w:val="004343B6"/>
    <w:rsid w:val="004356F1"/>
    <w:rsid w:val="00437591"/>
    <w:rsid w:val="004377B6"/>
    <w:rsid w:val="00440E03"/>
    <w:rsid w:val="0044138A"/>
    <w:rsid w:val="00441837"/>
    <w:rsid w:val="0044219B"/>
    <w:rsid w:val="00442D12"/>
    <w:rsid w:val="00442FBD"/>
    <w:rsid w:val="0044410E"/>
    <w:rsid w:val="004452CC"/>
    <w:rsid w:val="0044715D"/>
    <w:rsid w:val="00447B77"/>
    <w:rsid w:val="0045232D"/>
    <w:rsid w:val="00453155"/>
    <w:rsid w:val="00456966"/>
    <w:rsid w:val="0045763D"/>
    <w:rsid w:val="00460F54"/>
    <w:rsid w:val="00461460"/>
    <w:rsid w:val="00462790"/>
    <w:rsid w:val="00463A79"/>
    <w:rsid w:val="004647FB"/>
    <w:rsid w:val="00464F02"/>
    <w:rsid w:val="004669B8"/>
    <w:rsid w:val="00471764"/>
    <w:rsid w:val="004747A4"/>
    <w:rsid w:val="00475C56"/>
    <w:rsid w:val="004761D3"/>
    <w:rsid w:val="004769F9"/>
    <w:rsid w:val="00476E12"/>
    <w:rsid w:val="00481959"/>
    <w:rsid w:val="00481D5F"/>
    <w:rsid w:val="00485581"/>
    <w:rsid w:val="0048650A"/>
    <w:rsid w:val="004873CA"/>
    <w:rsid w:val="00487714"/>
    <w:rsid w:val="00490AF3"/>
    <w:rsid w:val="00491426"/>
    <w:rsid w:val="0049615C"/>
    <w:rsid w:val="00496C81"/>
    <w:rsid w:val="00497736"/>
    <w:rsid w:val="00497BB0"/>
    <w:rsid w:val="004A053C"/>
    <w:rsid w:val="004A1CC2"/>
    <w:rsid w:val="004A3147"/>
    <w:rsid w:val="004A3170"/>
    <w:rsid w:val="004A4BDD"/>
    <w:rsid w:val="004A559B"/>
    <w:rsid w:val="004A5684"/>
    <w:rsid w:val="004A5CC6"/>
    <w:rsid w:val="004A6476"/>
    <w:rsid w:val="004A7A00"/>
    <w:rsid w:val="004B23D8"/>
    <w:rsid w:val="004B3F0C"/>
    <w:rsid w:val="004B4DEC"/>
    <w:rsid w:val="004B54EE"/>
    <w:rsid w:val="004B69C7"/>
    <w:rsid w:val="004C032E"/>
    <w:rsid w:val="004C139C"/>
    <w:rsid w:val="004C1E37"/>
    <w:rsid w:val="004C1F96"/>
    <w:rsid w:val="004C4FF9"/>
    <w:rsid w:val="004D0A0C"/>
    <w:rsid w:val="004D1EBB"/>
    <w:rsid w:val="004D1FE1"/>
    <w:rsid w:val="004D2279"/>
    <w:rsid w:val="004D6C0A"/>
    <w:rsid w:val="004D78CD"/>
    <w:rsid w:val="004E07F8"/>
    <w:rsid w:val="004E0FFE"/>
    <w:rsid w:val="004E11AC"/>
    <w:rsid w:val="004E151E"/>
    <w:rsid w:val="004E1791"/>
    <w:rsid w:val="004E441F"/>
    <w:rsid w:val="004E5FBB"/>
    <w:rsid w:val="004F0122"/>
    <w:rsid w:val="004F11BD"/>
    <w:rsid w:val="004F13D6"/>
    <w:rsid w:val="004F2821"/>
    <w:rsid w:val="004F65F9"/>
    <w:rsid w:val="004F6D84"/>
    <w:rsid w:val="004F7491"/>
    <w:rsid w:val="00500E4F"/>
    <w:rsid w:val="00501F2A"/>
    <w:rsid w:val="005023F5"/>
    <w:rsid w:val="00502504"/>
    <w:rsid w:val="00503420"/>
    <w:rsid w:val="00503789"/>
    <w:rsid w:val="005051D6"/>
    <w:rsid w:val="00506E34"/>
    <w:rsid w:val="00510761"/>
    <w:rsid w:val="005108F3"/>
    <w:rsid w:val="00510EBB"/>
    <w:rsid w:val="005111CF"/>
    <w:rsid w:val="00511E96"/>
    <w:rsid w:val="00514002"/>
    <w:rsid w:val="00514E0C"/>
    <w:rsid w:val="005151A1"/>
    <w:rsid w:val="00516337"/>
    <w:rsid w:val="00516344"/>
    <w:rsid w:val="005165D1"/>
    <w:rsid w:val="00520354"/>
    <w:rsid w:val="0052045E"/>
    <w:rsid w:val="005215DE"/>
    <w:rsid w:val="00521C2C"/>
    <w:rsid w:val="005231FF"/>
    <w:rsid w:val="0052494A"/>
    <w:rsid w:val="00524B03"/>
    <w:rsid w:val="0052527D"/>
    <w:rsid w:val="00525436"/>
    <w:rsid w:val="00526E8A"/>
    <w:rsid w:val="005328B5"/>
    <w:rsid w:val="00533EDB"/>
    <w:rsid w:val="00534963"/>
    <w:rsid w:val="00535119"/>
    <w:rsid w:val="005352ED"/>
    <w:rsid w:val="0053676B"/>
    <w:rsid w:val="005370DA"/>
    <w:rsid w:val="00541C1D"/>
    <w:rsid w:val="00543CCE"/>
    <w:rsid w:val="00543D77"/>
    <w:rsid w:val="00546F32"/>
    <w:rsid w:val="00550599"/>
    <w:rsid w:val="0055127E"/>
    <w:rsid w:val="00551BEC"/>
    <w:rsid w:val="00551C1D"/>
    <w:rsid w:val="00551C42"/>
    <w:rsid w:val="00553905"/>
    <w:rsid w:val="00553C34"/>
    <w:rsid w:val="00554668"/>
    <w:rsid w:val="00554989"/>
    <w:rsid w:val="00555F43"/>
    <w:rsid w:val="00556C86"/>
    <w:rsid w:val="00557A10"/>
    <w:rsid w:val="00561CDC"/>
    <w:rsid w:val="005627C5"/>
    <w:rsid w:val="00562DB8"/>
    <w:rsid w:val="00564A62"/>
    <w:rsid w:val="00564AD8"/>
    <w:rsid w:val="00565469"/>
    <w:rsid w:val="0057185A"/>
    <w:rsid w:val="005720A3"/>
    <w:rsid w:val="00572F5D"/>
    <w:rsid w:val="0057335C"/>
    <w:rsid w:val="00574640"/>
    <w:rsid w:val="00575A1D"/>
    <w:rsid w:val="00575A39"/>
    <w:rsid w:val="00575E80"/>
    <w:rsid w:val="0057603D"/>
    <w:rsid w:val="00576AA7"/>
    <w:rsid w:val="005820B0"/>
    <w:rsid w:val="005836C7"/>
    <w:rsid w:val="00583FC6"/>
    <w:rsid w:val="00585050"/>
    <w:rsid w:val="00585942"/>
    <w:rsid w:val="005868CC"/>
    <w:rsid w:val="005870E1"/>
    <w:rsid w:val="005872D7"/>
    <w:rsid w:val="00587CC0"/>
    <w:rsid w:val="00591EEC"/>
    <w:rsid w:val="00592625"/>
    <w:rsid w:val="0059527D"/>
    <w:rsid w:val="0059673A"/>
    <w:rsid w:val="005967BB"/>
    <w:rsid w:val="005974A2"/>
    <w:rsid w:val="005A0D15"/>
    <w:rsid w:val="005A12F0"/>
    <w:rsid w:val="005A1A43"/>
    <w:rsid w:val="005A1B7D"/>
    <w:rsid w:val="005A1BC0"/>
    <w:rsid w:val="005A2165"/>
    <w:rsid w:val="005A2963"/>
    <w:rsid w:val="005A34CC"/>
    <w:rsid w:val="005A52B4"/>
    <w:rsid w:val="005A5C66"/>
    <w:rsid w:val="005A6C5B"/>
    <w:rsid w:val="005A7074"/>
    <w:rsid w:val="005B034E"/>
    <w:rsid w:val="005B27CE"/>
    <w:rsid w:val="005B410B"/>
    <w:rsid w:val="005B431E"/>
    <w:rsid w:val="005B4F81"/>
    <w:rsid w:val="005B508D"/>
    <w:rsid w:val="005B7700"/>
    <w:rsid w:val="005B7C5B"/>
    <w:rsid w:val="005C0878"/>
    <w:rsid w:val="005C151B"/>
    <w:rsid w:val="005C1B0E"/>
    <w:rsid w:val="005C1D80"/>
    <w:rsid w:val="005C27B7"/>
    <w:rsid w:val="005C402E"/>
    <w:rsid w:val="005C4FBB"/>
    <w:rsid w:val="005C523D"/>
    <w:rsid w:val="005C5DF0"/>
    <w:rsid w:val="005D0C62"/>
    <w:rsid w:val="005D0D8D"/>
    <w:rsid w:val="005D3849"/>
    <w:rsid w:val="005D3EBC"/>
    <w:rsid w:val="005D732C"/>
    <w:rsid w:val="005E0F1D"/>
    <w:rsid w:val="005E1BF1"/>
    <w:rsid w:val="005E23CF"/>
    <w:rsid w:val="005E34EB"/>
    <w:rsid w:val="005E4C2D"/>
    <w:rsid w:val="005F0CEE"/>
    <w:rsid w:val="005F0FB2"/>
    <w:rsid w:val="005F1093"/>
    <w:rsid w:val="005F2946"/>
    <w:rsid w:val="005F39BE"/>
    <w:rsid w:val="005F4BBB"/>
    <w:rsid w:val="005F5DBC"/>
    <w:rsid w:val="005F5E34"/>
    <w:rsid w:val="005F7814"/>
    <w:rsid w:val="006002C2"/>
    <w:rsid w:val="00601D31"/>
    <w:rsid w:val="00602D2B"/>
    <w:rsid w:val="00602E80"/>
    <w:rsid w:val="00605E3E"/>
    <w:rsid w:val="006100E4"/>
    <w:rsid w:val="0061173D"/>
    <w:rsid w:val="0061175E"/>
    <w:rsid w:val="00615628"/>
    <w:rsid w:val="006169EE"/>
    <w:rsid w:val="00617596"/>
    <w:rsid w:val="00620ACF"/>
    <w:rsid w:val="00622233"/>
    <w:rsid w:val="00623523"/>
    <w:rsid w:val="006240E1"/>
    <w:rsid w:val="00626A50"/>
    <w:rsid w:val="00627DF2"/>
    <w:rsid w:val="006301B2"/>
    <w:rsid w:val="0063116E"/>
    <w:rsid w:val="00631F6B"/>
    <w:rsid w:val="006324BA"/>
    <w:rsid w:val="00633249"/>
    <w:rsid w:val="00634C20"/>
    <w:rsid w:val="006353CF"/>
    <w:rsid w:val="006378D6"/>
    <w:rsid w:val="006378ED"/>
    <w:rsid w:val="006405DF"/>
    <w:rsid w:val="00640687"/>
    <w:rsid w:val="00640EBD"/>
    <w:rsid w:val="00640EC7"/>
    <w:rsid w:val="00642123"/>
    <w:rsid w:val="006422C1"/>
    <w:rsid w:val="006433C4"/>
    <w:rsid w:val="00644593"/>
    <w:rsid w:val="006462A5"/>
    <w:rsid w:val="0064744D"/>
    <w:rsid w:val="00651268"/>
    <w:rsid w:val="006523F3"/>
    <w:rsid w:val="0065293D"/>
    <w:rsid w:val="0065427A"/>
    <w:rsid w:val="0065447B"/>
    <w:rsid w:val="00655B7E"/>
    <w:rsid w:val="00656A93"/>
    <w:rsid w:val="00660243"/>
    <w:rsid w:val="006602EC"/>
    <w:rsid w:val="00662910"/>
    <w:rsid w:val="00663417"/>
    <w:rsid w:val="0066438F"/>
    <w:rsid w:val="00664F23"/>
    <w:rsid w:val="006666E2"/>
    <w:rsid w:val="006672E8"/>
    <w:rsid w:val="00667E19"/>
    <w:rsid w:val="0067106F"/>
    <w:rsid w:val="00671EA6"/>
    <w:rsid w:val="00671F09"/>
    <w:rsid w:val="00672FC8"/>
    <w:rsid w:val="00675586"/>
    <w:rsid w:val="00675CA9"/>
    <w:rsid w:val="00676BE1"/>
    <w:rsid w:val="00677397"/>
    <w:rsid w:val="00680015"/>
    <w:rsid w:val="0068080D"/>
    <w:rsid w:val="00680B03"/>
    <w:rsid w:val="00681568"/>
    <w:rsid w:val="0068413B"/>
    <w:rsid w:val="006907BE"/>
    <w:rsid w:val="006909AC"/>
    <w:rsid w:val="00694E39"/>
    <w:rsid w:val="00695E2F"/>
    <w:rsid w:val="0069619B"/>
    <w:rsid w:val="006977D1"/>
    <w:rsid w:val="006A0352"/>
    <w:rsid w:val="006A06DD"/>
    <w:rsid w:val="006A0F0E"/>
    <w:rsid w:val="006A115E"/>
    <w:rsid w:val="006A3019"/>
    <w:rsid w:val="006A4D7C"/>
    <w:rsid w:val="006A6F64"/>
    <w:rsid w:val="006A7D84"/>
    <w:rsid w:val="006B0F3C"/>
    <w:rsid w:val="006B15D5"/>
    <w:rsid w:val="006B160D"/>
    <w:rsid w:val="006B2B89"/>
    <w:rsid w:val="006B32C5"/>
    <w:rsid w:val="006B32CD"/>
    <w:rsid w:val="006B370C"/>
    <w:rsid w:val="006B3C81"/>
    <w:rsid w:val="006B48F1"/>
    <w:rsid w:val="006B55E0"/>
    <w:rsid w:val="006B6B80"/>
    <w:rsid w:val="006B6DDA"/>
    <w:rsid w:val="006B71E2"/>
    <w:rsid w:val="006B7E31"/>
    <w:rsid w:val="006C14E3"/>
    <w:rsid w:val="006C26EA"/>
    <w:rsid w:val="006C2EAE"/>
    <w:rsid w:val="006C76FE"/>
    <w:rsid w:val="006C7F0E"/>
    <w:rsid w:val="006C7FC0"/>
    <w:rsid w:val="006D1CB6"/>
    <w:rsid w:val="006D337D"/>
    <w:rsid w:val="006D4D19"/>
    <w:rsid w:val="006D6E95"/>
    <w:rsid w:val="006E156C"/>
    <w:rsid w:val="006E4AE9"/>
    <w:rsid w:val="006E640B"/>
    <w:rsid w:val="006F00D3"/>
    <w:rsid w:val="006F1A12"/>
    <w:rsid w:val="006F21AE"/>
    <w:rsid w:val="006F2648"/>
    <w:rsid w:val="006F55BB"/>
    <w:rsid w:val="006F5CB3"/>
    <w:rsid w:val="007010A7"/>
    <w:rsid w:val="0070194C"/>
    <w:rsid w:val="00705119"/>
    <w:rsid w:val="00706D3E"/>
    <w:rsid w:val="0070713C"/>
    <w:rsid w:val="00707F98"/>
    <w:rsid w:val="007129B4"/>
    <w:rsid w:val="007144AF"/>
    <w:rsid w:val="0071667C"/>
    <w:rsid w:val="00716872"/>
    <w:rsid w:val="00720F85"/>
    <w:rsid w:val="007215ED"/>
    <w:rsid w:val="007228DE"/>
    <w:rsid w:val="00722937"/>
    <w:rsid w:val="00722A99"/>
    <w:rsid w:val="007237B4"/>
    <w:rsid w:val="007242A7"/>
    <w:rsid w:val="007246EB"/>
    <w:rsid w:val="00726151"/>
    <w:rsid w:val="00730627"/>
    <w:rsid w:val="00731702"/>
    <w:rsid w:val="007320DD"/>
    <w:rsid w:val="007321BE"/>
    <w:rsid w:val="00732577"/>
    <w:rsid w:val="007355B3"/>
    <w:rsid w:val="00735E66"/>
    <w:rsid w:val="00740123"/>
    <w:rsid w:val="00740394"/>
    <w:rsid w:val="00741BCD"/>
    <w:rsid w:val="007429A9"/>
    <w:rsid w:val="00743133"/>
    <w:rsid w:val="00743749"/>
    <w:rsid w:val="00743D8C"/>
    <w:rsid w:val="00743EEF"/>
    <w:rsid w:val="00744055"/>
    <w:rsid w:val="0074411E"/>
    <w:rsid w:val="0074585B"/>
    <w:rsid w:val="00745D0D"/>
    <w:rsid w:val="0074682E"/>
    <w:rsid w:val="007505BD"/>
    <w:rsid w:val="00750A60"/>
    <w:rsid w:val="00751974"/>
    <w:rsid w:val="007527BD"/>
    <w:rsid w:val="00752B14"/>
    <w:rsid w:val="007538CB"/>
    <w:rsid w:val="007542DA"/>
    <w:rsid w:val="00754F24"/>
    <w:rsid w:val="007566A4"/>
    <w:rsid w:val="007573E5"/>
    <w:rsid w:val="00760214"/>
    <w:rsid w:val="00762709"/>
    <w:rsid w:val="007631BB"/>
    <w:rsid w:val="007639DA"/>
    <w:rsid w:val="00765D45"/>
    <w:rsid w:val="00765D4B"/>
    <w:rsid w:val="00766B2E"/>
    <w:rsid w:val="00770148"/>
    <w:rsid w:val="00770305"/>
    <w:rsid w:val="007712A0"/>
    <w:rsid w:val="00771C2A"/>
    <w:rsid w:val="00773157"/>
    <w:rsid w:val="00774D93"/>
    <w:rsid w:val="0077616A"/>
    <w:rsid w:val="00776851"/>
    <w:rsid w:val="00781231"/>
    <w:rsid w:val="00781F3C"/>
    <w:rsid w:val="00782352"/>
    <w:rsid w:val="00782728"/>
    <w:rsid w:val="007919AF"/>
    <w:rsid w:val="007939B8"/>
    <w:rsid w:val="0079620E"/>
    <w:rsid w:val="00796AF6"/>
    <w:rsid w:val="007974B0"/>
    <w:rsid w:val="00797878"/>
    <w:rsid w:val="007A382B"/>
    <w:rsid w:val="007A5FC6"/>
    <w:rsid w:val="007A6022"/>
    <w:rsid w:val="007B0D13"/>
    <w:rsid w:val="007B1509"/>
    <w:rsid w:val="007B15DE"/>
    <w:rsid w:val="007B4A43"/>
    <w:rsid w:val="007B5E85"/>
    <w:rsid w:val="007B5F4C"/>
    <w:rsid w:val="007B61C3"/>
    <w:rsid w:val="007B6255"/>
    <w:rsid w:val="007B7139"/>
    <w:rsid w:val="007C1C59"/>
    <w:rsid w:val="007C1C92"/>
    <w:rsid w:val="007C392D"/>
    <w:rsid w:val="007C3B87"/>
    <w:rsid w:val="007C4FEC"/>
    <w:rsid w:val="007C64AB"/>
    <w:rsid w:val="007D01B9"/>
    <w:rsid w:val="007D1CF5"/>
    <w:rsid w:val="007D35B3"/>
    <w:rsid w:val="007D3EBD"/>
    <w:rsid w:val="007D4B76"/>
    <w:rsid w:val="007D58F1"/>
    <w:rsid w:val="007D741C"/>
    <w:rsid w:val="007E17E8"/>
    <w:rsid w:val="007E18E0"/>
    <w:rsid w:val="007E3A10"/>
    <w:rsid w:val="007E3C6E"/>
    <w:rsid w:val="007E48DD"/>
    <w:rsid w:val="007E4E23"/>
    <w:rsid w:val="007E591E"/>
    <w:rsid w:val="007E5B01"/>
    <w:rsid w:val="007E6D51"/>
    <w:rsid w:val="007E6DB1"/>
    <w:rsid w:val="007E74E2"/>
    <w:rsid w:val="007F0B91"/>
    <w:rsid w:val="007F0F24"/>
    <w:rsid w:val="007F2DF6"/>
    <w:rsid w:val="007F3E91"/>
    <w:rsid w:val="007F643B"/>
    <w:rsid w:val="007F6DEB"/>
    <w:rsid w:val="007F7045"/>
    <w:rsid w:val="0080062F"/>
    <w:rsid w:val="00801D10"/>
    <w:rsid w:val="00802979"/>
    <w:rsid w:val="008046E3"/>
    <w:rsid w:val="008111D7"/>
    <w:rsid w:val="008128FE"/>
    <w:rsid w:val="00812E38"/>
    <w:rsid w:val="00814051"/>
    <w:rsid w:val="0081562A"/>
    <w:rsid w:val="008158E5"/>
    <w:rsid w:val="00816D8C"/>
    <w:rsid w:val="0081793D"/>
    <w:rsid w:val="008205D1"/>
    <w:rsid w:val="00820E45"/>
    <w:rsid w:val="00822197"/>
    <w:rsid w:val="00822B6B"/>
    <w:rsid w:val="00822E00"/>
    <w:rsid w:val="008259FA"/>
    <w:rsid w:val="00827EF4"/>
    <w:rsid w:val="00831137"/>
    <w:rsid w:val="00831548"/>
    <w:rsid w:val="0083333A"/>
    <w:rsid w:val="008333B6"/>
    <w:rsid w:val="00833B82"/>
    <w:rsid w:val="00834280"/>
    <w:rsid w:val="00835DB7"/>
    <w:rsid w:val="00840EC7"/>
    <w:rsid w:val="0084254C"/>
    <w:rsid w:val="008427A9"/>
    <w:rsid w:val="0084395F"/>
    <w:rsid w:val="0084419D"/>
    <w:rsid w:val="00844262"/>
    <w:rsid w:val="008444DB"/>
    <w:rsid w:val="00844D6E"/>
    <w:rsid w:val="00845C14"/>
    <w:rsid w:val="00845C90"/>
    <w:rsid w:val="00846440"/>
    <w:rsid w:val="008543D8"/>
    <w:rsid w:val="00855024"/>
    <w:rsid w:val="00855453"/>
    <w:rsid w:val="00855F2E"/>
    <w:rsid w:val="008605C4"/>
    <w:rsid w:val="00862361"/>
    <w:rsid w:val="008641E5"/>
    <w:rsid w:val="00865393"/>
    <w:rsid w:val="00866F4D"/>
    <w:rsid w:val="008707B3"/>
    <w:rsid w:val="008717F9"/>
    <w:rsid w:val="00871C0B"/>
    <w:rsid w:val="00872D70"/>
    <w:rsid w:val="00872ED3"/>
    <w:rsid w:val="00874CEE"/>
    <w:rsid w:val="008768DC"/>
    <w:rsid w:val="008820FA"/>
    <w:rsid w:val="008823EC"/>
    <w:rsid w:val="00882E44"/>
    <w:rsid w:val="00883C34"/>
    <w:rsid w:val="008856AF"/>
    <w:rsid w:val="00885BC2"/>
    <w:rsid w:val="00890432"/>
    <w:rsid w:val="0089126D"/>
    <w:rsid w:val="008926D7"/>
    <w:rsid w:val="00892E0B"/>
    <w:rsid w:val="00895637"/>
    <w:rsid w:val="00896FA4"/>
    <w:rsid w:val="008A1430"/>
    <w:rsid w:val="008A2582"/>
    <w:rsid w:val="008A2787"/>
    <w:rsid w:val="008A36B7"/>
    <w:rsid w:val="008A3967"/>
    <w:rsid w:val="008A4B1B"/>
    <w:rsid w:val="008A5E82"/>
    <w:rsid w:val="008A62A5"/>
    <w:rsid w:val="008B4FCC"/>
    <w:rsid w:val="008B54F2"/>
    <w:rsid w:val="008C383C"/>
    <w:rsid w:val="008C501E"/>
    <w:rsid w:val="008C5BD9"/>
    <w:rsid w:val="008C5C59"/>
    <w:rsid w:val="008C6BD2"/>
    <w:rsid w:val="008D1D7B"/>
    <w:rsid w:val="008D22EF"/>
    <w:rsid w:val="008D34AF"/>
    <w:rsid w:val="008D3564"/>
    <w:rsid w:val="008D4765"/>
    <w:rsid w:val="008D483F"/>
    <w:rsid w:val="008D4C10"/>
    <w:rsid w:val="008D4C49"/>
    <w:rsid w:val="008E057B"/>
    <w:rsid w:val="008E06A6"/>
    <w:rsid w:val="008E08BD"/>
    <w:rsid w:val="008E21F2"/>
    <w:rsid w:val="008E3E07"/>
    <w:rsid w:val="008E42D6"/>
    <w:rsid w:val="008E61FA"/>
    <w:rsid w:val="008E7F80"/>
    <w:rsid w:val="008F02DD"/>
    <w:rsid w:val="008F1129"/>
    <w:rsid w:val="008F2F31"/>
    <w:rsid w:val="008F3E19"/>
    <w:rsid w:val="008F4285"/>
    <w:rsid w:val="008F6A24"/>
    <w:rsid w:val="008F7201"/>
    <w:rsid w:val="009006C5"/>
    <w:rsid w:val="009038A0"/>
    <w:rsid w:val="009043A5"/>
    <w:rsid w:val="009045AD"/>
    <w:rsid w:val="009051B3"/>
    <w:rsid w:val="00906321"/>
    <w:rsid w:val="009069A9"/>
    <w:rsid w:val="00907760"/>
    <w:rsid w:val="00910077"/>
    <w:rsid w:val="00910C0F"/>
    <w:rsid w:val="0091180B"/>
    <w:rsid w:val="00911A9B"/>
    <w:rsid w:val="00916C32"/>
    <w:rsid w:val="00917781"/>
    <w:rsid w:val="00920145"/>
    <w:rsid w:val="00922CFF"/>
    <w:rsid w:val="00924616"/>
    <w:rsid w:val="00924D24"/>
    <w:rsid w:val="00925220"/>
    <w:rsid w:val="009254C3"/>
    <w:rsid w:val="0092617A"/>
    <w:rsid w:val="0092653A"/>
    <w:rsid w:val="00926740"/>
    <w:rsid w:val="00930960"/>
    <w:rsid w:val="00932774"/>
    <w:rsid w:val="00933B49"/>
    <w:rsid w:val="00933B59"/>
    <w:rsid w:val="009345C9"/>
    <w:rsid w:val="009351EB"/>
    <w:rsid w:val="0093528B"/>
    <w:rsid w:val="00936089"/>
    <w:rsid w:val="009371C1"/>
    <w:rsid w:val="009401F8"/>
    <w:rsid w:val="009411E5"/>
    <w:rsid w:val="009412E4"/>
    <w:rsid w:val="0094137F"/>
    <w:rsid w:val="00941651"/>
    <w:rsid w:val="00942654"/>
    <w:rsid w:val="009442D8"/>
    <w:rsid w:val="009452AC"/>
    <w:rsid w:val="009460D6"/>
    <w:rsid w:val="009474BC"/>
    <w:rsid w:val="009502F5"/>
    <w:rsid w:val="0095058D"/>
    <w:rsid w:val="00950BD1"/>
    <w:rsid w:val="00950DE3"/>
    <w:rsid w:val="00951C3A"/>
    <w:rsid w:val="0095212D"/>
    <w:rsid w:val="009524CA"/>
    <w:rsid w:val="00954630"/>
    <w:rsid w:val="0095657C"/>
    <w:rsid w:val="00956654"/>
    <w:rsid w:val="009573A7"/>
    <w:rsid w:val="00960230"/>
    <w:rsid w:val="00963480"/>
    <w:rsid w:val="0096403D"/>
    <w:rsid w:val="00964A39"/>
    <w:rsid w:val="00965D5B"/>
    <w:rsid w:val="00966AF4"/>
    <w:rsid w:val="00966E39"/>
    <w:rsid w:val="009703DB"/>
    <w:rsid w:val="009711DE"/>
    <w:rsid w:val="009711E1"/>
    <w:rsid w:val="009711E6"/>
    <w:rsid w:val="0097215B"/>
    <w:rsid w:val="009731D9"/>
    <w:rsid w:val="00973E6B"/>
    <w:rsid w:val="009828C6"/>
    <w:rsid w:val="009846BD"/>
    <w:rsid w:val="00984EDB"/>
    <w:rsid w:val="00985CCD"/>
    <w:rsid w:val="009916A9"/>
    <w:rsid w:val="00991AC0"/>
    <w:rsid w:val="00992550"/>
    <w:rsid w:val="009930BA"/>
    <w:rsid w:val="00993EE3"/>
    <w:rsid w:val="0099449F"/>
    <w:rsid w:val="0099496E"/>
    <w:rsid w:val="00994AEA"/>
    <w:rsid w:val="00997453"/>
    <w:rsid w:val="009A051B"/>
    <w:rsid w:val="009A2414"/>
    <w:rsid w:val="009A4A1A"/>
    <w:rsid w:val="009A5877"/>
    <w:rsid w:val="009A62F4"/>
    <w:rsid w:val="009A7DFA"/>
    <w:rsid w:val="009B096E"/>
    <w:rsid w:val="009B19A9"/>
    <w:rsid w:val="009B1C10"/>
    <w:rsid w:val="009B2095"/>
    <w:rsid w:val="009B3AC5"/>
    <w:rsid w:val="009B3DAC"/>
    <w:rsid w:val="009B44E2"/>
    <w:rsid w:val="009B5574"/>
    <w:rsid w:val="009B6432"/>
    <w:rsid w:val="009B726A"/>
    <w:rsid w:val="009B79AF"/>
    <w:rsid w:val="009B7F81"/>
    <w:rsid w:val="009C3388"/>
    <w:rsid w:val="009C3E81"/>
    <w:rsid w:val="009C4130"/>
    <w:rsid w:val="009C4C9A"/>
    <w:rsid w:val="009D052A"/>
    <w:rsid w:val="009D097C"/>
    <w:rsid w:val="009D0C6C"/>
    <w:rsid w:val="009D1080"/>
    <w:rsid w:val="009D1894"/>
    <w:rsid w:val="009D21B8"/>
    <w:rsid w:val="009D2259"/>
    <w:rsid w:val="009D30CC"/>
    <w:rsid w:val="009D4557"/>
    <w:rsid w:val="009D663E"/>
    <w:rsid w:val="009D7455"/>
    <w:rsid w:val="009E044A"/>
    <w:rsid w:val="009E0C4B"/>
    <w:rsid w:val="009E2E03"/>
    <w:rsid w:val="009E2FDC"/>
    <w:rsid w:val="009E35C9"/>
    <w:rsid w:val="009E3A22"/>
    <w:rsid w:val="009E3A76"/>
    <w:rsid w:val="009E5935"/>
    <w:rsid w:val="009F0EA2"/>
    <w:rsid w:val="009F0F0E"/>
    <w:rsid w:val="009F1C22"/>
    <w:rsid w:val="009F2187"/>
    <w:rsid w:val="00A00665"/>
    <w:rsid w:val="00A01BB6"/>
    <w:rsid w:val="00A01FF1"/>
    <w:rsid w:val="00A04075"/>
    <w:rsid w:val="00A04661"/>
    <w:rsid w:val="00A0483D"/>
    <w:rsid w:val="00A04C90"/>
    <w:rsid w:val="00A05D88"/>
    <w:rsid w:val="00A05F1D"/>
    <w:rsid w:val="00A07748"/>
    <w:rsid w:val="00A105BD"/>
    <w:rsid w:val="00A107E6"/>
    <w:rsid w:val="00A1154D"/>
    <w:rsid w:val="00A120D7"/>
    <w:rsid w:val="00A12E2D"/>
    <w:rsid w:val="00A138E7"/>
    <w:rsid w:val="00A1603C"/>
    <w:rsid w:val="00A16947"/>
    <w:rsid w:val="00A173B0"/>
    <w:rsid w:val="00A17414"/>
    <w:rsid w:val="00A1769D"/>
    <w:rsid w:val="00A17A47"/>
    <w:rsid w:val="00A17BC6"/>
    <w:rsid w:val="00A21373"/>
    <w:rsid w:val="00A21E97"/>
    <w:rsid w:val="00A22167"/>
    <w:rsid w:val="00A23977"/>
    <w:rsid w:val="00A240AB"/>
    <w:rsid w:val="00A240FE"/>
    <w:rsid w:val="00A2516B"/>
    <w:rsid w:val="00A25B60"/>
    <w:rsid w:val="00A25CEA"/>
    <w:rsid w:val="00A25F77"/>
    <w:rsid w:val="00A262D0"/>
    <w:rsid w:val="00A27BB4"/>
    <w:rsid w:val="00A30EC1"/>
    <w:rsid w:val="00A318C1"/>
    <w:rsid w:val="00A3213A"/>
    <w:rsid w:val="00A3337A"/>
    <w:rsid w:val="00A361CE"/>
    <w:rsid w:val="00A362CD"/>
    <w:rsid w:val="00A36783"/>
    <w:rsid w:val="00A37767"/>
    <w:rsid w:val="00A40619"/>
    <w:rsid w:val="00A44A94"/>
    <w:rsid w:val="00A45102"/>
    <w:rsid w:val="00A46650"/>
    <w:rsid w:val="00A466D8"/>
    <w:rsid w:val="00A47F31"/>
    <w:rsid w:val="00A508B8"/>
    <w:rsid w:val="00A514D6"/>
    <w:rsid w:val="00A532A9"/>
    <w:rsid w:val="00A53F84"/>
    <w:rsid w:val="00A552DD"/>
    <w:rsid w:val="00A56315"/>
    <w:rsid w:val="00A572F4"/>
    <w:rsid w:val="00A604E8"/>
    <w:rsid w:val="00A6128D"/>
    <w:rsid w:val="00A64553"/>
    <w:rsid w:val="00A64EFE"/>
    <w:rsid w:val="00A66C4D"/>
    <w:rsid w:val="00A67FFA"/>
    <w:rsid w:val="00A7067A"/>
    <w:rsid w:val="00A70ADA"/>
    <w:rsid w:val="00A71986"/>
    <w:rsid w:val="00A719FE"/>
    <w:rsid w:val="00A71A91"/>
    <w:rsid w:val="00A72709"/>
    <w:rsid w:val="00A73245"/>
    <w:rsid w:val="00A750C2"/>
    <w:rsid w:val="00A77C2E"/>
    <w:rsid w:val="00A812DD"/>
    <w:rsid w:val="00A81A85"/>
    <w:rsid w:val="00A8255F"/>
    <w:rsid w:val="00A8375F"/>
    <w:rsid w:val="00A83DCE"/>
    <w:rsid w:val="00A83DCF"/>
    <w:rsid w:val="00A84490"/>
    <w:rsid w:val="00A84C23"/>
    <w:rsid w:val="00A86C1F"/>
    <w:rsid w:val="00A876EF"/>
    <w:rsid w:val="00A87A5D"/>
    <w:rsid w:val="00A903B7"/>
    <w:rsid w:val="00A9104D"/>
    <w:rsid w:val="00A9309D"/>
    <w:rsid w:val="00A935AF"/>
    <w:rsid w:val="00A96AE7"/>
    <w:rsid w:val="00AA01D3"/>
    <w:rsid w:val="00AA04C9"/>
    <w:rsid w:val="00AA0B92"/>
    <w:rsid w:val="00AA1ED6"/>
    <w:rsid w:val="00AA4A0A"/>
    <w:rsid w:val="00AA6F9E"/>
    <w:rsid w:val="00AA7C64"/>
    <w:rsid w:val="00AB010D"/>
    <w:rsid w:val="00AB0E71"/>
    <w:rsid w:val="00AB1E8E"/>
    <w:rsid w:val="00AB36D5"/>
    <w:rsid w:val="00AB48A7"/>
    <w:rsid w:val="00AB6276"/>
    <w:rsid w:val="00AB68A5"/>
    <w:rsid w:val="00AB7441"/>
    <w:rsid w:val="00AB79D0"/>
    <w:rsid w:val="00AC02C5"/>
    <w:rsid w:val="00AC095D"/>
    <w:rsid w:val="00AC0D2B"/>
    <w:rsid w:val="00AC11D5"/>
    <w:rsid w:val="00AC1640"/>
    <w:rsid w:val="00AC1ECE"/>
    <w:rsid w:val="00AC1FB8"/>
    <w:rsid w:val="00AC214D"/>
    <w:rsid w:val="00AC25E5"/>
    <w:rsid w:val="00AC35AD"/>
    <w:rsid w:val="00AC4292"/>
    <w:rsid w:val="00AC64B4"/>
    <w:rsid w:val="00AC6D53"/>
    <w:rsid w:val="00AC7691"/>
    <w:rsid w:val="00AD0D8E"/>
    <w:rsid w:val="00AD21EA"/>
    <w:rsid w:val="00AD2791"/>
    <w:rsid w:val="00AD3A28"/>
    <w:rsid w:val="00AD3ECC"/>
    <w:rsid w:val="00AD4AA8"/>
    <w:rsid w:val="00AD69C3"/>
    <w:rsid w:val="00AD6E6D"/>
    <w:rsid w:val="00AD7503"/>
    <w:rsid w:val="00AD762F"/>
    <w:rsid w:val="00AD7C78"/>
    <w:rsid w:val="00AE023E"/>
    <w:rsid w:val="00AE0E3C"/>
    <w:rsid w:val="00AE2C41"/>
    <w:rsid w:val="00AE47F7"/>
    <w:rsid w:val="00AE4A92"/>
    <w:rsid w:val="00AE6591"/>
    <w:rsid w:val="00AE6D86"/>
    <w:rsid w:val="00AF2DC5"/>
    <w:rsid w:val="00AF3318"/>
    <w:rsid w:val="00AF3749"/>
    <w:rsid w:val="00AF534B"/>
    <w:rsid w:val="00AF6240"/>
    <w:rsid w:val="00AF691A"/>
    <w:rsid w:val="00AF6DEC"/>
    <w:rsid w:val="00AF7AC4"/>
    <w:rsid w:val="00B0031E"/>
    <w:rsid w:val="00B02197"/>
    <w:rsid w:val="00B0294D"/>
    <w:rsid w:val="00B057C6"/>
    <w:rsid w:val="00B076E8"/>
    <w:rsid w:val="00B1091D"/>
    <w:rsid w:val="00B110E0"/>
    <w:rsid w:val="00B1186A"/>
    <w:rsid w:val="00B11E54"/>
    <w:rsid w:val="00B11F03"/>
    <w:rsid w:val="00B14523"/>
    <w:rsid w:val="00B165B9"/>
    <w:rsid w:val="00B16BF9"/>
    <w:rsid w:val="00B16C2B"/>
    <w:rsid w:val="00B16F17"/>
    <w:rsid w:val="00B17499"/>
    <w:rsid w:val="00B17CD6"/>
    <w:rsid w:val="00B21548"/>
    <w:rsid w:val="00B21D76"/>
    <w:rsid w:val="00B22A5F"/>
    <w:rsid w:val="00B236CD"/>
    <w:rsid w:val="00B23F51"/>
    <w:rsid w:val="00B24978"/>
    <w:rsid w:val="00B279F7"/>
    <w:rsid w:val="00B3246F"/>
    <w:rsid w:val="00B3416E"/>
    <w:rsid w:val="00B34359"/>
    <w:rsid w:val="00B34DD5"/>
    <w:rsid w:val="00B34EF4"/>
    <w:rsid w:val="00B3527A"/>
    <w:rsid w:val="00B36A2C"/>
    <w:rsid w:val="00B400BF"/>
    <w:rsid w:val="00B4031F"/>
    <w:rsid w:val="00B4047B"/>
    <w:rsid w:val="00B43695"/>
    <w:rsid w:val="00B51D99"/>
    <w:rsid w:val="00B51FD5"/>
    <w:rsid w:val="00B5200A"/>
    <w:rsid w:val="00B529FB"/>
    <w:rsid w:val="00B529FC"/>
    <w:rsid w:val="00B536F0"/>
    <w:rsid w:val="00B53783"/>
    <w:rsid w:val="00B5415B"/>
    <w:rsid w:val="00B54B95"/>
    <w:rsid w:val="00B57139"/>
    <w:rsid w:val="00B6096B"/>
    <w:rsid w:val="00B61766"/>
    <w:rsid w:val="00B617B0"/>
    <w:rsid w:val="00B63ED8"/>
    <w:rsid w:val="00B642A8"/>
    <w:rsid w:val="00B65787"/>
    <w:rsid w:val="00B65F6C"/>
    <w:rsid w:val="00B66353"/>
    <w:rsid w:val="00B67B35"/>
    <w:rsid w:val="00B709F4"/>
    <w:rsid w:val="00B70A21"/>
    <w:rsid w:val="00B70B2F"/>
    <w:rsid w:val="00B722C9"/>
    <w:rsid w:val="00B7303E"/>
    <w:rsid w:val="00B7352F"/>
    <w:rsid w:val="00B737BD"/>
    <w:rsid w:val="00B753FC"/>
    <w:rsid w:val="00B75A49"/>
    <w:rsid w:val="00B76BA1"/>
    <w:rsid w:val="00B77357"/>
    <w:rsid w:val="00B80A27"/>
    <w:rsid w:val="00B80B95"/>
    <w:rsid w:val="00B82929"/>
    <w:rsid w:val="00B84811"/>
    <w:rsid w:val="00B8519E"/>
    <w:rsid w:val="00B857C7"/>
    <w:rsid w:val="00B85CD7"/>
    <w:rsid w:val="00B905E4"/>
    <w:rsid w:val="00B9297A"/>
    <w:rsid w:val="00B92C22"/>
    <w:rsid w:val="00B92E1F"/>
    <w:rsid w:val="00B9408B"/>
    <w:rsid w:val="00B94680"/>
    <w:rsid w:val="00B94F2D"/>
    <w:rsid w:val="00B96801"/>
    <w:rsid w:val="00B979A5"/>
    <w:rsid w:val="00B97B04"/>
    <w:rsid w:val="00BA45C0"/>
    <w:rsid w:val="00BA5911"/>
    <w:rsid w:val="00BA62FA"/>
    <w:rsid w:val="00BA7F23"/>
    <w:rsid w:val="00BB13F6"/>
    <w:rsid w:val="00BB18AC"/>
    <w:rsid w:val="00BB34E9"/>
    <w:rsid w:val="00BB3B04"/>
    <w:rsid w:val="00BB3E7F"/>
    <w:rsid w:val="00BB40D1"/>
    <w:rsid w:val="00BB5FCB"/>
    <w:rsid w:val="00BB73CA"/>
    <w:rsid w:val="00BB7B9C"/>
    <w:rsid w:val="00BC10DE"/>
    <w:rsid w:val="00BC1833"/>
    <w:rsid w:val="00BC1B89"/>
    <w:rsid w:val="00BC200D"/>
    <w:rsid w:val="00BC4162"/>
    <w:rsid w:val="00BC48B4"/>
    <w:rsid w:val="00BC6B31"/>
    <w:rsid w:val="00BC6D92"/>
    <w:rsid w:val="00BC7507"/>
    <w:rsid w:val="00BD0FA0"/>
    <w:rsid w:val="00BD500F"/>
    <w:rsid w:val="00BD6638"/>
    <w:rsid w:val="00BD6A03"/>
    <w:rsid w:val="00BE11FA"/>
    <w:rsid w:val="00BE1B82"/>
    <w:rsid w:val="00BE2D8D"/>
    <w:rsid w:val="00BE608B"/>
    <w:rsid w:val="00BE6C8B"/>
    <w:rsid w:val="00BF3BC8"/>
    <w:rsid w:val="00BF42A2"/>
    <w:rsid w:val="00BF4496"/>
    <w:rsid w:val="00BF4E11"/>
    <w:rsid w:val="00BF5FF3"/>
    <w:rsid w:val="00C00470"/>
    <w:rsid w:val="00C02A0D"/>
    <w:rsid w:val="00C10A15"/>
    <w:rsid w:val="00C110E9"/>
    <w:rsid w:val="00C11354"/>
    <w:rsid w:val="00C13C8E"/>
    <w:rsid w:val="00C13D22"/>
    <w:rsid w:val="00C15A06"/>
    <w:rsid w:val="00C15D32"/>
    <w:rsid w:val="00C2059D"/>
    <w:rsid w:val="00C22632"/>
    <w:rsid w:val="00C24227"/>
    <w:rsid w:val="00C24995"/>
    <w:rsid w:val="00C24BAA"/>
    <w:rsid w:val="00C24DB1"/>
    <w:rsid w:val="00C25CF0"/>
    <w:rsid w:val="00C27ABF"/>
    <w:rsid w:val="00C30880"/>
    <w:rsid w:val="00C32AB1"/>
    <w:rsid w:val="00C343F7"/>
    <w:rsid w:val="00C34736"/>
    <w:rsid w:val="00C3543D"/>
    <w:rsid w:val="00C3598B"/>
    <w:rsid w:val="00C377DA"/>
    <w:rsid w:val="00C400A5"/>
    <w:rsid w:val="00C413AB"/>
    <w:rsid w:val="00C41FC5"/>
    <w:rsid w:val="00C42A7C"/>
    <w:rsid w:val="00C435B6"/>
    <w:rsid w:val="00C475CF"/>
    <w:rsid w:val="00C47826"/>
    <w:rsid w:val="00C53773"/>
    <w:rsid w:val="00C56B48"/>
    <w:rsid w:val="00C56F16"/>
    <w:rsid w:val="00C575DC"/>
    <w:rsid w:val="00C57659"/>
    <w:rsid w:val="00C579DB"/>
    <w:rsid w:val="00C602C0"/>
    <w:rsid w:val="00C60417"/>
    <w:rsid w:val="00C60976"/>
    <w:rsid w:val="00C61484"/>
    <w:rsid w:val="00C62121"/>
    <w:rsid w:val="00C621F1"/>
    <w:rsid w:val="00C65076"/>
    <w:rsid w:val="00C651F0"/>
    <w:rsid w:val="00C664F0"/>
    <w:rsid w:val="00C670A1"/>
    <w:rsid w:val="00C675A1"/>
    <w:rsid w:val="00C6799F"/>
    <w:rsid w:val="00C67C07"/>
    <w:rsid w:val="00C70690"/>
    <w:rsid w:val="00C72161"/>
    <w:rsid w:val="00C724CD"/>
    <w:rsid w:val="00C73510"/>
    <w:rsid w:val="00C736CD"/>
    <w:rsid w:val="00C7591A"/>
    <w:rsid w:val="00C759FF"/>
    <w:rsid w:val="00C75D54"/>
    <w:rsid w:val="00C76FF7"/>
    <w:rsid w:val="00C8021E"/>
    <w:rsid w:val="00C80239"/>
    <w:rsid w:val="00C810BB"/>
    <w:rsid w:val="00C8169B"/>
    <w:rsid w:val="00C82129"/>
    <w:rsid w:val="00C844CE"/>
    <w:rsid w:val="00C849B2"/>
    <w:rsid w:val="00C8720B"/>
    <w:rsid w:val="00C917D5"/>
    <w:rsid w:val="00C92FC8"/>
    <w:rsid w:val="00C935BE"/>
    <w:rsid w:val="00C93D54"/>
    <w:rsid w:val="00C940EB"/>
    <w:rsid w:val="00C94964"/>
    <w:rsid w:val="00C95FFA"/>
    <w:rsid w:val="00C965DD"/>
    <w:rsid w:val="00C97FC4"/>
    <w:rsid w:val="00CA0278"/>
    <w:rsid w:val="00CA05F9"/>
    <w:rsid w:val="00CA2C73"/>
    <w:rsid w:val="00CA2EA0"/>
    <w:rsid w:val="00CA2EDB"/>
    <w:rsid w:val="00CA30FF"/>
    <w:rsid w:val="00CA35D5"/>
    <w:rsid w:val="00CA4192"/>
    <w:rsid w:val="00CA5390"/>
    <w:rsid w:val="00CA5CA5"/>
    <w:rsid w:val="00CA7531"/>
    <w:rsid w:val="00CA7B7D"/>
    <w:rsid w:val="00CB05F8"/>
    <w:rsid w:val="00CB0925"/>
    <w:rsid w:val="00CB1772"/>
    <w:rsid w:val="00CB1EEB"/>
    <w:rsid w:val="00CB203B"/>
    <w:rsid w:val="00CB225E"/>
    <w:rsid w:val="00CB470C"/>
    <w:rsid w:val="00CB5D6D"/>
    <w:rsid w:val="00CB7838"/>
    <w:rsid w:val="00CC437D"/>
    <w:rsid w:val="00CC460F"/>
    <w:rsid w:val="00CC68DF"/>
    <w:rsid w:val="00CC7289"/>
    <w:rsid w:val="00CD2507"/>
    <w:rsid w:val="00CD469F"/>
    <w:rsid w:val="00CD7A9A"/>
    <w:rsid w:val="00CE15EB"/>
    <w:rsid w:val="00CE1997"/>
    <w:rsid w:val="00CE1A9B"/>
    <w:rsid w:val="00CE1E57"/>
    <w:rsid w:val="00CE47D4"/>
    <w:rsid w:val="00CE5E84"/>
    <w:rsid w:val="00CE5F32"/>
    <w:rsid w:val="00CE6138"/>
    <w:rsid w:val="00CE6341"/>
    <w:rsid w:val="00CE66CF"/>
    <w:rsid w:val="00CE6B5C"/>
    <w:rsid w:val="00CE74E8"/>
    <w:rsid w:val="00CE7B48"/>
    <w:rsid w:val="00CF01FE"/>
    <w:rsid w:val="00CF0CE2"/>
    <w:rsid w:val="00CF144F"/>
    <w:rsid w:val="00CF263C"/>
    <w:rsid w:val="00CF4584"/>
    <w:rsid w:val="00CF5D7D"/>
    <w:rsid w:val="00CF6899"/>
    <w:rsid w:val="00CF70DA"/>
    <w:rsid w:val="00CF7869"/>
    <w:rsid w:val="00D000D7"/>
    <w:rsid w:val="00D0018E"/>
    <w:rsid w:val="00D07155"/>
    <w:rsid w:val="00D073AC"/>
    <w:rsid w:val="00D10616"/>
    <w:rsid w:val="00D1084F"/>
    <w:rsid w:val="00D11ED3"/>
    <w:rsid w:val="00D12591"/>
    <w:rsid w:val="00D12715"/>
    <w:rsid w:val="00D127BE"/>
    <w:rsid w:val="00D12E0C"/>
    <w:rsid w:val="00D13301"/>
    <w:rsid w:val="00D13E4F"/>
    <w:rsid w:val="00D13FC7"/>
    <w:rsid w:val="00D14181"/>
    <w:rsid w:val="00D146E7"/>
    <w:rsid w:val="00D14A1D"/>
    <w:rsid w:val="00D15408"/>
    <w:rsid w:val="00D15E44"/>
    <w:rsid w:val="00D15F3C"/>
    <w:rsid w:val="00D16ED6"/>
    <w:rsid w:val="00D209A6"/>
    <w:rsid w:val="00D21A73"/>
    <w:rsid w:val="00D23B6C"/>
    <w:rsid w:val="00D24A6C"/>
    <w:rsid w:val="00D2755C"/>
    <w:rsid w:val="00D3003C"/>
    <w:rsid w:val="00D30178"/>
    <w:rsid w:val="00D32439"/>
    <w:rsid w:val="00D328AD"/>
    <w:rsid w:val="00D33E30"/>
    <w:rsid w:val="00D340B3"/>
    <w:rsid w:val="00D41928"/>
    <w:rsid w:val="00D421E6"/>
    <w:rsid w:val="00D42603"/>
    <w:rsid w:val="00D42EE2"/>
    <w:rsid w:val="00D45B5B"/>
    <w:rsid w:val="00D45DE0"/>
    <w:rsid w:val="00D462B0"/>
    <w:rsid w:val="00D467F3"/>
    <w:rsid w:val="00D4710F"/>
    <w:rsid w:val="00D4779C"/>
    <w:rsid w:val="00D52DFC"/>
    <w:rsid w:val="00D53E61"/>
    <w:rsid w:val="00D5491F"/>
    <w:rsid w:val="00D54E3A"/>
    <w:rsid w:val="00D55D35"/>
    <w:rsid w:val="00D562CD"/>
    <w:rsid w:val="00D56AA2"/>
    <w:rsid w:val="00D5736D"/>
    <w:rsid w:val="00D5756C"/>
    <w:rsid w:val="00D60FEF"/>
    <w:rsid w:val="00D612C2"/>
    <w:rsid w:val="00D6530F"/>
    <w:rsid w:val="00D66725"/>
    <w:rsid w:val="00D70FB6"/>
    <w:rsid w:val="00D72C13"/>
    <w:rsid w:val="00D736CB"/>
    <w:rsid w:val="00D738EF"/>
    <w:rsid w:val="00D75A8D"/>
    <w:rsid w:val="00D76F98"/>
    <w:rsid w:val="00D7716F"/>
    <w:rsid w:val="00D809EE"/>
    <w:rsid w:val="00D8150D"/>
    <w:rsid w:val="00D81549"/>
    <w:rsid w:val="00D84854"/>
    <w:rsid w:val="00D8584E"/>
    <w:rsid w:val="00D85E95"/>
    <w:rsid w:val="00D86603"/>
    <w:rsid w:val="00D92ED3"/>
    <w:rsid w:val="00D93460"/>
    <w:rsid w:val="00D9469A"/>
    <w:rsid w:val="00D95E78"/>
    <w:rsid w:val="00D97968"/>
    <w:rsid w:val="00D97AB0"/>
    <w:rsid w:val="00DA18D1"/>
    <w:rsid w:val="00DA2726"/>
    <w:rsid w:val="00DA2A92"/>
    <w:rsid w:val="00DA33A8"/>
    <w:rsid w:val="00DA3F9B"/>
    <w:rsid w:val="00DA44C4"/>
    <w:rsid w:val="00DA5B0A"/>
    <w:rsid w:val="00DA611E"/>
    <w:rsid w:val="00DA71AC"/>
    <w:rsid w:val="00DA71E4"/>
    <w:rsid w:val="00DA721D"/>
    <w:rsid w:val="00DB06E1"/>
    <w:rsid w:val="00DB1710"/>
    <w:rsid w:val="00DB1AA4"/>
    <w:rsid w:val="00DB1B03"/>
    <w:rsid w:val="00DB3D89"/>
    <w:rsid w:val="00DB465D"/>
    <w:rsid w:val="00DB50C4"/>
    <w:rsid w:val="00DB5B97"/>
    <w:rsid w:val="00DB6E92"/>
    <w:rsid w:val="00DB768A"/>
    <w:rsid w:val="00DC0AF0"/>
    <w:rsid w:val="00DC299C"/>
    <w:rsid w:val="00DC3119"/>
    <w:rsid w:val="00DC58F4"/>
    <w:rsid w:val="00DC6AE7"/>
    <w:rsid w:val="00DC6D7E"/>
    <w:rsid w:val="00DC7D05"/>
    <w:rsid w:val="00DD0B37"/>
    <w:rsid w:val="00DD21ED"/>
    <w:rsid w:val="00DD3023"/>
    <w:rsid w:val="00DD3DBA"/>
    <w:rsid w:val="00DD4295"/>
    <w:rsid w:val="00DD5B42"/>
    <w:rsid w:val="00DD73DE"/>
    <w:rsid w:val="00DE0483"/>
    <w:rsid w:val="00DE04E9"/>
    <w:rsid w:val="00DE0802"/>
    <w:rsid w:val="00DE0DA6"/>
    <w:rsid w:val="00DE0FCD"/>
    <w:rsid w:val="00DE2EB3"/>
    <w:rsid w:val="00DE3F27"/>
    <w:rsid w:val="00DE419E"/>
    <w:rsid w:val="00DE5064"/>
    <w:rsid w:val="00DE5612"/>
    <w:rsid w:val="00DE63E3"/>
    <w:rsid w:val="00DE6DA2"/>
    <w:rsid w:val="00DE7296"/>
    <w:rsid w:val="00DF275B"/>
    <w:rsid w:val="00DF6465"/>
    <w:rsid w:val="00DF66E2"/>
    <w:rsid w:val="00DF710B"/>
    <w:rsid w:val="00DF7D17"/>
    <w:rsid w:val="00E002BA"/>
    <w:rsid w:val="00E02240"/>
    <w:rsid w:val="00E02A91"/>
    <w:rsid w:val="00E0468B"/>
    <w:rsid w:val="00E06255"/>
    <w:rsid w:val="00E10D4F"/>
    <w:rsid w:val="00E112E5"/>
    <w:rsid w:val="00E1154E"/>
    <w:rsid w:val="00E11FA9"/>
    <w:rsid w:val="00E12266"/>
    <w:rsid w:val="00E14BBA"/>
    <w:rsid w:val="00E16335"/>
    <w:rsid w:val="00E17B31"/>
    <w:rsid w:val="00E17E38"/>
    <w:rsid w:val="00E2025B"/>
    <w:rsid w:val="00E2170B"/>
    <w:rsid w:val="00E23BD4"/>
    <w:rsid w:val="00E24331"/>
    <w:rsid w:val="00E27248"/>
    <w:rsid w:val="00E303E8"/>
    <w:rsid w:val="00E30498"/>
    <w:rsid w:val="00E3100C"/>
    <w:rsid w:val="00E3179C"/>
    <w:rsid w:val="00E32FC8"/>
    <w:rsid w:val="00E33135"/>
    <w:rsid w:val="00E33D71"/>
    <w:rsid w:val="00E3470D"/>
    <w:rsid w:val="00E359D8"/>
    <w:rsid w:val="00E35A75"/>
    <w:rsid w:val="00E3604C"/>
    <w:rsid w:val="00E36552"/>
    <w:rsid w:val="00E36992"/>
    <w:rsid w:val="00E419A3"/>
    <w:rsid w:val="00E41E8C"/>
    <w:rsid w:val="00E435DD"/>
    <w:rsid w:val="00E45306"/>
    <w:rsid w:val="00E51BED"/>
    <w:rsid w:val="00E52157"/>
    <w:rsid w:val="00E56B1D"/>
    <w:rsid w:val="00E56E31"/>
    <w:rsid w:val="00E576E3"/>
    <w:rsid w:val="00E603DF"/>
    <w:rsid w:val="00E60793"/>
    <w:rsid w:val="00E61E33"/>
    <w:rsid w:val="00E62870"/>
    <w:rsid w:val="00E63ACE"/>
    <w:rsid w:val="00E648C9"/>
    <w:rsid w:val="00E64947"/>
    <w:rsid w:val="00E65DB0"/>
    <w:rsid w:val="00E663EA"/>
    <w:rsid w:val="00E6645F"/>
    <w:rsid w:val="00E66A64"/>
    <w:rsid w:val="00E66D82"/>
    <w:rsid w:val="00E71014"/>
    <w:rsid w:val="00E71F24"/>
    <w:rsid w:val="00E729B5"/>
    <w:rsid w:val="00E7477F"/>
    <w:rsid w:val="00E804C7"/>
    <w:rsid w:val="00E8065D"/>
    <w:rsid w:val="00E8188C"/>
    <w:rsid w:val="00E831D6"/>
    <w:rsid w:val="00E83AAA"/>
    <w:rsid w:val="00E83C21"/>
    <w:rsid w:val="00E84A04"/>
    <w:rsid w:val="00E84AA0"/>
    <w:rsid w:val="00E85D60"/>
    <w:rsid w:val="00E86837"/>
    <w:rsid w:val="00E86FA5"/>
    <w:rsid w:val="00E877A4"/>
    <w:rsid w:val="00E9142A"/>
    <w:rsid w:val="00E92AB6"/>
    <w:rsid w:val="00E92EB4"/>
    <w:rsid w:val="00E96981"/>
    <w:rsid w:val="00E97690"/>
    <w:rsid w:val="00E97EBE"/>
    <w:rsid w:val="00EA08E3"/>
    <w:rsid w:val="00EA0B5B"/>
    <w:rsid w:val="00EA266A"/>
    <w:rsid w:val="00EA5471"/>
    <w:rsid w:val="00EA564A"/>
    <w:rsid w:val="00EA581A"/>
    <w:rsid w:val="00EA6BF7"/>
    <w:rsid w:val="00EB21A7"/>
    <w:rsid w:val="00EB2618"/>
    <w:rsid w:val="00EB2CF0"/>
    <w:rsid w:val="00EB6713"/>
    <w:rsid w:val="00EB6E43"/>
    <w:rsid w:val="00EC2247"/>
    <w:rsid w:val="00EC22D1"/>
    <w:rsid w:val="00EC23E2"/>
    <w:rsid w:val="00EC25C5"/>
    <w:rsid w:val="00EC2994"/>
    <w:rsid w:val="00EC2C77"/>
    <w:rsid w:val="00EC3491"/>
    <w:rsid w:val="00EC5D16"/>
    <w:rsid w:val="00EC5D43"/>
    <w:rsid w:val="00ED229D"/>
    <w:rsid w:val="00ED230C"/>
    <w:rsid w:val="00ED3737"/>
    <w:rsid w:val="00ED4BF9"/>
    <w:rsid w:val="00ED50E0"/>
    <w:rsid w:val="00ED5714"/>
    <w:rsid w:val="00ED6001"/>
    <w:rsid w:val="00ED66F3"/>
    <w:rsid w:val="00ED7CE8"/>
    <w:rsid w:val="00ED7D29"/>
    <w:rsid w:val="00EE0C94"/>
    <w:rsid w:val="00EE1510"/>
    <w:rsid w:val="00EE5EDB"/>
    <w:rsid w:val="00EE68C8"/>
    <w:rsid w:val="00EE704B"/>
    <w:rsid w:val="00EE73B6"/>
    <w:rsid w:val="00EF0C2E"/>
    <w:rsid w:val="00EF12A8"/>
    <w:rsid w:val="00EF44AA"/>
    <w:rsid w:val="00EF6B3B"/>
    <w:rsid w:val="00EF6CEF"/>
    <w:rsid w:val="00F011AC"/>
    <w:rsid w:val="00F02050"/>
    <w:rsid w:val="00F03E61"/>
    <w:rsid w:val="00F0433E"/>
    <w:rsid w:val="00F062CA"/>
    <w:rsid w:val="00F07EC7"/>
    <w:rsid w:val="00F10762"/>
    <w:rsid w:val="00F1085A"/>
    <w:rsid w:val="00F11A10"/>
    <w:rsid w:val="00F130B1"/>
    <w:rsid w:val="00F150B1"/>
    <w:rsid w:val="00F17CD3"/>
    <w:rsid w:val="00F228D2"/>
    <w:rsid w:val="00F233CA"/>
    <w:rsid w:val="00F24F12"/>
    <w:rsid w:val="00F25B63"/>
    <w:rsid w:val="00F26B3B"/>
    <w:rsid w:val="00F26F70"/>
    <w:rsid w:val="00F2798C"/>
    <w:rsid w:val="00F310E1"/>
    <w:rsid w:val="00F32754"/>
    <w:rsid w:val="00F32AE5"/>
    <w:rsid w:val="00F32CFC"/>
    <w:rsid w:val="00F34624"/>
    <w:rsid w:val="00F3465A"/>
    <w:rsid w:val="00F373DA"/>
    <w:rsid w:val="00F43C8D"/>
    <w:rsid w:val="00F447FD"/>
    <w:rsid w:val="00F450D3"/>
    <w:rsid w:val="00F4534E"/>
    <w:rsid w:val="00F4772F"/>
    <w:rsid w:val="00F478D3"/>
    <w:rsid w:val="00F50E80"/>
    <w:rsid w:val="00F51081"/>
    <w:rsid w:val="00F510F0"/>
    <w:rsid w:val="00F60DFD"/>
    <w:rsid w:val="00F610D5"/>
    <w:rsid w:val="00F629D9"/>
    <w:rsid w:val="00F62A0C"/>
    <w:rsid w:val="00F62F6C"/>
    <w:rsid w:val="00F652E9"/>
    <w:rsid w:val="00F65C69"/>
    <w:rsid w:val="00F65EEA"/>
    <w:rsid w:val="00F6655C"/>
    <w:rsid w:val="00F6725D"/>
    <w:rsid w:val="00F708FE"/>
    <w:rsid w:val="00F714A8"/>
    <w:rsid w:val="00F7299C"/>
    <w:rsid w:val="00F750C0"/>
    <w:rsid w:val="00F7559B"/>
    <w:rsid w:val="00F8019B"/>
    <w:rsid w:val="00F80C06"/>
    <w:rsid w:val="00F82D4D"/>
    <w:rsid w:val="00F848B8"/>
    <w:rsid w:val="00F85CEE"/>
    <w:rsid w:val="00F8657C"/>
    <w:rsid w:val="00F8797D"/>
    <w:rsid w:val="00F903EC"/>
    <w:rsid w:val="00F90C7B"/>
    <w:rsid w:val="00F91AFE"/>
    <w:rsid w:val="00F93F38"/>
    <w:rsid w:val="00F94C7A"/>
    <w:rsid w:val="00F95502"/>
    <w:rsid w:val="00F956F4"/>
    <w:rsid w:val="00FA161C"/>
    <w:rsid w:val="00FA3D09"/>
    <w:rsid w:val="00FA57EC"/>
    <w:rsid w:val="00FA59EB"/>
    <w:rsid w:val="00FA65E0"/>
    <w:rsid w:val="00FA6A4F"/>
    <w:rsid w:val="00FA7EE0"/>
    <w:rsid w:val="00FB0648"/>
    <w:rsid w:val="00FB1D29"/>
    <w:rsid w:val="00FB21C8"/>
    <w:rsid w:val="00FB243F"/>
    <w:rsid w:val="00FB3056"/>
    <w:rsid w:val="00FC0303"/>
    <w:rsid w:val="00FC0E41"/>
    <w:rsid w:val="00FC4933"/>
    <w:rsid w:val="00FC5620"/>
    <w:rsid w:val="00FC5D5D"/>
    <w:rsid w:val="00FC7181"/>
    <w:rsid w:val="00FC75FD"/>
    <w:rsid w:val="00FC77EC"/>
    <w:rsid w:val="00FD0C8A"/>
    <w:rsid w:val="00FD127F"/>
    <w:rsid w:val="00FD14B8"/>
    <w:rsid w:val="00FD2973"/>
    <w:rsid w:val="00FD3204"/>
    <w:rsid w:val="00FD48C7"/>
    <w:rsid w:val="00FD52AD"/>
    <w:rsid w:val="00FD5421"/>
    <w:rsid w:val="00FD7702"/>
    <w:rsid w:val="00FE0CAD"/>
    <w:rsid w:val="00FE396F"/>
    <w:rsid w:val="00FE5067"/>
    <w:rsid w:val="00FE58CD"/>
    <w:rsid w:val="00FE5DE4"/>
    <w:rsid w:val="00FE790E"/>
    <w:rsid w:val="00FF0F1E"/>
    <w:rsid w:val="00FF1C00"/>
    <w:rsid w:val="00FF2586"/>
    <w:rsid w:val="00FF28A6"/>
    <w:rsid w:val="00FF38BF"/>
    <w:rsid w:val="00FF3A7C"/>
    <w:rsid w:val="00FF3BB9"/>
    <w:rsid w:val="00FF4554"/>
    <w:rsid w:val="00FF4DBB"/>
    <w:rsid w:val="00FF52A3"/>
    <w:rsid w:val="00FF5846"/>
    <w:rsid w:val="00FF6090"/>
    <w:rsid w:val="01006C3C"/>
    <w:rsid w:val="01084923"/>
    <w:rsid w:val="01486F8B"/>
    <w:rsid w:val="014A5B61"/>
    <w:rsid w:val="019F1C61"/>
    <w:rsid w:val="01E02368"/>
    <w:rsid w:val="024A65EE"/>
    <w:rsid w:val="026934CB"/>
    <w:rsid w:val="028B40EC"/>
    <w:rsid w:val="02974B17"/>
    <w:rsid w:val="02EF711B"/>
    <w:rsid w:val="038C273B"/>
    <w:rsid w:val="03AC0ADC"/>
    <w:rsid w:val="03B83C46"/>
    <w:rsid w:val="03C72E74"/>
    <w:rsid w:val="03E023A5"/>
    <w:rsid w:val="04167F30"/>
    <w:rsid w:val="04551AC2"/>
    <w:rsid w:val="04A829D3"/>
    <w:rsid w:val="04C04B95"/>
    <w:rsid w:val="053A7833"/>
    <w:rsid w:val="059C4996"/>
    <w:rsid w:val="05A908FA"/>
    <w:rsid w:val="05BA5011"/>
    <w:rsid w:val="05C6035F"/>
    <w:rsid w:val="060230F9"/>
    <w:rsid w:val="06304669"/>
    <w:rsid w:val="064C089D"/>
    <w:rsid w:val="06853C06"/>
    <w:rsid w:val="06934E62"/>
    <w:rsid w:val="06B8190F"/>
    <w:rsid w:val="06E04019"/>
    <w:rsid w:val="07A85233"/>
    <w:rsid w:val="07D076EF"/>
    <w:rsid w:val="083C106F"/>
    <w:rsid w:val="084951A3"/>
    <w:rsid w:val="084E3EDE"/>
    <w:rsid w:val="08A5780C"/>
    <w:rsid w:val="08B54026"/>
    <w:rsid w:val="09064B30"/>
    <w:rsid w:val="09395F7B"/>
    <w:rsid w:val="093F0F6D"/>
    <w:rsid w:val="098A4999"/>
    <w:rsid w:val="0ABA2463"/>
    <w:rsid w:val="0ABE6468"/>
    <w:rsid w:val="0ADE0974"/>
    <w:rsid w:val="0B151B3F"/>
    <w:rsid w:val="0B476947"/>
    <w:rsid w:val="0C123E90"/>
    <w:rsid w:val="0CBA4C50"/>
    <w:rsid w:val="0CC21CC8"/>
    <w:rsid w:val="0D2A0D0B"/>
    <w:rsid w:val="0D4E35DE"/>
    <w:rsid w:val="0DA7401F"/>
    <w:rsid w:val="0DDA6251"/>
    <w:rsid w:val="0DE406DA"/>
    <w:rsid w:val="0DF260C5"/>
    <w:rsid w:val="0E5527B1"/>
    <w:rsid w:val="0E5E38E8"/>
    <w:rsid w:val="0E761EFA"/>
    <w:rsid w:val="0E8328C2"/>
    <w:rsid w:val="0EA74DE1"/>
    <w:rsid w:val="0EA80A63"/>
    <w:rsid w:val="0EC55B14"/>
    <w:rsid w:val="0EFE698E"/>
    <w:rsid w:val="0F203521"/>
    <w:rsid w:val="0FC9260A"/>
    <w:rsid w:val="10EE278F"/>
    <w:rsid w:val="113461F6"/>
    <w:rsid w:val="114D3447"/>
    <w:rsid w:val="117D36B2"/>
    <w:rsid w:val="119E709F"/>
    <w:rsid w:val="11A01F3A"/>
    <w:rsid w:val="11E14B7A"/>
    <w:rsid w:val="121E41AA"/>
    <w:rsid w:val="12247D50"/>
    <w:rsid w:val="135F36ED"/>
    <w:rsid w:val="138E26F1"/>
    <w:rsid w:val="139D619D"/>
    <w:rsid w:val="13D37CEF"/>
    <w:rsid w:val="14193A0C"/>
    <w:rsid w:val="14307336"/>
    <w:rsid w:val="14931F44"/>
    <w:rsid w:val="152B640C"/>
    <w:rsid w:val="1538419B"/>
    <w:rsid w:val="153E42E3"/>
    <w:rsid w:val="15817C3A"/>
    <w:rsid w:val="15995ECC"/>
    <w:rsid w:val="15E033E8"/>
    <w:rsid w:val="16174836"/>
    <w:rsid w:val="161C1260"/>
    <w:rsid w:val="162076E5"/>
    <w:rsid w:val="16AA67CD"/>
    <w:rsid w:val="16C16790"/>
    <w:rsid w:val="16E0297E"/>
    <w:rsid w:val="1765581F"/>
    <w:rsid w:val="176C1CC1"/>
    <w:rsid w:val="17BB446A"/>
    <w:rsid w:val="17DC5265"/>
    <w:rsid w:val="180732BA"/>
    <w:rsid w:val="191F3267"/>
    <w:rsid w:val="194D028F"/>
    <w:rsid w:val="198D66E3"/>
    <w:rsid w:val="1A24488C"/>
    <w:rsid w:val="1A6D5A02"/>
    <w:rsid w:val="1A7F78C3"/>
    <w:rsid w:val="1B2925AB"/>
    <w:rsid w:val="1B584864"/>
    <w:rsid w:val="1B9A49DF"/>
    <w:rsid w:val="1BC30708"/>
    <w:rsid w:val="1C091664"/>
    <w:rsid w:val="1C174EB9"/>
    <w:rsid w:val="1C2345AB"/>
    <w:rsid w:val="1C2768C5"/>
    <w:rsid w:val="1C3D3723"/>
    <w:rsid w:val="1C597657"/>
    <w:rsid w:val="1C5D2B8C"/>
    <w:rsid w:val="1C5F633C"/>
    <w:rsid w:val="1C85147D"/>
    <w:rsid w:val="1C895673"/>
    <w:rsid w:val="1CA12DE7"/>
    <w:rsid w:val="1CAF4242"/>
    <w:rsid w:val="1CC03DF5"/>
    <w:rsid w:val="1D1231FB"/>
    <w:rsid w:val="1D30153A"/>
    <w:rsid w:val="1D3F5D1C"/>
    <w:rsid w:val="1D431B64"/>
    <w:rsid w:val="1DF66F66"/>
    <w:rsid w:val="1EA07EC8"/>
    <w:rsid w:val="1EBE1D79"/>
    <w:rsid w:val="1F3A517A"/>
    <w:rsid w:val="1FD83455"/>
    <w:rsid w:val="202A13D0"/>
    <w:rsid w:val="206A53A5"/>
    <w:rsid w:val="20977F68"/>
    <w:rsid w:val="209C16F3"/>
    <w:rsid w:val="20A61D4F"/>
    <w:rsid w:val="20D32824"/>
    <w:rsid w:val="20E426A4"/>
    <w:rsid w:val="20EC1557"/>
    <w:rsid w:val="21F579F1"/>
    <w:rsid w:val="225529A5"/>
    <w:rsid w:val="226412F0"/>
    <w:rsid w:val="226D1997"/>
    <w:rsid w:val="22BE1550"/>
    <w:rsid w:val="230E7DA1"/>
    <w:rsid w:val="238A5E76"/>
    <w:rsid w:val="23913526"/>
    <w:rsid w:val="23C51889"/>
    <w:rsid w:val="23C653F9"/>
    <w:rsid w:val="23D02C70"/>
    <w:rsid w:val="2411148F"/>
    <w:rsid w:val="244D17DD"/>
    <w:rsid w:val="246F797D"/>
    <w:rsid w:val="248E6C2E"/>
    <w:rsid w:val="24B05C07"/>
    <w:rsid w:val="24B1104B"/>
    <w:rsid w:val="24CF555D"/>
    <w:rsid w:val="24EF2B1E"/>
    <w:rsid w:val="25506D7E"/>
    <w:rsid w:val="256200B9"/>
    <w:rsid w:val="25755536"/>
    <w:rsid w:val="26104FBF"/>
    <w:rsid w:val="261E600C"/>
    <w:rsid w:val="26224C3F"/>
    <w:rsid w:val="268C29A8"/>
    <w:rsid w:val="26902ACC"/>
    <w:rsid w:val="269040F0"/>
    <w:rsid w:val="26D1192A"/>
    <w:rsid w:val="27593C0C"/>
    <w:rsid w:val="278F2696"/>
    <w:rsid w:val="27BE4D54"/>
    <w:rsid w:val="27BE66D4"/>
    <w:rsid w:val="27D37DFF"/>
    <w:rsid w:val="27F13E6F"/>
    <w:rsid w:val="28091240"/>
    <w:rsid w:val="28317F6B"/>
    <w:rsid w:val="28495927"/>
    <w:rsid w:val="285F080B"/>
    <w:rsid w:val="287B1A45"/>
    <w:rsid w:val="289336BD"/>
    <w:rsid w:val="289D7A41"/>
    <w:rsid w:val="28F63696"/>
    <w:rsid w:val="2915576B"/>
    <w:rsid w:val="29455875"/>
    <w:rsid w:val="29744A80"/>
    <w:rsid w:val="298B1979"/>
    <w:rsid w:val="29FF4E89"/>
    <w:rsid w:val="2A6756F3"/>
    <w:rsid w:val="2A7E74AD"/>
    <w:rsid w:val="2A8823AF"/>
    <w:rsid w:val="2B09141B"/>
    <w:rsid w:val="2BAA0167"/>
    <w:rsid w:val="2BC855DE"/>
    <w:rsid w:val="2BF517CC"/>
    <w:rsid w:val="2BFD46B3"/>
    <w:rsid w:val="2C232133"/>
    <w:rsid w:val="2CDF09BB"/>
    <w:rsid w:val="2D162222"/>
    <w:rsid w:val="2D345155"/>
    <w:rsid w:val="2D3E22B1"/>
    <w:rsid w:val="2D7D2CD1"/>
    <w:rsid w:val="2E49469A"/>
    <w:rsid w:val="2E4C1ABD"/>
    <w:rsid w:val="2E8E6C48"/>
    <w:rsid w:val="2EE3194C"/>
    <w:rsid w:val="2FB9683C"/>
    <w:rsid w:val="2FBE3BC3"/>
    <w:rsid w:val="2FCB2738"/>
    <w:rsid w:val="2FCB3FFD"/>
    <w:rsid w:val="2FDF3FAC"/>
    <w:rsid w:val="2FFC3D2E"/>
    <w:rsid w:val="3012706D"/>
    <w:rsid w:val="303E5082"/>
    <w:rsid w:val="30501496"/>
    <w:rsid w:val="308A11E5"/>
    <w:rsid w:val="30EE41ED"/>
    <w:rsid w:val="30FD43DD"/>
    <w:rsid w:val="313E5357"/>
    <w:rsid w:val="315913B0"/>
    <w:rsid w:val="31611ABA"/>
    <w:rsid w:val="319C0BCB"/>
    <w:rsid w:val="31BC5C53"/>
    <w:rsid w:val="31C90A3D"/>
    <w:rsid w:val="31D4593E"/>
    <w:rsid w:val="31F57976"/>
    <w:rsid w:val="323D7120"/>
    <w:rsid w:val="326C60F6"/>
    <w:rsid w:val="32984883"/>
    <w:rsid w:val="334C7E03"/>
    <w:rsid w:val="337426FB"/>
    <w:rsid w:val="33A11C80"/>
    <w:rsid w:val="33F3793E"/>
    <w:rsid w:val="341D328D"/>
    <w:rsid w:val="345D715C"/>
    <w:rsid w:val="34B75814"/>
    <w:rsid w:val="3503306B"/>
    <w:rsid w:val="35E257EF"/>
    <w:rsid w:val="35E72567"/>
    <w:rsid w:val="35F252E3"/>
    <w:rsid w:val="363C5989"/>
    <w:rsid w:val="37161B80"/>
    <w:rsid w:val="37231D44"/>
    <w:rsid w:val="37235C66"/>
    <w:rsid w:val="37297C9B"/>
    <w:rsid w:val="37327CB6"/>
    <w:rsid w:val="37574C9C"/>
    <w:rsid w:val="37782D13"/>
    <w:rsid w:val="378D55AC"/>
    <w:rsid w:val="37BC534E"/>
    <w:rsid w:val="37D827B3"/>
    <w:rsid w:val="37D91D1C"/>
    <w:rsid w:val="38170444"/>
    <w:rsid w:val="3849580C"/>
    <w:rsid w:val="39EC5676"/>
    <w:rsid w:val="3A147F0E"/>
    <w:rsid w:val="3A5112F5"/>
    <w:rsid w:val="3A5F6C1C"/>
    <w:rsid w:val="3A9D2399"/>
    <w:rsid w:val="3AE46756"/>
    <w:rsid w:val="3AF0634A"/>
    <w:rsid w:val="3B14098C"/>
    <w:rsid w:val="3B7343E2"/>
    <w:rsid w:val="3BCC1BAE"/>
    <w:rsid w:val="3BD47749"/>
    <w:rsid w:val="3BDA1662"/>
    <w:rsid w:val="3CC303D5"/>
    <w:rsid w:val="3D4F4290"/>
    <w:rsid w:val="3DC438A0"/>
    <w:rsid w:val="3DF40A85"/>
    <w:rsid w:val="3DF46703"/>
    <w:rsid w:val="3E7D7BD2"/>
    <w:rsid w:val="3EB546EF"/>
    <w:rsid w:val="3ED07EEC"/>
    <w:rsid w:val="3ED61481"/>
    <w:rsid w:val="3EDA078A"/>
    <w:rsid w:val="3EE674E0"/>
    <w:rsid w:val="3EFB4464"/>
    <w:rsid w:val="3F06353C"/>
    <w:rsid w:val="3F844026"/>
    <w:rsid w:val="3F8C779C"/>
    <w:rsid w:val="402A2D72"/>
    <w:rsid w:val="40C72EA8"/>
    <w:rsid w:val="410A6EF9"/>
    <w:rsid w:val="412655DE"/>
    <w:rsid w:val="41291352"/>
    <w:rsid w:val="412960C2"/>
    <w:rsid w:val="415F73CE"/>
    <w:rsid w:val="41737B68"/>
    <w:rsid w:val="417636E3"/>
    <w:rsid w:val="417A3327"/>
    <w:rsid w:val="41A1080E"/>
    <w:rsid w:val="41B5252C"/>
    <w:rsid w:val="4208318A"/>
    <w:rsid w:val="4250378E"/>
    <w:rsid w:val="42825F20"/>
    <w:rsid w:val="42C5093E"/>
    <w:rsid w:val="42FF0E54"/>
    <w:rsid w:val="43217219"/>
    <w:rsid w:val="433C1529"/>
    <w:rsid w:val="43C71914"/>
    <w:rsid w:val="43D40F22"/>
    <w:rsid w:val="43E00EA7"/>
    <w:rsid w:val="441C750C"/>
    <w:rsid w:val="44204034"/>
    <w:rsid w:val="442C7735"/>
    <w:rsid w:val="44384E48"/>
    <w:rsid w:val="444D550A"/>
    <w:rsid w:val="448F3355"/>
    <w:rsid w:val="44A11421"/>
    <w:rsid w:val="44C96B10"/>
    <w:rsid w:val="45190BEC"/>
    <w:rsid w:val="45283D55"/>
    <w:rsid w:val="453B41E4"/>
    <w:rsid w:val="45450B68"/>
    <w:rsid w:val="457661B6"/>
    <w:rsid w:val="45A21907"/>
    <w:rsid w:val="45A3512F"/>
    <w:rsid w:val="45AB6452"/>
    <w:rsid w:val="45BA3E1F"/>
    <w:rsid w:val="46354632"/>
    <w:rsid w:val="46651D47"/>
    <w:rsid w:val="46BD28E1"/>
    <w:rsid w:val="46E331DF"/>
    <w:rsid w:val="470C0C24"/>
    <w:rsid w:val="47441AF2"/>
    <w:rsid w:val="47993083"/>
    <w:rsid w:val="48195857"/>
    <w:rsid w:val="486F1DCB"/>
    <w:rsid w:val="489F1C43"/>
    <w:rsid w:val="48D02E71"/>
    <w:rsid w:val="48E83959"/>
    <w:rsid w:val="49810836"/>
    <w:rsid w:val="499C11A9"/>
    <w:rsid w:val="49FF3758"/>
    <w:rsid w:val="4A06192D"/>
    <w:rsid w:val="4A2201DB"/>
    <w:rsid w:val="4A532604"/>
    <w:rsid w:val="4A5F0E4A"/>
    <w:rsid w:val="4AC63C05"/>
    <w:rsid w:val="4AF92BDB"/>
    <w:rsid w:val="4B601C3A"/>
    <w:rsid w:val="4C083029"/>
    <w:rsid w:val="4CEE1D46"/>
    <w:rsid w:val="4D087341"/>
    <w:rsid w:val="4D211B0A"/>
    <w:rsid w:val="4D2C2A75"/>
    <w:rsid w:val="4D3620DB"/>
    <w:rsid w:val="4D931D82"/>
    <w:rsid w:val="4DCC349F"/>
    <w:rsid w:val="4DE11995"/>
    <w:rsid w:val="4DF84D8A"/>
    <w:rsid w:val="4E1B47FA"/>
    <w:rsid w:val="4E653C78"/>
    <w:rsid w:val="4EF44FE5"/>
    <w:rsid w:val="4F5659F0"/>
    <w:rsid w:val="4F783FD1"/>
    <w:rsid w:val="4FBD580E"/>
    <w:rsid w:val="50C82A46"/>
    <w:rsid w:val="50F872C2"/>
    <w:rsid w:val="51533F37"/>
    <w:rsid w:val="517B6355"/>
    <w:rsid w:val="51877439"/>
    <w:rsid w:val="5225659B"/>
    <w:rsid w:val="526418DD"/>
    <w:rsid w:val="528A0821"/>
    <w:rsid w:val="52C936A1"/>
    <w:rsid w:val="52DE5AEF"/>
    <w:rsid w:val="52E31293"/>
    <w:rsid w:val="531735AE"/>
    <w:rsid w:val="5354313E"/>
    <w:rsid w:val="536F1FF5"/>
    <w:rsid w:val="539E5F29"/>
    <w:rsid w:val="54123958"/>
    <w:rsid w:val="5428356B"/>
    <w:rsid w:val="54634805"/>
    <w:rsid w:val="54740737"/>
    <w:rsid w:val="557859BB"/>
    <w:rsid w:val="557C72D4"/>
    <w:rsid w:val="55852E3F"/>
    <w:rsid w:val="56214740"/>
    <w:rsid w:val="56772FB2"/>
    <w:rsid w:val="568621D9"/>
    <w:rsid w:val="569550C1"/>
    <w:rsid w:val="56A956E1"/>
    <w:rsid w:val="56CA20B3"/>
    <w:rsid w:val="56DE070D"/>
    <w:rsid w:val="57223C14"/>
    <w:rsid w:val="575E35BF"/>
    <w:rsid w:val="577442D7"/>
    <w:rsid w:val="57C36C00"/>
    <w:rsid w:val="57D86E04"/>
    <w:rsid w:val="58214C7A"/>
    <w:rsid w:val="582F11EE"/>
    <w:rsid w:val="58B87543"/>
    <w:rsid w:val="58C47988"/>
    <w:rsid w:val="58C731EF"/>
    <w:rsid w:val="59CE2556"/>
    <w:rsid w:val="59E406B3"/>
    <w:rsid w:val="5A681489"/>
    <w:rsid w:val="5A9314CD"/>
    <w:rsid w:val="5B7337EA"/>
    <w:rsid w:val="5BBD2D1D"/>
    <w:rsid w:val="5BD73C61"/>
    <w:rsid w:val="5BDB5008"/>
    <w:rsid w:val="5C21180F"/>
    <w:rsid w:val="5C2A3B6F"/>
    <w:rsid w:val="5C6556CD"/>
    <w:rsid w:val="5C996086"/>
    <w:rsid w:val="5CC00133"/>
    <w:rsid w:val="5D040E62"/>
    <w:rsid w:val="5D18119A"/>
    <w:rsid w:val="5D1D796B"/>
    <w:rsid w:val="5D5523CA"/>
    <w:rsid w:val="5D6636AE"/>
    <w:rsid w:val="5DA109F8"/>
    <w:rsid w:val="5DDF5953"/>
    <w:rsid w:val="5E3F1856"/>
    <w:rsid w:val="5E7D4507"/>
    <w:rsid w:val="5EBB41A6"/>
    <w:rsid w:val="5EDF2B1C"/>
    <w:rsid w:val="5EF82C85"/>
    <w:rsid w:val="5F0575D3"/>
    <w:rsid w:val="5F24478F"/>
    <w:rsid w:val="5F485715"/>
    <w:rsid w:val="5F607E45"/>
    <w:rsid w:val="5FA33AD5"/>
    <w:rsid w:val="5FA9790F"/>
    <w:rsid w:val="5FC84A66"/>
    <w:rsid w:val="5FD41CFD"/>
    <w:rsid w:val="5FD51E79"/>
    <w:rsid w:val="601C64FF"/>
    <w:rsid w:val="60692D39"/>
    <w:rsid w:val="60D17D3F"/>
    <w:rsid w:val="60D4743A"/>
    <w:rsid w:val="60D56B7F"/>
    <w:rsid w:val="61283778"/>
    <w:rsid w:val="613E2717"/>
    <w:rsid w:val="61743C53"/>
    <w:rsid w:val="61AC005C"/>
    <w:rsid w:val="61E63412"/>
    <w:rsid w:val="61FA4E7D"/>
    <w:rsid w:val="621C2E90"/>
    <w:rsid w:val="622366CD"/>
    <w:rsid w:val="627E6816"/>
    <w:rsid w:val="628603DB"/>
    <w:rsid w:val="629C33F8"/>
    <w:rsid w:val="62F41E9F"/>
    <w:rsid w:val="63363380"/>
    <w:rsid w:val="63823681"/>
    <w:rsid w:val="63A23533"/>
    <w:rsid w:val="642E089A"/>
    <w:rsid w:val="64711D48"/>
    <w:rsid w:val="64882BF5"/>
    <w:rsid w:val="64A406A0"/>
    <w:rsid w:val="64E426C2"/>
    <w:rsid w:val="65321CAE"/>
    <w:rsid w:val="65DF6F7B"/>
    <w:rsid w:val="667A41AF"/>
    <w:rsid w:val="669E33A9"/>
    <w:rsid w:val="66C67BCA"/>
    <w:rsid w:val="66E029E4"/>
    <w:rsid w:val="67037BAD"/>
    <w:rsid w:val="68C74BB9"/>
    <w:rsid w:val="68E373DC"/>
    <w:rsid w:val="694E3A14"/>
    <w:rsid w:val="69553C00"/>
    <w:rsid w:val="69A07431"/>
    <w:rsid w:val="69A41C2B"/>
    <w:rsid w:val="69CA782D"/>
    <w:rsid w:val="69E43568"/>
    <w:rsid w:val="69E94879"/>
    <w:rsid w:val="6A4510BE"/>
    <w:rsid w:val="6A4807F3"/>
    <w:rsid w:val="6A6369A8"/>
    <w:rsid w:val="6AA850D1"/>
    <w:rsid w:val="6AEF56B2"/>
    <w:rsid w:val="6B7072DA"/>
    <w:rsid w:val="6B8F52FE"/>
    <w:rsid w:val="6BFE0A39"/>
    <w:rsid w:val="6BFE1CB8"/>
    <w:rsid w:val="6C533133"/>
    <w:rsid w:val="6C6762AC"/>
    <w:rsid w:val="6CAD442C"/>
    <w:rsid w:val="6CB5740C"/>
    <w:rsid w:val="6CD129F1"/>
    <w:rsid w:val="6CE42B64"/>
    <w:rsid w:val="6CF24656"/>
    <w:rsid w:val="6D704406"/>
    <w:rsid w:val="6DA57E6A"/>
    <w:rsid w:val="6DDE6DCD"/>
    <w:rsid w:val="6E2E454F"/>
    <w:rsid w:val="6E6244AE"/>
    <w:rsid w:val="6EFF4B3D"/>
    <w:rsid w:val="6F29331C"/>
    <w:rsid w:val="6F697307"/>
    <w:rsid w:val="6F742934"/>
    <w:rsid w:val="6FA74C46"/>
    <w:rsid w:val="705F54C5"/>
    <w:rsid w:val="707F71AB"/>
    <w:rsid w:val="70AF2E36"/>
    <w:rsid w:val="70D26A1A"/>
    <w:rsid w:val="70DF0BDF"/>
    <w:rsid w:val="713A7DB5"/>
    <w:rsid w:val="71624A65"/>
    <w:rsid w:val="719C7820"/>
    <w:rsid w:val="724D6DF2"/>
    <w:rsid w:val="72B44BFD"/>
    <w:rsid w:val="73284F5E"/>
    <w:rsid w:val="732A0EDC"/>
    <w:rsid w:val="735D75A5"/>
    <w:rsid w:val="73B27AE2"/>
    <w:rsid w:val="73C74E17"/>
    <w:rsid w:val="741457BC"/>
    <w:rsid w:val="74354DE7"/>
    <w:rsid w:val="745327AE"/>
    <w:rsid w:val="7496138D"/>
    <w:rsid w:val="74C25E1D"/>
    <w:rsid w:val="75091767"/>
    <w:rsid w:val="750C3C31"/>
    <w:rsid w:val="75164E75"/>
    <w:rsid w:val="75285CD3"/>
    <w:rsid w:val="7547347C"/>
    <w:rsid w:val="754C251F"/>
    <w:rsid w:val="75554787"/>
    <w:rsid w:val="75761CA8"/>
    <w:rsid w:val="76002DD9"/>
    <w:rsid w:val="763D486D"/>
    <w:rsid w:val="768D45EA"/>
    <w:rsid w:val="7716529B"/>
    <w:rsid w:val="77196ED1"/>
    <w:rsid w:val="77243955"/>
    <w:rsid w:val="77422B90"/>
    <w:rsid w:val="777C419D"/>
    <w:rsid w:val="779D4DF4"/>
    <w:rsid w:val="77D52CFE"/>
    <w:rsid w:val="7864709E"/>
    <w:rsid w:val="7883077D"/>
    <w:rsid w:val="78B53B69"/>
    <w:rsid w:val="7938701B"/>
    <w:rsid w:val="79402C1F"/>
    <w:rsid w:val="79595BE6"/>
    <w:rsid w:val="798B2AC7"/>
    <w:rsid w:val="79E36C84"/>
    <w:rsid w:val="7A886938"/>
    <w:rsid w:val="7AF07B6D"/>
    <w:rsid w:val="7B080470"/>
    <w:rsid w:val="7B0F4E98"/>
    <w:rsid w:val="7B202DE6"/>
    <w:rsid w:val="7B2354FB"/>
    <w:rsid w:val="7BC2718D"/>
    <w:rsid w:val="7BE33FA3"/>
    <w:rsid w:val="7BFB2B39"/>
    <w:rsid w:val="7C1F3110"/>
    <w:rsid w:val="7C821CD9"/>
    <w:rsid w:val="7CBC4919"/>
    <w:rsid w:val="7CC02263"/>
    <w:rsid w:val="7CF10F47"/>
    <w:rsid w:val="7D4E54D6"/>
    <w:rsid w:val="7D4E7963"/>
    <w:rsid w:val="7D5B4212"/>
    <w:rsid w:val="7D6B0E76"/>
    <w:rsid w:val="7DB0120B"/>
    <w:rsid w:val="7DB24D78"/>
    <w:rsid w:val="7DF9685F"/>
    <w:rsid w:val="7E115339"/>
    <w:rsid w:val="7E116D56"/>
    <w:rsid w:val="7E62529A"/>
    <w:rsid w:val="7E727035"/>
    <w:rsid w:val="7E8B2FA9"/>
    <w:rsid w:val="7EF20D79"/>
    <w:rsid w:val="7F0E0B96"/>
    <w:rsid w:val="7F2E7C7A"/>
    <w:rsid w:val="7F6202BE"/>
    <w:rsid w:val="7FA44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Times New Roman"/>
      <w:sz w:val="21"/>
      <w:szCs w:val="21"/>
      <w:lang w:val="zh-CN" w:eastAsia="zh-CN" w:bidi="zh-CN"/>
    </w:rPr>
  </w:style>
  <w:style w:type="paragraph" w:styleId="3">
    <w:name w:val="heading 1"/>
    <w:basedOn w:val="1"/>
    <w:next w:val="4"/>
    <w:link w:val="134"/>
    <w:qFormat/>
    <w:uiPriority w:val="0"/>
    <w:pPr>
      <w:spacing w:before="58"/>
      <w:ind w:left="436" w:right="437"/>
      <w:jc w:val="center"/>
      <w:outlineLvl w:val="0"/>
    </w:pPr>
    <w:rPr>
      <w:rFonts w:cs="宋体"/>
      <w:b/>
      <w:bCs/>
      <w:sz w:val="30"/>
      <w:szCs w:val="30"/>
    </w:rPr>
  </w:style>
  <w:style w:type="paragraph" w:styleId="4">
    <w:name w:val="heading 2"/>
    <w:basedOn w:val="1"/>
    <w:next w:val="1"/>
    <w:link w:val="126"/>
    <w:qFormat/>
    <w:uiPriority w:val="0"/>
    <w:pPr>
      <w:spacing w:before="58"/>
      <w:ind w:left="436" w:right="438"/>
      <w:jc w:val="center"/>
      <w:outlineLvl w:val="1"/>
    </w:pPr>
    <w:rPr>
      <w:rFonts w:ascii="黑体" w:hAnsi="黑体" w:eastAsia="黑体" w:cs="黑体"/>
      <w:sz w:val="30"/>
      <w:szCs w:val="30"/>
    </w:rPr>
  </w:style>
  <w:style w:type="paragraph" w:styleId="5">
    <w:name w:val="heading 3"/>
    <w:basedOn w:val="1"/>
    <w:next w:val="1"/>
    <w:link w:val="162"/>
    <w:qFormat/>
    <w:uiPriority w:val="0"/>
    <w:pPr>
      <w:spacing w:line="224" w:lineRule="exact"/>
      <w:ind w:left="130"/>
      <w:outlineLvl w:val="2"/>
    </w:pPr>
    <w:rPr>
      <w:rFonts w:ascii="Times New Roman" w:hAnsi="Times New Roman" w:eastAsia="Times New Roman"/>
      <w:sz w:val="27"/>
      <w:szCs w:val="27"/>
    </w:rPr>
  </w:style>
  <w:style w:type="paragraph" w:styleId="6">
    <w:name w:val="heading 4"/>
    <w:basedOn w:val="1"/>
    <w:next w:val="1"/>
    <w:link w:val="100"/>
    <w:qFormat/>
    <w:uiPriority w:val="0"/>
    <w:pPr>
      <w:ind w:left="980"/>
      <w:outlineLvl w:val="3"/>
    </w:pPr>
    <w:rPr>
      <w:rFonts w:cs="宋体"/>
      <w:b/>
      <w:bCs/>
      <w:sz w:val="24"/>
      <w:szCs w:val="24"/>
    </w:rPr>
  </w:style>
  <w:style w:type="paragraph" w:styleId="7">
    <w:name w:val="heading 5"/>
    <w:basedOn w:val="1"/>
    <w:next w:val="1"/>
    <w:link w:val="108"/>
    <w:unhideWhenUsed/>
    <w:qFormat/>
    <w:uiPriority w:val="0"/>
    <w:pPr>
      <w:keepNext/>
      <w:keepLines/>
      <w:spacing w:before="280" w:after="290" w:line="376" w:lineRule="auto"/>
      <w:outlineLvl w:val="4"/>
    </w:pPr>
    <w:rPr>
      <w:b/>
      <w:bCs/>
      <w:sz w:val="28"/>
      <w:szCs w:val="28"/>
    </w:rPr>
  </w:style>
  <w:style w:type="character" w:default="1" w:styleId="46">
    <w:name w:val="Default Paragraph Font"/>
    <w:semiHidden/>
    <w:unhideWhenUsed/>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firstLineChars="200"/>
    </w:pPr>
    <w:rPr>
      <w:szCs w:val="24"/>
    </w:rPr>
  </w:style>
  <w:style w:type="paragraph" w:styleId="8">
    <w:name w:val="toc 7"/>
    <w:basedOn w:val="1"/>
    <w:next w:val="1"/>
    <w:qFormat/>
    <w:uiPriority w:val="0"/>
    <w:pPr>
      <w:autoSpaceDE/>
      <w:autoSpaceDN/>
      <w:ind w:left="1260"/>
    </w:pPr>
    <w:rPr>
      <w:rFonts w:ascii="Times New Roman" w:hAnsi="Times New Roman"/>
      <w:kern w:val="2"/>
      <w:sz w:val="18"/>
      <w:szCs w:val="18"/>
      <w:lang w:val="en-US" w:bidi="ar-SA"/>
    </w:rPr>
  </w:style>
  <w:style w:type="paragraph" w:styleId="9">
    <w:name w:val="Note Heading"/>
    <w:basedOn w:val="1"/>
    <w:next w:val="1"/>
    <w:link w:val="152"/>
    <w:qFormat/>
    <w:uiPriority w:val="0"/>
    <w:pPr>
      <w:autoSpaceDE/>
      <w:autoSpaceDN/>
      <w:jc w:val="center"/>
    </w:pPr>
    <w:rPr>
      <w:rFonts w:ascii="Times New Roman" w:hAnsi="Times New Roman"/>
      <w:sz w:val="20"/>
      <w:szCs w:val="20"/>
      <w:lang w:val="en-US" w:bidi="ar-SA"/>
    </w:rPr>
  </w:style>
  <w:style w:type="paragraph" w:styleId="10">
    <w:name w:val="Normal Indent"/>
    <w:basedOn w:val="1"/>
    <w:next w:val="1"/>
    <w:link w:val="150"/>
    <w:qFormat/>
    <w:uiPriority w:val="0"/>
    <w:pPr>
      <w:jc w:val="both"/>
    </w:pPr>
    <w:rPr>
      <w:sz w:val="28"/>
    </w:rPr>
  </w:style>
  <w:style w:type="paragraph" w:styleId="11">
    <w:name w:val="caption"/>
    <w:basedOn w:val="1"/>
    <w:next w:val="1"/>
    <w:qFormat/>
    <w:uiPriority w:val="0"/>
    <w:rPr>
      <w:rFonts w:ascii="Arial" w:hAnsi="Arial" w:eastAsia="黑体" w:cs="Arial"/>
      <w:sz w:val="20"/>
      <w:szCs w:val="20"/>
    </w:rPr>
  </w:style>
  <w:style w:type="paragraph" w:styleId="12">
    <w:name w:val="Document Map"/>
    <w:basedOn w:val="1"/>
    <w:link w:val="166"/>
    <w:qFormat/>
    <w:uiPriority w:val="0"/>
    <w:pPr>
      <w:shd w:val="clear" w:color="auto" w:fill="000080"/>
      <w:autoSpaceDE/>
      <w:autoSpaceDN/>
      <w:jc w:val="both"/>
    </w:pPr>
    <w:rPr>
      <w:rFonts w:ascii="Times New Roman" w:hAnsi="Times New Roman"/>
      <w:kern w:val="2"/>
      <w:szCs w:val="24"/>
      <w:lang w:val="en-US" w:bidi="ar-SA"/>
    </w:rPr>
  </w:style>
  <w:style w:type="paragraph" w:styleId="13">
    <w:name w:val="annotation text"/>
    <w:basedOn w:val="1"/>
    <w:link w:val="51"/>
    <w:qFormat/>
    <w:uiPriority w:val="0"/>
  </w:style>
  <w:style w:type="paragraph" w:styleId="14">
    <w:name w:val="Salutation"/>
    <w:basedOn w:val="1"/>
    <w:next w:val="1"/>
    <w:qFormat/>
    <w:uiPriority w:val="0"/>
    <w:rPr>
      <w:rFonts w:hAnsi="华文宋体"/>
      <w:sz w:val="28"/>
    </w:rPr>
  </w:style>
  <w:style w:type="paragraph" w:styleId="15">
    <w:name w:val="Body Text"/>
    <w:basedOn w:val="1"/>
    <w:next w:val="16"/>
    <w:link w:val="114"/>
    <w:qFormat/>
    <w:uiPriority w:val="0"/>
    <w:rPr>
      <w:rFonts w:cs="宋体"/>
      <w:sz w:val="24"/>
      <w:szCs w:val="24"/>
    </w:rPr>
  </w:style>
  <w:style w:type="paragraph" w:customStyle="1" w:styleId="16">
    <w:name w:val="xl27"/>
    <w:basedOn w:val="1"/>
    <w:next w:val="17"/>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rPr>
  </w:style>
  <w:style w:type="paragraph" w:customStyle="1" w:styleId="17">
    <w:name w:val="A正文"/>
    <w:basedOn w:val="1"/>
    <w:qFormat/>
    <w:uiPriority w:val="0"/>
    <w:pPr>
      <w:widowControl/>
      <w:overflowPunct w:val="0"/>
      <w:textAlignment w:val="baseline"/>
    </w:pPr>
  </w:style>
  <w:style w:type="paragraph" w:styleId="18">
    <w:name w:val="Body Text Indent"/>
    <w:basedOn w:val="1"/>
    <w:next w:val="19"/>
    <w:link w:val="122"/>
    <w:qFormat/>
    <w:uiPriority w:val="0"/>
    <w:pPr>
      <w:snapToGrid w:val="0"/>
      <w:spacing w:before="120" w:line="360" w:lineRule="atLeast"/>
      <w:ind w:firstLine="539"/>
    </w:pPr>
    <w:rPr>
      <w:sz w:val="24"/>
    </w:rPr>
  </w:style>
  <w:style w:type="paragraph" w:styleId="19">
    <w:name w:val="toc 9"/>
    <w:basedOn w:val="1"/>
    <w:next w:val="1"/>
    <w:qFormat/>
    <w:uiPriority w:val="0"/>
    <w:pPr>
      <w:widowControl/>
      <w:wordWrap w:val="0"/>
      <w:autoSpaceDE/>
      <w:autoSpaceDN/>
      <w:ind w:left="2975"/>
      <w:jc w:val="both"/>
    </w:pPr>
    <w:rPr>
      <w:szCs w:val="22"/>
    </w:rPr>
  </w:style>
  <w:style w:type="paragraph" w:styleId="20">
    <w:name w:val="List 2"/>
    <w:basedOn w:val="1"/>
    <w:qFormat/>
    <w:uiPriority w:val="0"/>
    <w:pPr>
      <w:autoSpaceDE/>
      <w:autoSpaceDN/>
      <w:ind w:left="100" w:leftChars="200" w:hanging="200" w:hangingChars="200"/>
      <w:jc w:val="both"/>
    </w:pPr>
    <w:rPr>
      <w:rFonts w:ascii="Times New Roman" w:hAnsi="Times New Roman" w:eastAsia="仿宋_GB2312"/>
      <w:kern w:val="2"/>
      <w:sz w:val="32"/>
      <w:szCs w:val="20"/>
      <w:vertAlign w:val="superscript"/>
      <w:lang w:val="en-US" w:bidi="ar-SA"/>
    </w:rPr>
  </w:style>
  <w:style w:type="paragraph" w:styleId="21">
    <w:name w:val="Block Text"/>
    <w:basedOn w:val="1"/>
    <w:qFormat/>
    <w:uiPriority w:val="0"/>
    <w:pPr>
      <w:ind w:left="359" w:leftChars="171" w:right="571" w:rightChars="272" w:firstLine="199" w:firstLineChars="71"/>
    </w:pPr>
    <w:rPr>
      <w:rFonts w:ascii="楷体_GB2312" w:eastAsia="楷体_GB2312"/>
      <w:sz w:val="28"/>
      <w:szCs w:val="20"/>
    </w:rPr>
  </w:style>
  <w:style w:type="paragraph" w:styleId="22">
    <w:name w:val="toc 5"/>
    <w:basedOn w:val="1"/>
    <w:next w:val="1"/>
    <w:qFormat/>
    <w:uiPriority w:val="0"/>
    <w:pPr>
      <w:autoSpaceDE/>
      <w:autoSpaceDN/>
      <w:ind w:left="840"/>
    </w:pPr>
    <w:rPr>
      <w:rFonts w:ascii="Times New Roman" w:hAnsi="Times New Roman"/>
      <w:kern w:val="2"/>
      <w:sz w:val="18"/>
      <w:szCs w:val="18"/>
      <w:lang w:val="en-US" w:bidi="ar-SA"/>
    </w:rPr>
  </w:style>
  <w:style w:type="paragraph" w:styleId="23">
    <w:name w:val="toc 3"/>
    <w:basedOn w:val="1"/>
    <w:next w:val="1"/>
    <w:unhideWhenUsed/>
    <w:qFormat/>
    <w:uiPriority w:val="0"/>
    <w:pPr>
      <w:widowControl/>
      <w:autoSpaceDE/>
      <w:autoSpaceDN/>
      <w:spacing w:after="100" w:line="259" w:lineRule="auto"/>
      <w:ind w:left="440"/>
    </w:pPr>
    <w:rPr>
      <w:rFonts w:ascii="等线" w:hAnsi="等线" w:eastAsia="等线"/>
      <w:sz w:val="22"/>
      <w:szCs w:val="22"/>
      <w:lang w:val="en-US" w:bidi="ar-SA"/>
    </w:rPr>
  </w:style>
  <w:style w:type="paragraph" w:styleId="24">
    <w:name w:val="Plain Text"/>
    <w:basedOn w:val="1"/>
    <w:next w:val="14"/>
    <w:link w:val="143"/>
    <w:qFormat/>
    <w:uiPriority w:val="99"/>
    <w:pPr>
      <w:adjustRightInd w:val="0"/>
      <w:spacing w:before="120" w:line="400" w:lineRule="exact"/>
      <w:textAlignment w:val="baseline"/>
    </w:pPr>
    <w:rPr>
      <w:rFonts w:hAnsi="Courier New"/>
      <w:spacing w:val="-2"/>
      <w:kern w:val="28"/>
      <w:szCs w:val="20"/>
    </w:rPr>
  </w:style>
  <w:style w:type="paragraph" w:styleId="25">
    <w:name w:val="toc 8"/>
    <w:basedOn w:val="1"/>
    <w:next w:val="1"/>
    <w:qFormat/>
    <w:uiPriority w:val="0"/>
    <w:pPr>
      <w:autoSpaceDE/>
      <w:autoSpaceDN/>
      <w:ind w:left="1470"/>
    </w:pPr>
    <w:rPr>
      <w:rFonts w:ascii="Times New Roman" w:hAnsi="Times New Roman"/>
      <w:kern w:val="2"/>
      <w:sz w:val="18"/>
      <w:szCs w:val="18"/>
      <w:lang w:val="en-US" w:bidi="ar-SA"/>
    </w:rPr>
  </w:style>
  <w:style w:type="paragraph" w:styleId="26">
    <w:name w:val="Date"/>
    <w:basedOn w:val="1"/>
    <w:next w:val="1"/>
    <w:link w:val="153"/>
    <w:qFormat/>
    <w:uiPriority w:val="0"/>
    <w:pPr>
      <w:autoSpaceDE/>
      <w:autoSpaceDN/>
      <w:jc w:val="both"/>
    </w:pPr>
    <w:rPr>
      <w:rFonts w:hAnsi="Times New Roman"/>
      <w:sz w:val="28"/>
      <w:szCs w:val="20"/>
      <w:lang w:val="en-US" w:bidi="ar-SA"/>
    </w:rPr>
  </w:style>
  <w:style w:type="paragraph" w:styleId="27">
    <w:name w:val="Body Text Indent 2"/>
    <w:basedOn w:val="1"/>
    <w:next w:val="2"/>
    <w:link w:val="128"/>
    <w:qFormat/>
    <w:uiPriority w:val="0"/>
    <w:pPr>
      <w:spacing w:before="15" w:line="480" w:lineRule="exact"/>
      <w:ind w:firstLine="496" w:firstLineChars="200"/>
    </w:pPr>
    <w:rPr>
      <w:spacing w:val="4"/>
      <w:sz w:val="24"/>
    </w:rPr>
  </w:style>
  <w:style w:type="paragraph" w:styleId="28">
    <w:name w:val="Balloon Text"/>
    <w:basedOn w:val="1"/>
    <w:link w:val="52"/>
    <w:qFormat/>
    <w:uiPriority w:val="0"/>
    <w:rPr>
      <w:sz w:val="18"/>
      <w:szCs w:val="18"/>
    </w:rPr>
  </w:style>
  <w:style w:type="paragraph" w:styleId="29">
    <w:name w:val="footer"/>
    <w:basedOn w:val="1"/>
    <w:link w:val="105"/>
    <w:qFormat/>
    <w:uiPriority w:val="0"/>
    <w:pPr>
      <w:tabs>
        <w:tab w:val="center" w:pos="4153"/>
        <w:tab w:val="right" w:pos="8306"/>
      </w:tabs>
      <w:snapToGrid w:val="0"/>
    </w:pPr>
    <w:rPr>
      <w:sz w:val="18"/>
    </w:rPr>
  </w:style>
  <w:style w:type="paragraph" w:styleId="30">
    <w:name w:val="header"/>
    <w:basedOn w:val="1"/>
    <w:link w:val="14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31">
    <w:name w:val="toc 1"/>
    <w:basedOn w:val="1"/>
    <w:next w:val="1"/>
    <w:qFormat/>
    <w:uiPriority w:val="39"/>
    <w:pPr>
      <w:tabs>
        <w:tab w:val="right" w:leader="dot" w:pos="8300"/>
      </w:tabs>
      <w:jc w:val="center"/>
    </w:pPr>
    <w:rPr>
      <w:b/>
      <w:bCs/>
      <w:sz w:val="32"/>
      <w:szCs w:val="32"/>
      <w:lang w:val="en-US"/>
    </w:rPr>
  </w:style>
  <w:style w:type="paragraph" w:styleId="32">
    <w:name w:val="toc 4"/>
    <w:basedOn w:val="1"/>
    <w:next w:val="1"/>
    <w:qFormat/>
    <w:uiPriority w:val="0"/>
    <w:pPr>
      <w:autoSpaceDE/>
      <w:autoSpaceDN/>
      <w:ind w:left="630"/>
    </w:pPr>
    <w:rPr>
      <w:rFonts w:ascii="Times New Roman" w:hAnsi="Times New Roman"/>
      <w:kern w:val="2"/>
      <w:sz w:val="18"/>
      <w:szCs w:val="18"/>
      <w:lang w:val="en-US" w:bidi="ar-SA"/>
    </w:rPr>
  </w:style>
  <w:style w:type="paragraph" w:styleId="33">
    <w:name w:val="index heading"/>
    <w:basedOn w:val="1"/>
    <w:next w:val="34"/>
    <w:unhideWhenUsed/>
    <w:qFormat/>
    <w:uiPriority w:val="0"/>
    <w:rPr>
      <w:szCs w:val="20"/>
    </w:rPr>
  </w:style>
  <w:style w:type="paragraph" w:styleId="34">
    <w:name w:val="index 1"/>
    <w:basedOn w:val="1"/>
    <w:next w:val="1"/>
    <w:qFormat/>
    <w:uiPriority w:val="99"/>
  </w:style>
  <w:style w:type="paragraph" w:styleId="35">
    <w:name w:val="toc 6"/>
    <w:basedOn w:val="1"/>
    <w:next w:val="1"/>
    <w:qFormat/>
    <w:uiPriority w:val="0"/>
    <w:pPr>
      <w:autoSpaceDE/>
      <w:autoSpaceDN/>
      <w:ind w:left="1050"/>
    </w:pPr>
    <w:rPr>
      <w:rFonts w:ascii="Times New Roman" w:hAnsi="Times New Roman"/>
      <w:kern w:val="2"/>
      <w:sz w:val="18"/>
      <w:szCs w:val="18"/>
      <w:lang w:val="en-US" w:bidi="ar-SA"/>
    </w:rPr>
  </w:style>
  <w:style w:type="paragraph" w:styleId="36">
    <w:name w:val="Body Text Indent 3"/>
    <w:basedOn w:val="1"/>
    <w:link w:val="136"/>
    <w:qFormat/>
    <w:uiPriority w:val="0"/>
    <w:pPr>
      <w:autoSpaceDE/>
      <w:autoSpaceDN/>
      <w:spacing w:after="120"/>
      <w:ind w:left="420" w:leftChars="200"/>
      <w:jc w:val="both"/>
    </w:pPr>
    <w:rPr>
      <w:rFonts w:ascii="Times New Roman" w:hAnsi="Times New Roman"/>
      <w:sz w:val="16"/>
      <w:szCs w:val="16"/>
      <w:lang w:val="en-US" w:bidi="ar-SA"/>
    </w:rPr>
  </w:style>
  <w:style w:type="paragraph" w:styleId="37">
    <w:name w:val="table of figures"/>
    <w:basedOn w:val="1"/>
    <w:next w:val="1"/>
    <w:unhideWhenUsed/>
    <w:qFormat/>
    <w:uiPriority w:val="99"/>
    <w:pPr>
      <w:autoSpaceDE/>
      <w:autoSpaceDN/>
      <w:ind w:left="200" w:leftChars="200" w:hanging="200" w:hangingChars="200"/>
      <w:jc w:val="both"/>
    </w:pPr>
    <w:rPr>
      <w:rFonts w:ascii="Times New Roman" w:hAnsi="Times New Roman"/>
      <w:kern w:val="2"/>
      <w:szCs w:val="24"/>
      <w:lang w:val="en-US" w:bidi="ar-SA"/>
    </w:rPr>
  </w:style>
  <w:style w:type="paragraph" w:styleId="38">
    <w:name w:val="toc 2"/>
    <w:basedOn w:val="1"/>
    <w:next w:val="1"/>
    <w:qFormat/>
    <w:uiPriority w:val="0"/>
    <w:pPr>
      <w:ind w:left="420" w:leftChars="200"/>
    </w:pPr>
  </w:style>
  <w:style w:type="paragraph" w:styleId="39">
    <w:name w:val="Body Text 2"/>
    <w:basedOn w:val="1"/>
    <w:link w:val="144"/>
    <w:qFormat/>
    <w:uiPriority w:val="0"/>
    <w:pPr>
      <w:spacing w:after="120" w:line="480" w:lineRule="auto"/>
      <w:ind w:firstLine="880" w:firstLineChars="200"/>
    </w:pPr>
    <w:rPr>
      <w:sz w:val="24"/>
    </w:rPr>
  </w:style>
  <w:style w:type="paragraph" w:styleId="40">
    <w:name w:val="Normal (Web)"/>
    <w:basedOn w:val="1"/>
    <w:link w:val="219"/>
    <w:qFormat/>
    <w:uiPriority w:val="0"/>
    <w:pPr>
      <w:spacing w:beforeAutospacing="1" w:afterAutospacing="1"/>
    </w:pPr>
    <w:rPr>
      <w:sz w:val="24"/>
      <w:lang w:val="en-US" w:bidi="ar-SA"/>
    </w:rPr>
  </w:style>
  <w:style w:type="paragraph" w:styleId="41">
    <w:name w:val="annotation subject"/>
    <w:basedOn w:val="13"/>
    <w:next w:val="13"/>
    <w:link w:val="53"/>
    <w:qFormat/>
    <w:uiPriority w:val="0"/>
    <w:rPr>
      <w:b/>
      <w:bCs/>
    </w:rPr>
  </w:style>
  <w:style w:type="paragraph" w:styleId="42">
    <w:name w:val="Body Text First Indent"/>
    <w:basedOn w:val="15"/>
    <w:link w:val="115"/>
    <w:qFormat/>
    <w:uiPriority w:val="0"/>
    <w:pPr>
      <w:spacing w:after="120"/>
      <w:ind w:firstLine="420" w:firstLineChars="100"/>
    </w:pPr>
    <w:rPr>
      <w:rFonts w:cs="Times New Roman"/>
      <w:sz w:val="21"/>
      <w:szCs w:val="21"/>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5">
    <w:name w:val="Table Grid 5"/>
    <w:basedOn w:val="4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7">
    <w:name w:val="Strong"/>
    <w:qFormat/>
    <w:uiPriority w:val="0"/>
    <w:rPr>
      <w:b/>
    </w:rPr>
  </w:style>
  <w:style w:type="character" w:styleId="48">
    <w:name w:val="page number"/>
    <w:qFormat/>
    <w:uiPriority w:val="0"/>
    <w:rPr>
      <w:rFonts w:hint="default" w:ascii="Times New Roman" w:hAnsi="Times New Roman" w:cs="Times New Roman"/>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批注文字 Char"/>
    <w:link w:val="13"/>
    <w:qFormat/>
    <w:uiPriority w:val="0"/>
    <w:rPr>
      <w:rFonts w:ascii="宋体" w:hAnsi="宋体"/>
      <w:sz w:val="21"/>
      <w:szCs w:val="21"/>
      <w:lang w:val="zh-CN" w:bidi="zh-CN"/>
    </w:rPr>
  </w:style>
  <w:style w:type="character" w:customStyle="1" w:styleId="52">
    <w:name w:val="批注框文本 Char"/>
    <w:link w:val="28"/>
    <w:qFormat/>
    <w:uiPriority w:val="0"/>
    <w:rPr>
      <w:rFonts w:ascii="宋体" w:hAnsi="宋体"/>
      <w:sz w:val="18"/>
      <w:szCs w:val="18"/>
      <w:lang w:val="zh-CN" w:bidi="zh-CN"/>
    </w:rPr>
  </w:style>
  <w:style w:type="character" w:customStyle="1" w:styleId="53">
    <w:name w:val="批注主题 Char"/>
    <w:link w:val="41"/>
    <w:qFormat/>
    <w:uiPriority w:val="0"/>
    <w:rPr>
      <w:rFonts w:ascii="宋体" w:hAnsi="宋体"/>
      <w:b/>
      <w:bCs/>
      <w:sz w:val="21"/>
      <w:szCs w:val="21"/>
      <w:lang w:val="zh-CN" w:bidi="zh-CN"/>
    </w:rPr>
  </w:style>
  <w:style w:type="paragraph" w:customStyle="1" w:styleId="54">
    <w:name w:val="正文 首行缩进:  2 字符"/>
    <w:basedOn w:val="1"/>
    <w:qFormat/>
    <w:uiPriority w:val="0"/>
    <w:pPr>
      <w:adjustRightInd w:val="0"/>
      <w:snapToGrid w:val="0"/>
      <w:spacing w:line="500" w:lineRule="exact"/>
      <w:ind w:firstLine="200" w:firstLineChars="200"/>
    </w:pPr>
    <w:rPr>
      <w:sz w:val="24"/>
    </w:rPr>
  </w:style>
  <w:style w:type="paragraph" w:customStyle="1" w:styleId="55">
    <w:name w:val="Default"/>
    <w:basedOn w:val="56"/>
    <w:next w:val="57"/>
    <w:qFormat/>
    <w:uiPriority w:val="0"/>
    <w:pPr>
      <w:adjustRightInd w:val="0"/>
    </w:pPr>
    <w:rPr>
      <w:rFonts w:ascii="宋体" w:hAnsi="宋体" w:eastAsia="宋体" w:cs="宋体"/>
      <w:color w:val="000000"/>
      <w:sz w:val="24"/>
      <w:szCs w:val="24"/>
      <w:lang w:val="en-US" w:bidi="ar-SA"/>
    </w:rPr>
  </w:style>
  <w:style w:type="paragraph" w:customStyle="1" w:styleId="56">
    <w:name w:val="标题2"/>
    <w:basedOn w:val="4"/>
    <w:qFormat/>
    <w:uiPriority w:val="0"/>
    <w:pPr>
      <w:spacing w:before="0" w:line="440" w:lineRule="exact"/>
      <w:ind w:left="1560"/>
    </w:pPr>
    <w:rPr>
      <w:sz w:val="28"/>
    </w:rPr>
  </w:style>
  <w:style w:type="paragraph" w:customStyle="1" w:styleId="57">
    <w:name w:val="1正文段落"/>
    <w:basedOn w:val="1"/>
    <w:qFormat/>
    <w:uiPriority w:val="0"/>
    <w:pPr>
      <w:spacing w:line="360" w:lineRule="auto"/>
      <w:ind w:firstLine="480" w:firstLineChars="200"/>
    </w:pPr>
    <w:rPr>
      <w:rFonts w:ascii="Times New Roman" w:hAnsi="Times New Roman"/>
      <w:sz w:val="24"/>
      <w:szCs w:val="22"/>
    </w:rPr>
  </w:style>
  <w:style w:type="paragraph" w:customStyle="1" w:styleId="58">
    <w:name w:val="文本"/>
    <w:basedOn w:val="1"/>
    <w:next w:val="1"/>
    <w:qFormat/>
    <w:uiPriority w:val="0"/>
    <w:pPr>
      <w:ind w:firstLine="480"/>
    </w:pPr>
    <w:rPr>
      <w:szCs w:val="24"/>
    </w:rPr>
  </w:style>
  <w:style w:type="paragraph" w:customStyle="1" w:styleId="59">
    <w:name w:val="样式1"/>
    <w:basedOn w:val="33"/>
    <w:next w:val="21"/>
    <w:qFormat/>
    <w:uiPriority w:val="0"/>
    <w:rPr>
      <w:color w:val="000000"/>
      <w:sz w:val="24"/>
    </w:rPr>
  </w:style>
  <w:style w:type="table" w:customStyle="1" w:styleId="60">
    <w:name w:val="Table Normal"/>
    <w:unhideWhenUsed/>
    <w:qFormat/>
    <w:uiPriority w:val="2"/>
    <w:tblPr>
      <w:tblCellMar>
        <w:top w:w="0" w:type="dxa"/>
        <w:left w:w="0" w:type="dxa"/>
        <w:bottom w:w="0" w:type="dxa"/>
        <w:right w:w="0" w:type="dxa"/>
      </w:tblCellMar>
    </w:tblPr>
  </w:style>
  <w:style w:type="paragraph" w:styleId="61">
    <w:name w:val="List Paragraph"/>
    <w:basedOn w:val="1"/>
    <w:qFormat/>
    <w:uiPriority w:val="99"/>
    <w:pPr>
      <w:ind w:left="1581" w:hanging="601"/>
    </w:pPr>
    <w:rPr>
      <w:rFonts w:cs="宋体"/>
    </w:rPr>
  </w:style>
  <w:style w:type="paragraph" w:customStyle="1" w:styleId="62">
    <w:name w:val="Table Paragraph"/>
    <w:basedOn w:val="1"/>
    <w:qFormat/>
    <w:uiPriority w:val="1"/>
    <w:rPr>
      <w:rFonts w:cs="宋体"/>
    </w:rPr>
  </w:style>
  <w:style w:type="paragraph" w:customStyle="1" w:styleId="63">
    <w:name w:val="Char1 Char Char Char"/>
    <w:basedOn w:val="1"/>
    <w:qFormat/>
    <w:uiPriority w:val="0"/>
    <w:rPr>
      <w:sz w:val="24"/>
    </w:rPr>
  </w:style>
  <w:style w:type="paragraph" w:customStyle="1" w:styleId="64">
    <w:name w:val="表格 32"/>
    <w:basedOn w:val="65"/>
    <w:qFormat/>
    <w:uiPriority w:val="0"/>
    <w:pPr>
      <w:spacing w:line="240" w:lineRule="auto"/>
    </w:pPr>
    <w:rPr>
      <w:b w:val="0"/>
      <w:szCs w:val="21"/>
    </w:rPr>
  </w:style>
  <w:style w:type="paragraph" w:customStyle="1" w:styleId="65">
    <w:name w:val="表头"/>
    <w:basedOn w:val="66"/>
    <w:next w:val="1"/>
    <w:link w:val="147"/>
    <w:qFormat/>
    <w:uiPriority w:val="0"/>
    <w:rPr>
      <w:rFonts w:ascii="Times New Roman" w:hAnsi="Times New Roman"/>
      <w:sz w:val="21"/>
    </w:rPr>
  </w:style>
  <w:style w:type="paragraph" w:customStyle="1" w:styleId="66">
    <w:name w:val="11111111111"/>
    <w:basedOn w:val="1"/>
    <w:qFormat/>
    <w:uiPriority w:val="0"/>
    <w:pPr>
      <w:spacing w:line="480" w:lineRule="exact"/>
      <w:jc w:val="center"/>
    </w:pPr>
    <w:rPr>
      <w:b/>
      <w:sz w:val="20"/>
      <w:szCs w:val="20"/>
    </w:rPr>
  </w:style>
  <w:style w:type="paragraph" w:customStyle="1" w:styleId="67">
    <w:name w:val="表格"/>
    <w:basedOn w:val="1"/>
    <w:next w:val="1"/>
    <w:link w:val="121"/>
    <w:qFormat/>
    <w:uiPriority w:val="0"/>
    <w:pPr>
      <w:adjustRightInd w:val="0"/>
      <w:spacing w:line="260" w:lineRule="atLeast"/>
      <w:jc w:val="center"/>
      <w:textAlignment w:val="baseline"/>
    </w:pPr>
    <w:rPr>
      <w:bCs/>
      <w:spacing w:val="-3"/>
    </w:rPr>
  </w:style>
  <w:style w:type="paragraph" w:customStyle="1" w:styleId="68">
    <w:name w:val="表格文字"/>
    <w:basedOn w:val="1"/>
    <w:link w:val="159"/>
    <w:qFormat/>
    <w:uiPriority w:val="0"/>
    <w:pPr>
      <w:adjustRightInd w:val="0"/>
      <w:snapToGrid w:val="0"/>
      <w:jc w:val="center"/>
    </w:pPr>
    <w:rPr>
      <w:rFonts w:ascii="仿宋_GB2312" w:hAnsi="Arial Black" w:eastAsia="仿宋_GB2312"/>
      <w:kern w:val="44"/>
      <w:sz w:val="24"/>
      <w:szCs w:val="20"/>
    </w:rPr>
  </w:style>
  <w:style w:type="paragraph" w:customStyle="1" w:styleId="69">
    <w:name w:val="正文1"/>
    <w:basedOn w:val="1"/>
    <w:qFormat/>
    <w:uiPriority w:val="0"/>
    <w:pPr>
      <w:adjustRightInd w:val="0"/>
      <w:snapToGrid w:val="0"/>
      <w:spacing w:line="360" w:lineRule="auto"/>
      <w:ind w:firstLine="482"/>
    </w:pPr>
    <w:rPr>
      <w:sz w:val="24"/>
    </w:rPr>
  </w:style>
  <w:style w:type="paragraph" w:customStyle="1" w:styleId="70">
    <w:name w:val="五号表格"/>
    <w:basedOn w:val="1"/>
    <w:qFormat/>
    <w:uiPriority w:val="0"/>
    <w:pPr>
      <w:jc w:val="center"/>
    </w:pPr>
    <w:rPr>
      <w:szCs w:val="20"/>
    </w:rPr>
  </w:style>
  <w:style w:type="paragraph" w:customStyle="1" w:styleId="71">
    <w:name w:val="表格标题"/>
    <w:basedOn w:val="1"/>
    <w:next w:val="72"/>
    <w:qFormat/>
    <w:uiPriority w:val="0"/>
    <w:pPr>
      <w:jc w:val="center"/>
    </w:pPr>
    <w:rPr>
      <w:b/>
    </w:rPr>
  </w:style>
  <w:style w:type="paragraph" w:customStyle="1" w:styleId="72">
    <w:name w:val="表格内容"/>
    <w:basedOn w:val="71"/>
    <w:next w:val="1"/>
    <w:link w:val="91"/>
    <w:qFormat/>
    <w:uiPriority w:val="0"/>
    <w:pPr>
      <w:spacing w:line="240" w:lineRule="atLeast"/>
    </w:pPr>
    <w:rPr>
      <w:rFonts w:ascii="Times New Roman" w:hAnsi="Times New Roman"/>
      <w:b w:val="0"/>
    </w:rPr>
  </w:style>
  <w:style w:type="paragraph" w:customStyle="1" w:styleId="73">
    <w:name w:val="样式 标题 1 + 加粗"/>
    <w:basedOn w:val="3"/>
    <w:qFormat/>
    <w:uiPriority w:val="0"/>
  </w:style>
  <w:style w:type="paragraph" w:customStyle="1" w:styleId="74">
    <w:name w:val="样式3"/>
    <w:basedOn w:val="1"/>
    <w:qFormat/>
    <w:uiPriority w:val="0"/>
    <w:pPr>
      <w:snapToGrid w:val="0"/>
      <w:spacing w:before="120" w:line="460" w:lineRule="atLeast"/>
      <w:jc w:val="center"/>
    </w:pPr>
    <w:rPr>
      <w:rFonts w:ascii="方正书宋简体" w:hAnsi="方正书宋简体" w:eastAsia="Lucida Console" w:cs="方正书宋简体"/>
      <w:sz w:val="28"/>
    </w:rPr>
  </w:style>
  <w:style w:type="paragraph" w:customStyle="1" w:styleId="75">
    <w:name w:val="表样式1"/>
    <w:basedOn w:val="1"/>
    <w:qFormat/>
    <w:uiPriority w:val="0"/>
    <w:pPr>
      <w:snapToGrid w:val="0"/>
      <w:jc w:val="center"/>
    </w:pPr>
    <w:rPr>
      <w:rFonts w:ascii="Times New Roman" w:hAnsi="Times New Roman"/>
      <w:color w:val="000000"/>
      <w:kern w:val="2"/>
      <w:lang w:val="en-US" w:bidi="ar-SA"/>
    </w:rPr>
  </w:style>
  <w:style w:type="paragraph" w:customStyle="1" w:styleId="76">
    <w:name w:val="正文_3"/>
    <w:qFormat/>
    <w:uiPriority w:val="0"/>
    <w:pPr>
      <w:widowControl w:val="0"/>
      <w:jc w:val="both"/>
    </w:pPr>
    <w:rPr>
      <w:rFonts w:ascii="Calibri" w:hAnsi="Calibri" w:eastAsia="宋体" w:cs="Times New Roman"/>
      <w:kern w:val="2"/>
      <w:sz w:val="21"/>
      <w:lang w:val="en-US" w:eastAsia="zh-CN" w:bidi="ar-SA"/>
    </w:rPr>
  </w:style>
  <w:style w:type="paragraph" w:customStyle="1" w:styleId="77">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78">
    <w:name w:val="正文_14"/>
    <w:qFormat/>
    <w:uiPriority w:val="0"/>
    <w:pPr>
      <w:widowControl w:val="0"/>
      <w:jc w:val="both"/>
    </w:pPr>
    <w:rPr>
      <w:rFonts w:ascii="Calibri" w:hAnsi="Calibri" w:eastAsia="宋体" w:cs="Times New Roman"/>
      <w:kern w:val="2"/>
      <w:sz w:val="21"/>
      <w:lang w:val="en-US" w:eastAsia="zh-CN" w:bidi="ar-SA"/>
    </w:rPr>
  </w:style>
  <w:style w:type="paragraph" w:customStyle="1" w:styleId="79">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80">
    <w:name w:val="正文_12"/>
    <w:qFormat/>
    <w:uiPriority w:val="0"/>
    <w:pPr>
      <w:widowControl w:val="0"/>
      <w:jc w:val="both"/>
    </w:pPr>
    <w:rPr>
      <w:rFonts w:ascii="Calibri" w:hAnsi="Calibri" w:eastAsia="宋体" w:cs="Times New Roman"/>
      <w:kern w:val="2"/>
      <w:sz w:val="21"/>
      <w:lang w:val="en-US" w:eastAsia="zh-CN" w:bidi="ar-SA"/>
    </w:rPr>
  </w:style>
  <w:style w:type="paragraph" w:customStyle="1" w:styleId="81">
    <w:name w:val="正文_16"/>
    <w:qFormat/>
    <w:uiPriority w:val="0"/>
    <w:pPr>
      <w:widowControl w:val="0"/>
      <w:jc w:val="both"/>
    </w:pPr>
    <w:rPr>
      <w:rFonts w:ascii="Calibri" w:hAnsi="Calibri" w:eastAsia="宋体" w:cs="Times New Roman"/>
      <w:kern w:val="2"/>
      <w:sz w:val="21"/>
      <w:lang w:val="en-US" w:eastAsia="zh-CN" w:bidi="ar-SA"/>
    </w:rPr>
  </w:style>
  <w:style w:type="paragraph" w:customStyle="1" w:styleId="82">
    <w:name w:val="修订1"/>
    <w:semiHidden/>
    <w:qFormat/>
    <w:uiPriority w:val="99"/>
    <w:rPr>
      <w:rFonts w:ascii="宋体" w:hAnsi="宋体" w:eastAsia="宋体" w:cs="Times New Roman"/>
      <w:sz w:val="21"/>
      <w:szCs w:val="21"/>
      <w:lang w:val="zh-CN" w:eastAsia="zh-CN" w:bidi="zh-CN"/>
    </w:rPr>
  </w:style>
  <w:style w:type="paragraph" w:customStyle="1" w:styleId="83">
    <w:name w:val="4正文 Char"/>
    <w:basedOn w:val="1"/>
    <w:qFormat/>
    <w:uiPriority w:val="0"/>
    <w:pPr>
      <w:spacing w:line="360" w:lineRule="auto"/>
      <w:ind w:firstLine="480" w:firstLineChars="200"/>
    </w:pPr>
    <w:rPr>
      <w:sz w:val="24"/>
      <w:szCs w:val="20"/>
    </w:rPr>
  </w:style>
  <w:style w:type="paragraph" w:customStyle="1" w:styleId="84">
    <w:name w:val="表格正文"/>
    <w:basedOn w:val="1"/>
    <w:qFormat/>
    <w:uiPriority w:val="0"/>
    <w:pPr>
      <w:spacing w:line="360" w:lineRule="exact"/>
      <w:jc w:val="center"/>
    </w:pPr>
    <w:rPr>
      <w:szCs w:val="20"/>
    </w:rPr>
  </w:style>
  <w:style w:type="character" w:customStyle="1" w:styleId="85">
    <w:name w:val="zw1"/>
    <w:qFormat/>
    <w:uiPriority w:val="0"/>
    <w:rPr>
      <w:rFonts w:hint="eastAsia" w:ascii="宋体" w:hAnsi="宋体" w:eastAsia="宋体"/>
      <w:sz w:val="22"/>
      <w:szCs w:val="22"/>
    </w:rPr>
  </w:style>
  <w:style w:type="character" w:customStyle="1" w:styleId="86">
    <w:name w:val="bt21"/>
    <w:qFormat/>
    <w:uiPriority w:val="0"/>
    <w:rPr>
      <w:rFonts w:hint="eastAsia" w:ascii="黑体" w:eastAsia="黑体"/>
      <w:sz w:val="24"/>
      <w:szCs w:val="24"/>
    </w:rPr>
  </w:style>
  <w:style w:type="paragraph" w:customStyle="1" w:styleId="87">
    <w:name w:val="正文（首行缩进） Char"/>
    <w:basedOn w:val="1"/>
    <w:qFormat/>
    <w:uiPriority w:val="0"/>
    <w:pPr>
      <w:widowControl/>
      <w:overflowPunct w:val="0"/>
      <w:topLinePunct/>
      <w:adjustRightInd w:val="0"/>
      <w:snapToGrid w:val="0"/>
      <w:spacing w:line="360" w:lineRule="auto"/>
      <w:ind w:firstLine="480" w:firstLineChars="200"/>
      <w:textAlignment w:val="baseline"/>
    </w:pPr>
    <w:rPr>
      <w:sz w:val="24"/>
    </w:rPr>
  </w:style>
  <w:style w:type="paragraph" w:customStyle="1" w:styleId="88">
    <w:name w:val="1表格"/>
    <w:basedOn w:val="1"/>
    <w:qFormat/>
    <w:uiPriority w:val="0"/>
    <w:pPr>
      <w:adjustRightInd w:val="0"/>
      <w:snapToGrid w:val="0"/>
      <w:jc w:val="center"/>
      <w:textAlignment w:val="baseline"/>
    </w:pPr>
    <w:rPr>
      <w:spacing w:val="4"/>
      <w:kern w:val="2"/>
    </w:rPr>
  </w:style>
  <w:style w:type="paragraph" w:customStyle="1" w:styleId="89">
    <w:name w:val="标头"/>
    <w:basedOn w:val="1"/>
    <w:qFormat/>
    <w:uiPriority w:val="0"/>
    <w:pPr>
      <w:jc w:val="center"/>
    </w:pPr>
    <w:rPr>
      <w:b/>
    </w:rPr>
  </w:style>
  <w:style w:type="paragraph" w:customStyle="1" w:styleId="90">
    <w:name w:val="paragraph"/>
    <w:basedOn w:val="1"/>
    <w:qFormat/>
    <w:uiPriority w:val="0"/>
    <w:pPr>
      <w:widowControl/>
      <w:autoSpaceDE/>
      <w:autoSpaceDN/>
      <w:spacing w:before="100" w:beforeAutospacing="1" w:after="100" w:afterAutospacing="1"/>
    </w:pPr>
    <w:rPr>
      <w:rFonts w:cs="宋体"/>
      <w:sz w:val="24"/>
      <w:szCs w:val="24"/>
      <w:lang w:val="en-US" w:bidi="ar-SA"/>
    </w:rPr>
  </w:style>
  <w:style w:type="character" w:customStyle="1" w:styleId="91">
    <w:name w:val="表格内容 Char1"/>
    <w:link w:val="72"/>
    <w:qFormat/>
    <w:uiPriority w:val="0"/>
    <w:rPr>
      <w:sz w:val="21"/>
      <w:szCs w:val="21"/>
      <w:lang w:val="zh-CN" w:bidi="zh-CN"/>
    </w:rPr>
  </w:style>
  <w:style w:type="paragraph" w:customStyle="1" w:styleId="92">
    <w:name w:val="无间隔3"/>
    <w:basedOn w:val="1"/>
    <w:qFormat/>
    <w:uiPriority w:val="0"/>
    <w:pPr>
      <w:widowControl/>
      <w:autoSpaceDE/>
      <w:autoSpaceDN/>
      <w:spacing w:line="360" w:lineRule="auto"/>
      <w:ind w:firstLine="720" w:firstLineChars="200"/>
    </w:pPr>
    <w:rPr>
      <w:rFonts w:ascii="Cambria" w:hAnsi="Cambria"/>
      <w:sz w:val="22"/>
      <w:szCs w:val="22"/>
      <w:lang w:val="en-US" w:eastAsia="en-US" w:bidi="en-US"/>
    </w:rPr>
  </w:style>
  <w:style w:type="paragraph" w:customStyle="1" w:styleId="93">
    <w:name w:val="111表头"/>
    <w:basedOn w:val="1"/>
    <w:qFormat/>
    <w:uiPriority w:val="0"/>
    <w:pPr>
      <w:tabs>
        <w:tab w:val="left" w:pos="600"/>
      </w:tabs>
      <w:autoSpaceDE/>
      <w:autoSpaceDN/>
      <w:spacing w:line="400" w:lineRule="exact"/>
      <w:jc w:val="center"/>
    </w:pPr>
    <w:rPr>
      <w:rFonts w:ascii="Times New Roman" w:hAnsi="Times New Roman"/>
      <w:b/>
      <w:kern w:val="2"/>
      <w:sz w:val="24"/>
      <w:szCs w:val="22"/>
      <w:lang w:val="en-US" w:bidi="ar-SA"/>
    </w:rPr>
  </w:style>
  <w:style w:type="character" w:customStyle="1" w:styleId="94">
    <w:name w:val="表标题 Char"/>
    <w:link w:val="95"/>
    <w:qFormat/>
    <w:locked/>
    <w:uiPriority w:val="0"/>
    <w:rPr>
      <w:b/>
      <w:sz w:val="24"/>
      <w:szCs w:val="24"/>
    </w:rPr>
  </w:style>
  <w:style w:type="paragraph" w:customStyle="1" w:styleId="95">
    <w:name w:val="表标题"/>
    <w:next w:val="1"/>
    <w:link w:val="94"/>
    <w:qFormat/>
    <w:uiPriority w:val="0"/>
    <w:pPr>
      <w:spacing w:before="60"/>
      <w:jc w:val="center"/>
    </w:pPr>
    <w:rPr>
      <w:rFonts w:ascii="Times New Roman" w:hAnsi="Times New Roman" w:eastAsia="宋体" w:cs="Times New Roman"/>
      <w:b/>
      <w:sz w:val="24"/>
      <w:szCs w:val="24"/>
      <w:lang w:val="en-US" w:eastAsia="zh-CN" w:bidi="ar-SA"/>
    </w:rPr>
  </w:style>
  <w:style w:type="paragraph" w:customStyle="1" w:styleId="96">
    <w:name w:val="p0"/>
    <w:basedOn w:val="1"/>
    <w:qFormat/>
    <w:uiPriority w:val="0"/>
    <w:pPr>
      <w:widowControl/>
      <w:autoSpaceDE/>
      <w:autoSpaceDN/>
      <w:spacing w:line="360" w:lineRule="auto"/>
      <w:ind w:firstLine="720" w:firstLineChars="200"/>
      <w:jc w:val="both"/>
    </w:pPr>
    <w:rPr>
      <w:rFonts w:ascii="Times New Roman" w:hAnsi="Times New Roman"/>
      <w:sz w:val="24"/>
      <w:lang w:val="en-US" w:bidi="ar-SA"/>
    </w:rPr>
  </w:style>
  <w:style w:type="paragraph" w:customStyle="1" w:styleId="97">
    <w:name w:val="表格字体"/>
    <w:basedOn w:val="1"/>
    <w:next w:val="1"/>
    <w:qFormat/>
    <w:uiPriority w:val="0"/>
    <w:pPr>
      <w:autoSpaceDE/>
      <w:autoSpaceDN/>
      <w:spacing w:line="360" w:lineRule="auto"/>
      <w:ind w:firstLine="200" w:firstLineChars="200"/>
      <w:jc w:val="center"/>
    </w:pPr>
    <w:rPr>
      <w:rFonts w:ascii="Times New Roman" w:hAnsi="Times New Roman"/>
      <w:kern w:val="2"/>
      <w:sz w:val="24"/>
      <w:szCs w:val="20"/>
      <w:lang w:val="en-US" w:bidi="ar-SA"/>
    </w:rPr>
  </w:style>
  <w:style w:type="paragraph" w:customStyle="1" w:styleId="98">
    <w:name w:val="6表内容"/>
    <w:basedOn w:val="1"/>
    <w:qFormat/>
    <w:uiPriority w:val="0"/>
    <w:pPr>
      <w:autoSpaceDE/>
      <w:autoSpaceDN/>
      <w:spacing w:line="340" w:lineRule="exact"/>
      <w:ind w:firstLine="720" w:firstLineChars="200"/>
      <w:jc w:val="center"/>
    </w:pPr>
    <w:rPr>
      <w:rFonts w:ascii="Times New Roman" w:hAnsi="Times New Roman" w:cs="宋体"/>
      <w:color w:val="000000"/>
      <w:kern w:val="2"/>
      <w:sz w:val="24"/>
      <w:szCs w:val="20"/>
      <w:lang w:val="en-US" w:bidi="ar-SA"/>
    </w:rPr>
  </w:style>
  <w:style w:type="table" w:customStyle="1" w:styleId="99">
    <w:name w:val="样式2"/>
    <w:basedOn w:val="43"/>
    <w:qFormat/>
    <w:uiPriority w:val="99"/>
    <w:pPr>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customStyle="1" w:styleId="100">
    <w:name w:val="标题 4 Char"/>
    <w:link w:val="6"/>
    <w:qFormat/>
    <w:uiPriority w:val="0"/>
    <w:rPr>
      <w:rFonts w:ascii="宋体" w:hAnsi="宋体" w:cs="宋体"/>
      <w:b/>
      <w:bCs/>
      <w:sz w:val="24"/>
      <w:szCs w:val="24"/>
      <w:lang w:val="zh-CN" w:bidi="zh-CN"/>
    </w:rPr>
  </w:style>
  <w:style w:type="table" w:customStyle="1" w:styleId="101">
    <w:name w:val="两边无-1磅"/>
    <w:basedOn w:val="43"/>
    <w:qFormat/>
    <w:uiPriority w:val="99"/>
    <w:pPr>
      <w:jc w:val="center"/>
    </w:pPr>
    <w:rPr>
      <w:sz w:val="21"/>
    </w:rPr>
    <w:tblPr>
      <w:jc w:val="center"/>
      <w:tblBorders>
        <w:top w:val="single" w:color="auto" w:sz="8" w:space="0"/>
        <w:bottom w:val="single" w:color="auto" w:sz="8" w:space="0"/>
        <w:insideH w:val="single" w:color="auto" w:sz="8" w:space="0"/>
        <w:insideV w:val="single" w:color="auto" w:sz="8" w:space="0"/>
      </w:tblBorders>
    </w:tblPr>
    <w:trPr>
      <w:jc w:val="center"/>
    </w:trPr>
    <w:tcPr>
      <w:vAlign w:val="center"/>
    </w:tcPr>
  </w:style>
  <w:style w:type="paragraph" w:customStyle="1" w:styleId="102">
    <w:name w:val="a表格"/>
    <w:basedOn w:val="1"/>
    <w:qFormat/>
    <w:uiPriority w:val="0"/>
    <w:pPr>
      <w:autoSpaceDE/>
      <w:autoSpaceDN/>
      <w:snapToGrid w:val="0"/>
      <w:jc w:val="center"/>
    </w:pPr>
    <w:rPr>
      <w:rFonts w:ascii="Times New Roman" w:hAnsi="Times New Roman"/>
      <w:kern w:val="2"/>
      <w:lang w:val="en-US" w:bidi="ar-SA"/>
    </w:rPr>
  </w:style>
  <w:style w:type="paragraph" w:customStyle="1" w:styleId="103">
    <w:name w:val="正式文本"/>
    <w:basedOn w:val="1"/>
    <w:link w:val="104"/>
    <w:qFormat/>
    <w:uiPriority w:val="0"/>
    <w:pPr>
      <w:autoSpaceDE/>
      <w:autoSpaceDN/>
      <w:adjustRightInd w:val="0"/>
      <w:snapToGrid w:val="0"/>
      <w:spacing w:line="360" w:lineRule="auto"/>
      <w:ind w:firstLine="420" w:firstLineChars="200"/>
    </w:pPr>
    <w:rPr>
      <w:rFonts w:ascii="Times New Roman" w:hAnsi="Times New Roman"/>
      <w:bCs/>
      <w:kern w:val="2"/>
      <w:lang w:bidi="ar-SA"/>
    </w:rPr>
  </w:style>
  <w:style w:type="character" w:customStyle="1" w:styleId="104">
    <w:name w:val="正式文本 字符"/>
    <w:link w:val="103"/>
    <w:qFormat/>
    <w:uiPriority w:val="0"/>
    <w:rPr>
      <w:bCs/>
      <w:kern w:val="2"/>
      <w:sz w:val="21"/>
      <w:szCs w:val="21"/>
      <w:lang w:val="zh-CN" w:eastAsia="zh-CN"/>
    </w:rPr>
  </w:style>
  <w:style w:type="character" w:customStyle="1" w:styleId="105">
    <w:name w:val="页脚 Char"/>
    <w:link w:val="29"/>
    <w:qFormat/>
    <w:uiPriority w:val="99"/>
    <w:rPr>
      <w:rFonts w:ascii="宋体" w:hAnsi="宋体"/>
      <w:sz w:val="18"/>
      <w:szCs w:val="21"/>
      <w:lang w:val="zh-CN" w:bidi="zh-CN"/>
    </w:rPr>
  </w:style>
  <w:style w:type="paragraph" w:customStyle="1" w:styleId="106">
    <w:name w:val="TOC 标题1"/>
    <w:basedOn w:val="3"/>
    <w:next w:val="1"/>
    <w:unhideWhenUsed/>
    <w:qFormat/>
    <w:uiPriority w:val="39"/>
    <w:pPr>
      <w:keepNext/>
      <w:keepLines/>
      <w:widowControl/>
      <w:autoSpaceDE/>
      <w:autoSpaceDN/>
      <w:spacing w:before="240" w:line="259" w:lineRule="auto"/>
      <w:ind w:left="0" w:right="0"/>
      <w:jc w:val="left"/>
      <w:outlineLvl w:val="9"/>
    </w:pPr>
    <w:rPr>
      <w:rFonts w:ascii="等线 Light" w:hAnsi="等线 Light" w:eastAsia="等线 Light" w:cs="Times New Roman"/>
      <w:b w:val="0"/>
      <w:bCs w:val="0"/>
      <w:color w:val="2F5496"/>
      <w:sz w:val="32"/>
      <w:szCs w:val="32"/>
      <w:lang w:val="en-US" w:bidi="ar-SA"/>
    </w:rPr>
  </w:style>
  <w:style w:type="character" w:customStyle="1" w:styleId="107">
    <w:name w:val="未处理的提及1"/>
    <w:semiHidden/>
    <w:unhideWhenUsed/>
    <w:qFormat/>
    <w:uiPriority w:val="99"/>
    <w:rPr>
      <w:color w:val="605E5C"/>
      <w:shd w:val="clear" w:color="auto" w:fill="E1DFDD"/>
    </w:rPr>
  </w:style>
  <w:style w:type="character" w:customStyle="1" w:styleId="108">
    <w:name w:val="标题 5 Char"/>
    <w:link w:val="7"/>
    <w:qFormat/>
    <w:uiPriority w:val="0"/>
    <w:rPr>
      <w:rFonts w:ascii="宋体" w:hAnsi="宋体"/>
      <w:b/>
      <w:bCs/>
      <w:sz w:val="28"/>
      <w:szCs w:val="28"/>
      <w:lang w:val="zh-CN" w:bidi="zh-CN"/>
    </w:rPr>
  </w:style>
  <w:style w:type="paragraph" w:customStyle="1" w:styleId="109">
    <w:name w:val="表格CAT"/>
    <w:basedOn w:val="1"/>
    <w:qFormat/>
    <w:uiPriority w:val="99"/>
    <w:pPr>
      <w:widowControl/>
      <w:tabs>
        <w:tab w:val="left" w:pos="560"/>
      </w:tabs>
      <w:autoSpaceDE/>
      <w:autoSpaceDN/>
      <w:snapToGrid w:val="0"/>
      <w:jc w:val="center"/>
    </w:pPr>
    <w:rPr>
      <w:rFonts w:ascii="Times New Roman" w:hAnsi="Times New Roman"/>
      <w:kern w:val="2"/>
      <w:sz w:val="18"/>
      <w:szCs w:val="24"/>
      <w:lang w:val="en-US" w:bidi="ar-SA"/>
    </w:rPr>
  </w:style>
  <w:style w:type="paragraph" w:customStyle="1" w:styleId="110">
    <w:name w:val="表图号"/>
    <w:basedOn w:val="1"/>
    <w:qFormat/>
    <w:uiPriority w:val="99"/>
    <w:pPr>
      <w:autoSpaceDE/>
      <w:autoSpaceDN/>
      <w:spacing w:before="60" w:after="60"/>
      <w:jc w:val="center"/>
    </w:pPr>
    <w:rPr>
      <w:rFonts w:ascii="Times New Roman" w:hAnsi="Times New Roman" w:eastAsia="黑体"/>
      <w:kern w:val="2"/>
      <w:szCs w:val="24"/>
      <w:lang w:bidi="ar-SA"/>
    </w:rPr>
  </w:style>
  <w:style w:type="paragraph" w:customStyle="1" w:styleId="111">
    <w:name w:val="正文 + 仿宋_GB2312"/>
    <w:basedOn w:val="1"/>
    <w:qFormat/>
    <w:uiPriority w:val="99"/>
    <w:pPr>
      <w:autoSpaceDE/>
      <w:autoSpaceDN/>
      <w:ind w:firstLine="480" w:firstLineChars="200"/>
      <w:jc w:val="both"/>
    </w:pPr>
    <w:rPr>
      <w:rFonts w:ascii="仿宋_GB2312" w:hAnsi="Calibri" w:eastAsia="仿宋_GB2312"/>
      <w:kern w:val="2"/>
      <w:sz w:val="24"/>
      <w:szCs w:val="24"/>
      <w:lang w:val="en-US" w:bidi="ar-SA"/>
    </w:rPr>
  </w:style>
  <w:style w:type="character" w:customStyle="1" w:styleId="112">
    <w:name w:val="content1"/>
    <w:qFormat/>
    <w:uiPriority w:val="0"/>
    <w:rPr>
      <w:color w:val="000000"/>
      <w:sz w:val="20"/>
      <w:szCs w:val="20"/>
    </w:rPr>
  </w:style>
  <w:style w:type="paragraph" w:customStyle="1" w:styleId="113">
    <w:name w:val="15"/>
    <w:basedOn w:val="1"/>
    <w:qFormat/>
    <w:uiPriority w:val="0"/>
    <w:pPr>
      <w:widowControl/>
      <w:autoSpaceDE/>
      <w:autoSpaceDN/>
      <w:spacing w:before="100" w:beforeAutospacing="1" w:after="100" w:afterAutospacing="1"/>
    </w:pPr>
    <w:rPr>
      <w:rFonts w:cs="宋体"/>
      <w:sz w:val="24"/>
      <w:szCs w:val="24"/>
      <w:lang w:val="en-US" w:bidi="ar-SA"/>
    </w:rPr>
  </w:style>
  <w:style w:type="character" w:customStyle="1" w:styleId="114">
    <w:name w:val="正文文本 Char"/>
    <w:link w:val="15"/>
    <w:qFormat/>
    <w:uiPriority w:val="0"/>
    <w:rPr>
      <w:rFonts w:ascii="宋体" w:hAnsi="宋体" w:cs="宋体"/>
      <w:sz w:val="24"/>
      <w:szCs w:val="24"/>
      <w:lang w:val="zh-CN" w:bidi="zh-CN"/>
    </w:rPr>
  </w:style>
  <w:style w:type="character" w:customStyle="1" w:styleId="115">
    <w:name w:val="正文首行缩进 Char"/>
    <w:link w:val="42"/>
    <w:qFormat/>
    <w:uiPriority w:val="0"/>
    <w:rPr>
      <w:rFonts w:ascii="宋体" w:hAnsi="宋体" w:cs="宋体"/>
      <w:sz w:val="21"/>
      <w:szCs w:val="21"/>
      <w:lang w:val="zh-CN" w:bidi="zh-CN"/>
    </w:rPr>
  </w:style>
  <w:style w:type="paragraph" w:customStyle="1" w:styleId="116">
    <w:name w:val="表体"/>
    <w:qFormat/>
    <w:uiPriority w:val="0"/>
    <w:pPr>
      <w:jc w:val="center"/>
    </w:pPr>
    <w:rPr>
      <w:rFonts w:ascii="宋体" w:hAnsi="Times New Roman" w:eastAsia="宋体" w:cs="Times New Roman"/>
      <w:color w:val="000080"/>
      <w:kern w:val="2"/>
      <w:sz w:val="21"/>
      <w:szCs w:val="24"/>
      <w:lang w:val="en-US" w:eastAsia="zh-CN" w:bidi="ar-SA"/>
    </w:rPr>
  </w:style>
  <w:style w:type="character" w:customStyle="1" w:styleId="117">
    <w:name w:val="报告正文 Char"/>
    <w:link w:val="118"/>
    <w:qFormat/>
    <w:uiPriority w:val="0"/>
    <w:rPr>
      <w:color w:val="000000"/>
      <w:sz w:val="24"/>
      <w:szCs w:val="24"/>
    </w:rPr>
  </w:style>
  <w:style w:type="paragraph" w:customStyle="1" w:styleId="118">
    <w:name w:val="报告正文"/>
    <w:basedOn w:val="1"/>
    <w:link w:val="117"/>
    <w:qFormat/>
    <w:uiPriority w:val="0"/>
    <w:pPr>
      <w:autoSpaceDE/>
      <w:autoSpaceDN/>
      <w:spacing w:line="480" w:lineRule="exact"/>
      <w:ind w:firstLine="200" w:firstLineChars="200"/>
      <w:jc w:val="both"/>
    </w:pPr>
    <w:rPr>
      <w:rFonts w:ascii="Times New Roman" w:hAnsi="Times New Roman"/>
      <w:color w:val="000000"/>
      <w:sz w:val="24"/>
      <w:szCs w:val="24"/>
      <w:lang w:val="en-US" w:bidi="ar-SA"/>
    </w:rPr>
  </w:style>
  <w:style w:type="paragraph" w:customStyle="1" w:styleId="119">
    <w:name w:val="4表头、图头格式"/>
    <w:basedOn w:val="1"/>
    <w:qFormat/>
    <w:uiPriority w:val="0"/>
    <w:pPr>
      <w:autoSpaceDE/>
      <w:autoSpaceDN/>
      <w:jc w:val="center"/>
    </w:pPr>
    <w:rPr>
      <w:rFonts w:ascii="Times New Roman" w:hAnsi="Times New Roman" w:cs="Calibri"/>
      <w:b/>
      <w:lang w:val="en-US" w:bidi="ar-SA"/>
    </w:rPr>
  </w:style>
  <w:style w:type="table" w:customStyle="1" w:styleId="120">
    <w:name w:val="lily 表格1"/>
    <w:basedOn w:val="43"/>
    <w:qFormat/>
    <w:uiPriority w:val="59"/>
    <w:pPr>
      <w:widowControl w:val="0"/>
      <w:jc w:val="both"/>
    </w:pPr>
    <w:rPr>
      <w:rFonts w:ascii="Calibri" w:hAnsi="Calibri"/>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character" w:customStyle="1" w:styleId="121">
    <w:name w:val="表格 Char1"/>
    <w:link w:val="67"/>
    <w:qFormat/>
    <w:uiPriority w:val="0"/>
    <w:rPr>
      <w:rFonts w:ascii="宋体" w:hAnsi="宋体"/>
      <w:bCs/>
      <w:spacing w:val="-3"/>
      <w:sz w:val="21"/>
      <w:szCs w:val="21"/>
      <w:lang w:val="zh-CN" w:bidi="zh-CN"/>
    </w:rPr>
  </w:style>
  <w:style w:type="character" w:customStyle="1" w:styleId="122">
    <w:name w:val="正文文本缩进 Char"/>
    <w:link w:val="18"/>
    <w:qFormat/>
    <w:uiPriority w:val="0"/>
    <w:rPr>
      <w:rFonts w:ascii="宋体" w:hAnsi="宋体"/>
      <w:sz w:val="24"/>
      <w:szCs w:val="21"/>
      <w:lang w:val="zh-CN" w:bidi="zh-CN"/>
    </w:rPr>
  </w:style>
  <w:style w:type="character" w:customStyle="1" w:styleId="123">
    <w:name w:val="Char Char5"/>
    <w:qFormat/>
    <w:locked/>
    <w:uiPriority w:val="0"/>
    <w:rPr>
      <w:rFonts w:eastAsia="宋体"/>
      <w:kern w:val="2"/>
      <w:sz w:val="18"/>
      <w:szCs w:val="18"/>
      <w:lang w:val="en-US" w:eastAsia="zh-CN" w:bidi="ar-SA"/>
    </w:rPr>
  </w:style>
  <w:style w:type="character" w:customStyle="1" w:styleId="124">
    <w:name w:val="adr postal-code"/>
    <w:qFormat/>
    <w:uiPriority w:val="0"/>
  </w:style>
  <w:style w:type="character" w:customStyle="1" w:styleId="125">
    <w:name w:val="页脚 Char Char"/>
    <w:qFormat/>
    <w:uiPriority w:val="0"/>
    <w:rPr>
      <w:rFonts w:ascii="Times New Roman" w:hAnsi="Times New Roman" w:eastAsia="宋体" w:cs="Times New Roman"/>
      <w:sz w:val="18"/>
      <w:szCs w:val="18"/>
    </w:rPr>
  </w:style>
  <w:style w:type="character" w:customStyle="1" w:styleId="126">
    <w:name w:val="标题 2 Char"/>
    <w:link w:val="4"/>
    <w:qFormat/>
    <w:uiPriority w:val="0"/>
    <w:rPr>
      <w:rFonts w:ascii="黑体" w:hAnsi="黑体" w:eastAsia="黑体" w:cs="黑体"/>
      <w:sz w:val="30"/>
      <w:szCs w:val="30"/>
      <w:lang w:val="zh-CN" w:bidi="zh-CN"/>
    </w:rPr>
  </w:style>
  <w:style w:type="character" w:customStyle="1" w:styleId="127">
    <w:name w:val="headerchar"/>
    <w:qFormat/>
    <w:uiPriority w:val="0"/>
    <w:rPr>
      <w:rFonts w:hint="default" w:ascii="Times New Roman" w:hAnsi="Times New Roman" w:cs="Times New Roman"/>
    </w:rPr>
  </w:style>
  <w:style w:type="character" w:customStyle="1" w:styleId="128">
    <w:name w:val="正文文本缩进 2 Char"/>
    <w:link w:val="27"/>
    <w:qFormat/>
    <w:uiPriority w:val="0"/>
    <w:rPr>
      <w:rFonts w:ascii="宋体" w:hAnsi="宋体"/>
      <w:spacing w:val="4"/>
      <w:sz w:val="24"/>
      <w:szCs w:val="21"/>
      <w:lang w:val="zh-CN" w:bidi="zh-CN"/>
    </w:rPr>
  </w:style>
  <w:style w:type="character" w:customStyle="1" w:styleId="129">
    <w:name w:val="gl"/>
    <w:qFormat/>
    <w:uiPriority w:val="0"/>
  </w:style>
  <w:style w:type="character" w:customStyle="1" w:styleId="130">
    <w:name w:val="页脚 Char Char Char"/>
    <w:qFormat/>
    <w:uiPriority w:val="0"/>
    <w:rPr>
      <w:rFonts w:ascii="Times New Roman" w:hAnsi="Times New Roman"/>
      <w:kern w:val="2"/>
      <w:sz w:val="18"/>
      <w:szCs w:val="18"/>
    </w:rPr>
  </w:style>
  <w:style w:type="character" w:customStyle="1" w:styleId="131">
    <w:name w:val="balloontextchar"/>
    <w:qFormat/>
    <w:uiPriority w:val="0"/>
    <w:rPr>
      <w:rFonts w:hint="default" w:ascii="Times New Roman" w:hAnsi="Times New Roman" w:cs="Times New Roman"/>
    </w:rPr>
  </w:style>
  <w:style w:type="character" w:customStyle="1" w:styleId="132">
    <w:name w:val="style17"/>
    <w:qFormat/>
    <w:uiPriority w:val="0"/>
  </w:style>
  <w:style w:type="character" w:customStyle="1" w:styleId="133">
    <w:name w:val="commenttextchar"/>
    <w:qFormat/>
    <w:uiPriority w:val="0"/>
    <w:rPr>
      <w:rFonts w:hint="default" w:ascii="Times New Roman" w:hAnsi="Times New Roman" w:cs="Times New Roman"/>
    </w:rPr>
  </w:style>
  <w:style w:type="character" w:customStyle="1" w:styleId="134">
    <w:name w:val="标题 1 Char"/>
    <w:link w:val="3"/>
    <w:qFormat/>
    <w:uiPriority w:val="0"/>
    <w:rPr>
      <w:rFonts w:ascii="宋体" w:hAnsi="宋体" w:cs="宋体"/>
      <w:b/>
      <w:bCs/>
      <w:sz w:val="30"/>
      <w:szCs w:val="30"/>
      <w:lang w:val="zh-CN" w:bidi="zh-CN"/>
    </w:rPr>
  </w:style>
  <w:style w:type="character" w:customStyle="1" w:styleId="135">
    <w:name w:val="msodel"/>
    <w:qFormat/>
    <w:uiPriority w:val="0"/>
    <w:rPr>
      <w:strike/>
      <w:color w:val="FF0000"/>
    </w:rPr>
  </w:style>
  <w:style w:type="character" w:customStyle="1" w:styleId="136">
    <w:name w:val="正文文本缩进 3 Char"/>
    <w:link w:val="36"/>
    <w:qFormat/>
    <w:uiPriority w:val="0"/>
    <w:rPr>
      <w:sz w:val="16"/>
      <w:szCs w:val="16"/>
    </w:rPr>
  </w:style>
  <w:style w:type="character" w:customStyle="1" w:styleId="137">
    <w:name w:val="报告表 段 Char Char"/>
    <w:link w:val="138"/>
    <w:qFormat/>
    <w:uiPriority w:val="0"/>
    <w:rPr>
      <w:rFonts w:ascii="宋体"/>
      <w:bCs/>
      <w:kern w:val="2"/>
      <w:sz w:val="24"/>
      <w:szCs w:val="24"/>
    </w:rPr>
  </w:style>
  <w:style w:type="paragraph" w:customStyle="1" w:styleId="138">
    <w:name w:val="报告表 段"/>
    <w:basedOn w:val="1"/>
    <w:link w:val="137"/>
    <w:qFormat/>
    <w:uiPriority w:val="0"/>
    <w:pPr>
      <w:autoSpaceDE/>
      <w:autoSpaceDN/>
      <w:snapToGrid w:val="0"/>
      <w:spacing w:line="360" w:lineRule="auto"/>
      <w:ind w:firstLine="505"/>
      <w:jc w:val="both"/>
    </w:pPr>
    <w:rPr>
      <w:rFonts w:hAnsi="Times New Roman"/>
      <w:bCs/>
      <w:kern w:val="2"/>
      <w:sz w:val="24"/>
      <w:szCs w:val="24"/>
      <w:lang w:val="en-US" w:bidi="ar-SA"/>
    </w:rPr>
  </w:style>
  <w:style w:type="character" w:customStyle="1" w:styleId="139">
    <w:name w:val="样式 小四 居中 Char"/>
    <w:link w:val="140"/>
    <w:qFormat/>
    <w:uiPriority w:val="0"/>
    <w:rPr>
      <w:sz w:val="21"/>
    </w:rPr>
  </w:style>
  <w:style w:type="paragraph" w:customStyle="1" w:styleId="140">
    <w:name w:val="样式 小四 居中"/>
    <w:basedOn w:val="1"/>
    <w:link w:val="139"/>
    <w:qFormat/>
    <w:uiPriority w:val="0"/>
    <w:pPr>
      <w:autoSpaceDE/>
      <w:autoSpaceDN/>
      <w:jc w:val="center"/>
    </w:pPr>
    <w:rPr>
      <w:rFonts w:ascii="Times New Roman" w:hAnsi="Times New Roman"/>
      <w:szCs w:val="20"/>
      <w:lang w:val="en-US" w:bidi="ar-SA"/>
    </w:rPr>
  </w:style>
  <w:style w:type="character" w:customStyle="1" w:styleId="141">
    <w:name w:val="页眉 Char"/>
    <w:link w:val="30"/>
    <w:qFormat/>
    <w:uiPriority w:val="0"/>
    <w:rPr>
      <w:rFonts w:ascii="宋体" w:hAnsi="宋体"/>
      <w:sz w:val="18"/>
      <w:szCs w:val="21"/>
      <w:lang w:val="zh-CN" w:bidi="zh-CN"/>
    </w:rPr>
  </w:style>
  <w:style w:type="character" w:customStyle="1" w:styleId="142">
    <w:name w:val="apple-converted-space"/>
    <w:qFormat/>
    <w:uiPriority w:val="0"/>
    <w:rPr>
      <w:rFonts w:hint="default" w:ascii="Times New Roman" w:hAnsi="Times New Roman" w:cs="Times New Roman"/>
    </w:rPr>
  </w:style>
  <w:style w:type="character" w:customStyle="1" w:styleId="143">
    <w:name w:val="纯文本 Char"/>
    <w:link w:val="24"/>
    <w:qFormat/>
    <w:uiPriority w:val="0"/>
    <w:rPr>
      <w:rFonts w:ascii="宋体" w:hAnsi="Courier New"/>
      <w:spacing w:val="-2"/>
      <w:kern w:val="28"/>
      <w:sz w:val="21"/>
      <w:lang w:val="zh-CN" w:bidi="zh-CN"/>
    </w:rPr>
  </w:style>
  <w:style w:type="character" w:customStyle="1" w:styleId="144">
    <w:name w:val="正文文本 2 Char"/>
    <w:link w:val="39"/>
    <w:qFormat/>
    <w:uiPriority w:val="0"/>
    <w:rPr>
      <w:rFonts w:ascii="宋体" w:hAnsi="宋体"/>
      <w:sz w:val="24"/>
      <w:szCs w:val="21"/>
      <w:lang w:val="zh-CN" w:bidi="zh-CN"/>
    </w:rPr>
  </w:style>
  <w:style w:type="character" w:customStyle="1" w:styleId="145">
    <w:name w:val="msoins"/>
    <w:qFormat/>
    <w:uiPriority w:val="0"/>
    <w:rPr>
      <w:color w:val="008080"/>
      <w:u w:val="single"/>
    </w:rPr>
  </w:style>
  <w:style w:type="character" w:customStyle="1" w:styleId="146">
    <w:name w:val="正文文本缩进 Char1"/>
    <w:semiHidden/>
    <w:qFormat/>
    <w:uiPriority w:val="99"/>
    <w:rPr>
      <w:rFonts w:ascii="Times New Roman" w:hAnsi="Times New Roman" w:eastAsia="宋体" w:cs="Times New Roman"/>
    </w:rPr>
  </w:style>
  <w:style w:type="character" w:customStyle="1" w:styleId="147">
    <w:name w:val="表头 Char1"/>
    <w:link w:val="65"/>
    <w:qFormat/>
    <w:uiPriority w:val="0"/>
    <w:rPr>
      <w:b/>
      <w:sz w:val="21"/>
      <w:lang w:val="zh-CN" w:bidi="zh-CN"/>
    </w:rPr>
  </w:style>
  <w:style w:type="character" w:customStyle="1" w:styleId="148">
    <w:name w:val="charchar"/>
    <w:qFormat/>
    <w:uiPriority w:val="0"/>
    <w:rPr>
      <w:rFonts w:hint="default" w:ascii="Times New Roman" w:hAnsi="Times New Roman" w:cs="Times New Roman"/>
    </w:rPr>
  </w:style>
  <w:style w:type="character" w:customStyle="1" w:styleId="149">
    <w:name w:val="font01"/>
    <w:qFormat/>
    <w:uiPriority w:val="0"/>
    <w:rPr>
      <w:rFonts w:hint="eastAsia" w:ascii="宋体" w:hAnsi="宋体" w:eastAsia="宋体"/>
      <w:color w:val="000000"/>
      <w:kern w:val="2"/>
      <w:sz w:val="20"/>
      <w:szCs w:val="20"/>
      <w:u w:val="none"/>
      <w:vertAlign w:val="subscript"/>
      <w:lang w:val="en-US" w:eastAsia="zh-CN" w:bidi="ar-SA"/>
    </w:rPr>
  </w:style>
  <w:style w:type="character" w:customStyle="1" w:styleId="150">
    <w:name w:val="正文缩进 Char1"/>
    <w:link w:val="10"/>
    <w:qFormat/>
    <w:uiPriority w:val="0"/>
    <w:rPr>
      <w:rFonts w:ascii="宋体" w:hAnsi="宋体"/>
      <w:sz w:val="28"/>
      <w:szCs w:val="21"/>
      <w:lang w:val="zh-CN" w:bidi="zh-CN"/>
    </w:rPr>
  </w:style>
  <w:style w:type="character" w:customStyle="1" w:styleId="151">
    <w:name w:val="正文缩进 Char"/>
    <w:qFormat/>
    <w:uiPriority w:val="0"/>
    <w:rPr>
      <w:rFonts w:ascii="Times New Roman" w:hAnsi="Times New Roman" w:eastAsia="宋体"/>
      <w:sz w:val="21"/>
    </w:rPr>
  </w:style>
  <w:style w:type="character" w:customStyle="1" w:styleId="152">
    <w:name w:val="注释标题 Char"/>
    <w:link w:val="9"/>
    <w:qFormat/>
    <w:uiPriority w:val="0"/>
  </w:style>
  <w:style w:type="character" w:customStyle="1" w:styleId="153">
    <w:name w:val="日期 Char"/>
    <w:link w:val="26"/>
    <w:qFormat/>
    <w:uiPriority w:val="0"/>
    <w:rPr>
      <w:rFonts w:ascii="宋体"/>
      <w:sz w:val="28"/>
    </w:rPr>
  </w:style>
  <w:style w:type="character" w:customStyle="1" w:styleId="154">
    <w:name w:val="commentsubjectchar"/>
    <w:qFormat/>
    <w:uiPriority w:val="0"/>
    <w:rPr>
      <w:rFonts w:hint="default" w:ascii="Times New Roman" w:hAnsi="Times New Roman" w:cs="Times New Roman"/>
      <w:b/>
    </w:rPr>
  </w:style>
  <w:style w:type="character" w:customStyle="1" w:styleId="155">
    <w:name w:val="footerchar"/>
    <w:qFormat/>
    <w:uiPriority w:val="0"/>
    <w:rPr>
      <w:rFonts w:hint="default" w:ascii="Times New Roman" w:hAnsi="Times New Roman" w:cs="Times New Roman"/>
    </w:rPr>
  </w:style>
  <w:style w:type="character" w:customStyle="1" w:styleId="156">
    <w:name w:val="实在正文 Char Char"/>
    <w:link w:val="157"/>
    <w:qFormat/>
    <w:uiPriority w:val="0"/>
    <w:rPr>
      <w:rFonts w:ascii="宋体" w:hAnsi="宋体"/>
      <w:color w:val="000000"/>
      <w:spacing w:val="-4"/>
      <w:kern w:val="2"/>
      <w:sz w:val="24"/>
      <w:szCs w:val="24"/>
    </w:rPr>
  </w:style>
  <w:style w:type="paragraph" w:customStyle="1" w:styleId="157">
    <w:name w:val="实在正文"/>
    <w:basedOn w:val="1"/>
    <w:link w:val="156"/>
    <w:qFormat/>
    <w:uiPriority w:val="0"/>
    <w:pPr>
      <w:autoSpaceDE/>
      <w:autoSpaceDN/>
      <w:spacing w:line="560" w:lineRule="exact"/>
      <w:ind w:firstLine="200" w:firstLineChars="200"/>
      <w:jc w:val="both"/>
    </w:pPr>
    <w:rPr>
      <w:color w:val="000000"/>
      <w:spacing w:val="-4"/>
      <w:kern w:val="2"/>
      <w:sz w:val="24"/>
      <w:szCs w:val="24"/>
      <w:lang w:val="en-US" w:bidi="ar-SA"/>
    </w:rPr>
  </w:style>
  <w:style w:type="character" w:customStyle="1" w:styleId="158">
    <w:name w:val="Head 1wsa Char"/>
    <w:qFormat/>
    <w:uiPriority w:val="0"/>
    <w:rPr>
      <w:rFonts w:eastAsia="宋体"/>
      <w:kern w:val="2"/>
      <w:sz w:val="28"/>
      <w:szCs w:val="24"/>
      <w:lang w:val="en-US" w:eastAsia="zh-CN" w:bidi="ar-SA"/>
    </w:rPr>
  </w:style>
  <w:style w:type="character" w:customStyle="1" w:styleId="159">
    <w:name w:val="表格文字 Char Char"/>
    <w:link w:val="68"/>
    <w:qFormat/>
    <w:uiPriority w:val="0"/>
    <w:rPr>
      <w:rFonts w:ascii="仿宋_GB2312" w:hAnsi="Arial Black" w:eastAsia="仿宋_GB2312"/>
      <w:kern w:val="44"/>
      <w:sz w:val="24"/>
      <w:lang w:val="zh-CN" w:bidi="zh-CN"/>
    </w:rPr>
  </w:style>
  <w:style w:type="character" w:customStyle="1" w:styleId="160">
    <w:name w:val="Char Char Char"/>
    <w:link w:val="161"/>
    <w:qFormat/>
    <w:uiPriority w:val="0"/>
  </w:style>
  <w:style w:type="paragraph" w:customStyle="1" w:styleId="161">
    <w:name w:val="_Style 29"/>
    <w:basedOn w:val="1"/>
    <w:link w:val="160"/>
    <w:qFormat/>
    <w:uiPriority w:val="0"/>
    <w:pPr>
      <w:autoSpaceDE/>
      <w:autoSpaceDN/>
      <w:snapToGrid w:val="0"/>
      <w:spacing w:line="360" w:lineRule="auto"/>
      <w:ind w:firstLine="529" w:firstLineChars="200"/>
      <w:jc w:val="both"/>
    </w:pPr>
    <w:rPr>
      <w:rFonts w:ascii="Times New Roman" w:hAnsi="Times New Roman"/>
      <w:sz w:val="20"/>
      <w:szCs w:val="20"/>
      <w:lang w:val="en-US" w:bidi="ar-SA"/>
    </w:rPr>
  </w:style>
  <w:style w:type="character" w:customStyle="1" w:styleId="162">
    <w:name w:val="标题 3 Char"/>
    <w:link w:val="5"/>
    <w:qFormat/>
    <w:uiPriority w:val="0"/>
    <w:rPr>
      <w:rFonts w:eastAsia="Times New Roman"/>
      <w:sz w:val="27"/>
      <w:szCs w:val="27"/>
      <w:lang w:val="zh-CN" w:bidi="zh-CN"/>
    </w:rPr>
  </w:style>
  <w:style w:type="character" w:customStyle="1" w:styleId="163">
    <w:name w:val="表头 Char Char"/>
    <w:qFormat/>
    <w:uiPriority w:val="0"/>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164">
    <w:name w:val="表文 Char Char"/>
    <w:link w:val="165"/>
    <w:qFormat/>
    <w:uiPriority w:val="0"/>
    <w:rPr>
      <w:sz w:val="21"/>
      <w:szCs w:val="21"/>
    </w:rPr>
  </w:style>
  <w:style w:type="paragraph" w:customStyle="1" w:styleId="165">
    <w:name w:val="表文"/>
    <w:basedOn w:val="1"/>
    <w:link w:val="164"/>
    <w:qFormat/>
    <w:uiPriority w:val="0"/>
    <w:pPr>
      <w:overflowPunct w:val="0"/>
      <w:adjustRightInd w:val="0"/>
      <w:jc w:val="center"/>
      <w:textAlignment w:val="baseline"/>
    </w:pPr>
    <w:rPr>
      <w:rFonts w:ascii="Times New Roman" w:hAnsi="Times New Roman"/>
      <w:lang w:val="en-US" w:bidi="ar-SA"/>
    </w:rPr>
  </w:style>
  <w:style w:type="character" w:customStyle="1" w:styleId="166">
    <w:name w:val="文档结构图 Char"/>
    <w:link w:val="12"/>
    <w:qFormat/>
    <w:uiPriority w:val="0"/>
    <w:rPr>
      <w:kern w:val="2"/>
      <w:sz w:val="21"/>
      <w:szCs w:val="24"/>
      <w:shd w:val="clear" w:color="auto" w:fill="000080"/>
    </w:rPr>
  </w:style>
  <w:style w:type="character" w:customStyle="1" w:styleId="167">
    <w:name w:val="注释标题 字符1"/>
    <w:qFormat/>
    <w:uiPriority w:val="0"/>
    <w:rPr>
      <w:rFonts w:ascii="宋体" w:hAnsi="宋体"/>
      <w:sz w:val="21"/>
      <w:szCs w:val="21"/>
      <w:lang w:val="zh-CN" w:bidi="zh-CN"/>
    </w:rPr>
  </w:style>
  <w:style w:type="paragraph" w:customStyle="1" w:styleId="168">
    <w:name w:val="正文 32"/>
    <w:basedOn w:val="1"/>
    <w:qFormat/>
    <w:uiPriority w:val="0"/>
    <w:pPr>
      <w:adjustRightInd w:val="0"/>
      <w:spacing w:line="300" w:lineRule="auto"/>
      <w:ind w:firstLine="567"/>
      <w:jc w:val="both"/>
      <w:textAlignment w:val="baseline"/>
    </w:pPr>
    <w:rPr>
      <w:rFonts w:ascii="Times New Roman" w:hAnsi="Times New Roman" w:eastAsia="楷体_GB2312"/>
      <w:sz w:val="24"/>
      <w:szCs w:val="24"/>
      <w:lang w:val="en-US" w:bidi="ar-SA"/>
    </w:rPr>
  </w:style>
  <w:style w:type="paragraph" w:customStyle="1" w:styleId="169">
    <w:name w:val="报告表内容"/>
    <w:basedOn w:val="1"/>
    <w:qFormat/>
    <w:uiPriority w:val="0"/>
    <w:pPr>
      <w:tabs>
        <w:tab w:val="left" w:pos="2625"/>
      </w:tabs>
      <w:autoSpaceDE/>
      <w:autoSpaceDN/>
      <w:adjustRightInd w:val="0"/>
      <w:spacing w:line="300" w:lineRule="exact"/>
      <w:jc w:val="center"/>
      <w:textAlignment w:val="baseline"/>
    </w:pPr>
    <w:rPr>
      <w:rFonts w:ascii="Times New Roman" w:hAnsi="Times New Roman"/>
      <w:lang w:val="en-US" w:bidi="ar-SA"/>
    </w:rPr>
  </w:style>
  <w:style w:type="paragraph" w:customStyle="1" w:styleId="170">
    <w:name w:val="_Style 80"/>
    <w:basedOn w:val="1"/>
    <w:qFormat/>
    <w:uiPriority w:val="0"/>
    <w:pPr>
      <w:autoSpaceDE/>
      <w:autoSpaceDN/>
      <w:ind w:firstLine="420" w:firstLineChars="200"/>
      <w:jc w:val="both"/>
    </w:pPr>
    <w:rPr>
      <w:rFonts w:ascii="Times New Roman" w:hAnsi="Times New Roman"/>
      <w:kern w:val="2"/>
      <w:szCs w:val="24"/>
      <w:lang w:val="en-US" w:bidi="ar-SA"/>
    </w:rPr>
  </w:style>
  <w:style w:type="paragraph" w:customStyle="1" w:styleId="171">
    <w:name w:val="二级标题"/>
    <w:basedOn w:val="1"/>
    <w:qFormat/>
    <w:uiPriority w:val="0"/>
    <w:pPr>
      <w:autoSpaceDE/>
      <w:autoSpaceDN/>
      <w:spacing w:before="60" w:line="460" w:lineRule="exact"/>
      <w:jc w:val="both"/>
      <w:outlineLvl w:val="1"/>
    </w:pPr>
    <w:rPr>
      <w:rFonts w:ascii="Times New Roman" w:hAnsi="Times New Roman"/>
      <w:b/>
      <w:kern w:val="2"/>
      <w:sz w:val="28"/>
      <w:szCs w:val="20"/>
      <w:lang w:val="en-US" w:bidi="ar-SA"/>
    </w:rPr>
  </w:style>
  <w:style w:type="paragraph" w:customStyle="1" w:styleId="172">
    <w:name w:val="报告表正文"/>
    <w:basedOn w:val="1"/>
    <w:qFormat/>
    <w:uiPriority w:val="0"/>
    <w:pPr>
      <w:autoSpaceDE/>
      <w:autoSpaceDN/>
      <w:adjustRightInd w:val="0"/>
      <w:spacing w:line="312" w:lineRule="auto"/>
      <w:ind w:left="113" w:right="113" w:firstLine="482"/>
      <w:textAlignment w:val="baseline"/>
    </w:pPr>
    <w:rPr>
      <w:rFonts w:ascii="Times New Roman" w:hAnsi="Times New Roman"/>
      <w:sz w:val="24"/>
      <w:szCs w:val="20"/>
      <w:lang w:val="en-US" w:bidi="ar-SA"/>
    </w:rPr>
  </w:style>
  <w:style w:type="paragraph" w:customStyle="1" w:styleId="173">
    <w:name w:val="样式 列表 2 + 华文仿宋 居中"/>
    <w:basedOn w:val="20"/>
    <w:qFormat/>
    <w:uiPriority w:val="0"/>
    <w:pPr>
      <w:spacing w:line="460" w:lineRule="exact"/>
      <w:ind w:left="0" w:leftChars="0" w:firstLine="0" w:firstLineChars="0"/>
      <w:jc w:val="center"/>
    </w:pPr>
    <w:rPr>
      <w:rFonts w:ascii="宋体" w:hAnsi="宋体" w:eastAsia="宋体"/>
      <w:sz w:val="21"/>
      <w:szCs w:val="21"/>
      <w:vertAlign w:val="baseline"/>
    </w:rPr>
  </w:style>
  <w:style w:type="paragraph" w:customStyle="1" w:styleId="174">
    <w:name w:val="Char Char Char Char Char Char1 Char Char Char Char Char Char Char Char Char Char Char Char Char"/>
    <w:basedOn w:val="1"/>
    <w:qFormat/>
    <w:uiPriority w:val="0"/>
    <w:pPr>
      <w:autoSpaceDE/>
      <w:autoSpaceDN/>
      <w:jc w:val="both"/>
    </w:pPr>
    <w:rPr>
      <w:rFonts w:ascii="Times New Roman" w:hAnsi="Times New Roman"/>
      <w:kern w:val="2"/>
      <w:szCs w:val="24"/>
      <w:lang w:val="en-US" w:bidi="ar-SA"/>
    </w:rPr>
  </w:style>
  <w:style w:type="paragraph" w:customStyle="1" w:styleId="175">
    <w:name w:val="正文11"/>
    <w:qFormat/>
    <w:uiPriority w:val="0"/>
    <w:pPr>
      <w:spacing w:line="440" w:lineRule="exact"/>
    </w:pPr>
    <w:rPr>
      <w:rFonts w:ascii="Calibri" w:hAnsi="Calibri" w:eastAsia="宋体" w:cs="Times New Roman"/>
      <w:sz w:val="24"/>
      <w:lang w:val="en-US" w:eastAsia="zh-CN" w:bidi="ar-SA"/>
    </w:rPr>
  </w:style>
  <w:style w:type="paragraph" w:customStyle="1" w:styleId="176">
    <w:name w:val="报告表头"/>
    <w:basedOn w:val="1"/>
    <w:qFormat/>
    <w:uiPriority w:val="0"/>
    <w:pPr>
      <w:autoSpaceDE/>
      <w:autoSpaceDN/>
      <w:adjustRightInd w:val="0"/>
      <w:spacing w:line="500" w:lineRule="exact"/>
      <w:ind w:firstLine="600"/>
      <w:jc w:val="center"/>
      <w:textAlignment w:val="baseline"/>
    </w:pPr>
    <w:rPr>
      <w:rFonts w:ascii="黑体" w:hAnsi="Times New Roman" w:eastAsia="黑体"/>
      <w:sz w:val="24"/>
      <w:szCs w:val="24"/>
      <w:lang w:val="en-US" w:bidi="ar-SA"/>
    </w:rPr>
  </w:style>
  <w:style w:type="paragraph" w:customStyle="1" w:styleId="177">
    <w:name w:val="永环书正文"/>
    <w:basedOn w:val="1"/>
    <w:qFormat/>
    <w:uiPriority w:val="0"/>
    <w:pPr>
      <w:autoSpaceDE/>
      <w:autoSpaceDN/>
      <w:spacing w:before="20" w:beforeLines="20" w:after="20" w:afterLines="20" w:line="560" w:lineRule="exact"/>
      <w:ind w:firstLine="200" w:firstLineChars="200"/>
      <w:jc w:val="both"/>
    </w:pPr>
    <w:rPr>
      <w:rFonts w:ascii="Times New Roman" w:hAnsi="Times New Roman"/>
      <w:kern w:val="2"/>
      <w:sz w:val="24"/>
      <w:szCs w:val="24"/>
      <w:lang w:val="en-US" w:bidi="ar-SA"/>
    </w:rPr>
  </w:style>
  <w:style w:type="paragraph" w:customStyle="1" w:styleId="178">
    <w:name w:val="正文01"/>
    <w:basedOn w:val="1"/>
    <w:qFormat/>
    <w:uiPriority w:val="0"/>
    <w:pPr>
      <w:autoSpaceDE/>
      <w:autoSpaceDN/>
      <w:spacing w:before="60" w:line="460" w:lineRule="exact"/>
      <w:ind w:firstLine="200" w:firstLineChars="200"/>
      <w:jc w:val="both"/>
    </w:pPr>
    <w:rPr>
      <w:rFonts w:ascii="Times New Roman" w:hAnsi="Times New Roman"/>
      <w:kern w:val="2"/>
      <w:sz w:val="24"/>
      <w:szCs w:val="24"/>
      <w:lang w:val="en-US" w:bidi="ar-SA"/>
    </w:rPr>
  </w:style>
  <w:style w:type="paragraph" w:customStyle="1" w:styleId="179">
    <w:name w:val="正文样式1"/>
    <w:basedOn w:val="1"/>
    <w:qFormat/>
    <w:uiPriority w:val="0"/>
    <w:pPr>
      <w:autoSpaceDE/>
      <w:autoSpaceDN/>
      <w:spacing w:line="360" w:lineRule="auto"/>
      <w:ind w:firstLine="480" w:firstLineChars="200"/>
      <w:jc w:val="both"/>
    </w:pPr>
    <w:rPr>
      <w:rFonts w:ascii="Times New Roman" w:hAnsi="Times New Roman" w:cs="宋体"/>
      <w:kern w:val="2"/>
      <w:sz w:val="24"/>
      <w:szCs w:val="20"/>
      <w:lang w:val="en-US" w:bidi="ar-SA"/>
    </w:rPr>
  </w:style>
  <w:style w:type="paragraph" w:customStyle="1" w:styleId="180">
    <w:name w:val="正文小四"/>
    <w:qFormat/>
    <w:uiPriority w:val="0"/>
    <w:pPr>
      <w:ind w:firstLine="360" w:firstLineChars="150"/>
    </w:pPr>
    <w:rPr>
      <w:rFonts w:ascii="宋体" w:hAnsi="宋体" w:eastAsia="宋体" w:cs="Times New Roman"/>
      <w:kern w:val="2"/>
      <w:sz w:val="24"/>
      <w:szCs w:val="24"/>
      <w:lang w:val="en-US" w:eastAsia="zh-CN" w:bidi="ar-SA"/>
    </w:rPr>
  </w:style>
  <w:style w:type="paragraph" w:customStyle="1" w:styleId="181">
    <w:name w:val="永环表内格式"/>
    <w:basedOn w:val="1"/>
    <w:qFormat/>
    <w:uiPriority w:val="0"/>
    <w:pPr>
      <w:autoSpaceDE/>
      <w:autoSpaceDN/>
      <w:spacing w:line="360" w:lineRule="exact"/>
      <w:jc w:val="center"/>
    </w:pPr>
    <w:rPr>
      <w:rFonts w:ascii="Times New Roman" w:hAnsi="Times New Roman"/>
      <w:kern w:val="2"/>
      <w:lang w:val="en-US" w:bidi="ar-SA"/>
    </w:rPr>
  </w:style>
  <w:style w:type="paragraph" w:customStyle="1" w:styleId="182">
    <w:name w:val="表文(G)"/>
    <w:basedOn w:val="1"/>
    <w:qFormat/>
    <w:uiPriority w:val="0"/>
    <w:pPr>
      <w:tabs>
        <w:tab w:val="left" w:pos="1021"/>
      </w:tabs>
      <w:autoSpaceDE/>
      <w:autoSpaceDN/>
      <w:jc w:val="center"/>
    </w:pPr>
    <w:rPr>
      <w:rFonts w:ascii="Times New Roman"/>
      <w:position w:val="-24"/>
      <w:lang w:val="en-US" w:bidi="ar-SA"/>
    </w:rPr>
  </w:style>
  <w:style w:type="character" w:customStyle="1" w:styleId="183">
    <w:name w:val="正文文本缩进 3 字符1"/>
    <w:qFormat/>
    <w:uiPriority w:val="0"/>
    <w:rPr>
      <w:rFonts w:ascii="宋体" w:hAnsi="宋体"/>
      <w:sz w:val="16"/>
      <w:szCs w:val="16"/>
      <w:lang w:val="zh-CN" w:bidi="zh-CN"/>
    </w:rPr>
  </w:style>
  <w:style w:type="paragraph" w:customStyle="1" w:styleId="184">
    <w:name w:val="烟厂正文"/>
    <w:basedOn w:val="1"/>
    <w:qFormat/>
    <w:uiPriority w:val="0"/>
    <w:pPr>
      <w:autoSpaceDE/>
      <w:autoSpaceDN/>
      <w:spacing w:before="20" w:beforeLines="20" w:after="20" w:afterLines="20" w:line="500" w:lineRule="exact"/>
      <w:ind w:firstLine="200" w:firstLineChars="200"/>
      <w:jc w:val="both"/>
    </w:pPr>
    <w:rPr>
      <w:rFonts w:ascii="Times New Roman" w:hAnsi="Times New Roman"/>
      <w:kern w:val="2"/>
      <w:szCs w:val="24"/>
      <w:lang w:val="en-US" w:bidi="ar-SA"/>
    </w:rPr>
  </w:style>
  <w:style w:type="paragraph" w:customStyle="1" w:styleId="185">
    <w:name w:val="中大表格内容"/>
    <w:basedOn w:val="1"/>
    <w:qFormat/>
    <w:uiPriority w:val="0"/>
    <w:pPr>
      <w:adjustRightInd w:val="0"/>
      <w:jc w:val="center"/>
    </w:pPr>
    <w:rPr>
      <w:rFonts w:cs="宋体"/>
      <w:lang w:bidi="ar-SA"/>
    </w:rPr>
  </w:style>
  <w:style w:type="paragraph" w:customStyle="1" w:styleId="186">
    <w:name w:val="xl26"/>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pPr>
    <w:rPr>
      <w:lang w:val="en-US" w:bidi="ar-SA"/>
    </w:rPr>
  </w:style>
  <w:style w:type="paragraph" w:customStyle="1" w:styleId="187">
    <w:name w:val="默认段落字体 Para Char Char Char Char"/>
    <w:basedOn w:val="1"/>
    <w:qFormat/>
    <w:uiPriority w:val="0"/>
    <w:pPr>
      <w:autoSpaceDE/>
      <w:autoSpaceDN/>
      <w:jc w:val="both"/>
    </w:pPr>
    <w:rPr>
      <w:rFonts w:ascii="Times New Roman" w:hAnsi="Times New Roman" w:eastAsia="黑体"/>
      <w:kern w:val="2"/>
      <w:sz w:val="30"/>
      <w:szCs w:val="24"/>
      <w:lang w:val="en-US" w:bidi="ar-SA"/>
    </w:rPr>
  </w:style>
  <w:style w:type="paragraph" w:customStyle="1" w:styleId="188">
    <w:name w:val="表头文字"/>
    <w:basedOn w:val="1"/>
    <w:next w:val="42"/>
    <w:qFormat/>
    <w:uiPriority w:val="0"/>
    <w:pPr>
      <w:autoSpaceDE/>
      <w:autoSpaceDN/>
      <w:adjustRightInd w:val="0"/>
      <w:snapToGrid w:val="0"/>
      <w:spacing w:before="156" w:beforeLines="50" w:line="360" w:lineRule="auto"/>
    </w:pPr>
    <w:rPr>
      <w:rFonts w:ascii="Times New Roman" w:hAnsi="Times New Roman" w:eastAsia="黑体"/>
      <w:kern w:val="2"/>
      <w:sz w:val="24"/>
      <w:szCs w:val="20"/>
      <w:lang w:val="en-US" w:bidi="ar-SA"/>
    </w:rPr>
  </w:style>
  <w:style w:type="paragraph" w:customStyle="1" w:styleId="189">
    <w:name w:val="样式式"/>
    <w:basedOn w:val="1"/>
    <w:qFormat/>
    <w:uiPriority w:val="0"/>
    <w:pPr>
      <w:autoSpaceDE/>
      <w:autoSpaceDN/>
      <w:jc w:val="center"/>
    </w:pPr>
    <w:rPr>
      <w:rFonts w:ascii="Times New Roman" w:hAnsi="Times New Roman"/>
      <w:kern w:val="2"/>
      <w:lang w:val="en-US" w:bidi="ar-SA"/>
    </w:rPr>
  </w:style>
  <w:style w:type="paragraph" w:customStyle="1" w:styleId="190">
    <w:name w:val="Char1"/>
    <w:basedOn w:val="1"/>
    <w:qFormat/>
    <w:uiPriority w:val="0"/>
    <w:pPr>
      <w:autoSpaceDE/>
      <w:autoSpaceDN/>
      <w:spacing w:line="360" w:lineRule="auto"/>
      <w:ind w:firstLine="200" w:firstLineChars="200"/>
      <w:jc w:val="both"/>
    </w:pPr>
    <w:rPr>
      <w:rFonts w:cs="宋体"/>
      <w:kern w:val="2"/>
      <w:sz w:val="24"/>
      <w:szCs w:val="24"/>
      <w:lang w:val="en-US" w:bidi="ar-SA"/>
    </w:rPr>
  </w:style>
  <w:style w:type="character" w:customStyle="1" w:styleId="191">
    <w:name w:val="日期 字符1"/>
    <w:qFormat/>
    <w:uiPriority w:val="0"/>
    <w:rPr>
      <w:rFonts w:ascii="宋体" w:hAnsi="宋体"/>
      <w:sz w:val="21"/>
      <w:szCs w:val="21"/>
      <w:lang w:val="zh-CN" w:bidi="zh-CN"/>
    </w:rPr>
  </w:style>
  <w:style w:type="paragraph" w:customStyle="1" w:styleId="192">
    <w:name w:val="标题3 Char Char Char Char"/>
    <w:basedOn w:val="1"/>
    <w:qFormat/>
    <w:uiPriority w:val="0"/>
    <w:pPr>
      <w:autoSpaceDE/>
      <w:autoSpaceDN/>
      <w:spacing w:after="156" w:afterLines="50" w:line="560" w:lineRule="exact"/>
      <w:jc w:val="both"/>
    </w:pPr>
    <w:rPr>
      <w:rFonts w:ascii="Times New Roman" w:hAnsi="Times New Roman" w:eastAsia="黑体"/>
      <w:kern w:val="2"/>
      <w:sz w:val="30"/>
      <w:szCs w:val="30"/>
      <w:lang w:val="en-US" w:bidi="ar-SA"/>
    </w:rPr>
  </w:style>
  <w:style w:type="paragraph" w:customStyle="1" w:styleId="193">
    <w:name w:val="Char Char Char Char"/>
    <w:basedOn w:val="1"/>
    <w:qFormat/>
    <w:uiPriority w:val="0"/>
    <w:pPr>
      <w:autoSpaceDE/>
      <w:autoSpaceDN/>
      <w:jc w:val="both"/>
    </w:pPr>
    <w:rPr>
      <w:rFonts w:ascii="Times New Roman" w:hAnsi="Times New Roman"/>
      <w:kern w:val="2"/>
      <w:szCs w:val="24"/>
      <w:lang w:val="en-US" w:bidi="ar-SA"/>
    </w:rPr>
  </w:style>
  <w:style w:type="paragraph" w:customStyle="1" w:styleId="194">
    <w:name w:val="表文字"/>
    <w:basedOn w:val="15"/>
    <w:qFormat/>
    <w:uiPriority w:val="0"/>
    <w:pPr>
      <w:tabs>
        <w:tab w:val="left" w:pos="945"/>
        <w:tab w:val="right" w:leader="dot" w:pos="1155"/>
        <w:tab w:val="left" w:pos="8715"/>
      </w:tabs>
      <w:autoSpaceDE/>
      <w:autoSpaceDN/>
      <w:adjustRightInd w:val="0"/>
      <w:snapToGrid w:val="0"/>
      <w:spacing w:before="78" w:beforeLines="25" w:after="78" w:afterLines="25" w:line="240" w:lineRule="exact"/>
      <w:ind w:left="-13" w:leftChars="-13" w:right="-13" w:rightChars="-13"/>
      <w:jc w:val="center"/>
      <w:textAlignment w:val="baseline"/>
    </w:pPr>
    <w:rPr>
      <w:rFonts w:ascii="Times New Roman" w:hAnsi="Times New Roman" w:cs="Times New Roman"/>
      <w:snapToGrid w:val="0"/>
      <w:color w:val="000000"/>
      <w:sz w:val="20"/>
      <w:szCs w:val="9"/>
      <w:lang w:val="en-US" w:bidi="ar-SA"/>
    </w:rPr>
  </w:style>
  <w:style w:type="paragraph" w:customStyle="1" w:styleId="195">
    <w:name w:val="xl29"/>
    <w:basedOn w:val="1"/>
    <w:qFormat/>
    <w:uiPriority w:val="0"/>
    <w:pPr>
      <w:widowControl/>
      <w:pBdr>
        <w:left w:val="single" w:color="auto" w:sz="8" w:space="0"/>
      </w:pBdr>
      <w:autoSpaceDE/>
      <w:autoSpaceDN/>
      <w:spacing w:before="100" w:beforeAutospacing="1" w:after="100" w:afterAutospacing="1"/>
      <w:jc w:val="center"/>
    </w:pPr>
    <w:rPr>
      <w:rFonts w:hint="eastAsia" w:ascii="楷体_GB2312" w:eastAsia="楷体_GB2312"/>
      <w:sz w:val="24"/>
      <w:szCs w:val="24"/>
      <w:lang w:val="en-US" w:bidi="ar-SA"/>
    </w:rPr>
  </w:style>
  <w:style w:type="paragraph" w:customStyle="1" w:styleId="196">
    <w:name w:val="表内格式"/>
    <w:basedOn w:val="1"/>
    <w:qFormat/>
    <w:uiPriority w:val="0"/>
    <w:pPr>
      <w:autoSpaceDE/>
      <w:autoSpaceDN/>
      <w:jc w:val="center"/>
    </w:pPr>
    <w:rPr>
      <w:rFonts w:ascii="Times New Roman" w:hAnsi="Times New Roman"/>
      <w:kern w:val="2"/>
      <w:sz w:val="18"/>
      <w:szCs w:val="20"/>
      <w:lang w:val="en-US" w:bidi="ar-SA"/>
    </w:rPr>
  </w:style>
  <w:style w:type="paragraph" w:customStyle="1" w:styleId="197">
    <w:name w:val="图表文字"/>
    <w:basedOn w:val="1"/>
    <w:qFormat/>
    <w:uiPriority w:val="0"/>
    <w:pPr>
      <w:autoSpaceDE/>
      <w:autoSpaceDN/>
      <w:spacing w:line="320" w:lineRule="exact"/>
      <w:jc w:val="center"/>
    </w:pPr>
    <w:rPr>
      <w:rFonts w:ascii="Times New Roman"/>
      <w:spacing w:val="-6"/>
      <w:kern w:val="2"/>
      <w:sz w:val="24"/>
      <w:szCs w:val="24"/>
      <w:lang w:val="en-US" w:bidi="ar-SA"/>
    </w:rPr>
  </w:style>
  <w:style w:type="paragraph" w:customStyle="1" w:styleId="198">
    <w:name w:val="报告表表内容"/>
    <w:basedOn w:val="1"/>
    <w:qFormat/>
    <w:uiPriority w:val="0"/>
    <w:pPr>
      <w:widowControl/>
      <w:autoSpaceDE/>
      <w:autoSpaceDN/>
      <w:spacing w:line="300" w:lineRule="exact"/>
      <w:jc w:val="center"/>
    </w:pPr>
    <w:rPr>
      <w:rFonts w:ascii="Times New Roman" w:hAnsi="Times New Roman"/>
      <w:color w:val="FF0000"/>
      <w:lang w:val="en-US" w:bidi="ar-SA"/>
    </w:rPr>
  </w:style>
  <w:style w:type="paragraph" w:customStyle="1" w:styleId="199">
    <w:name w:val="正文内容"/>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00">
    <w:name w:val="Char Char Char Char Char Char Char"/>
    <w:basedOn w:val="1"/>
    <w:qFormat/>
    <w:uiPriority w:val="0"/>
    <w:pPr>
      <w:autoSpaceDE/>
      <w:autoSpaceDN/>
      <w:jc w:val="both"/>
    </w:pPr>
    <w:rPr>
      <w:rFonts w:ascii="Times New Roman" w:hAnsi="Times New Roman"/>
      <w:kern w:val="2"/>
      <w:szCs w:val="24"/>
      <w:lang w:val="en-US" w:bidi="ar-SA"/>
    </w:rPr>
  </w:style>
  <w:style w:type="paragraph" w:customStyle="1" w:styleId="201">
    <w:name w:val="正文（源通）"/>
    <w:basedOn w:val="1"/>
    <w:qFormat/>
    <w:uiPriority w:val="0"/>
    <w:pPr>
      <w:autoSpaceDE/>
      <w:autoSpaceDN/>
      <w:spacing w:line="500" w:lineRule="exact"/>
      <w:ind w:firstLine="480" w:firstLineChars="200"/>
      <w:jc w:val="both"/>
    </w:pPr>
    <w:rPr>
      <w:rFonts w:ascii="Times New Roman" w:hAnsi="Times New Roman" w:eastAsia="Times New Roman"/>
      <w:color w:val="FF0000"/>
      <w:kern w:val="2"/>
      <w:szCs w:val="24"/>
      <w:lang w:val="en-US" w:bidi="ar-SA"/>
    </w:rPr>
  </w:style>
  <w:style w:type="paragraph" w:customStyle="1" w:styleId="202">
    <w:name w:val="正文文本缩进1"/>
    <w:basedOn w:val="1"/>
    <w:next w:val="1"/>
    <w:qFormat/>
    <w:uiPriority w:val="0"/>
    <w:pPr>
      <w:widowControl/>
      <w:autoSpaceDE/>
      <w:autoSpaceDN/>
      <w:spacing w:line="300" w:lineRule="auto"/>
      <w:ind w:firstLine="480"/>
      <w:jc w:val="both"/>
    </w:pPr>
    <w:rPr>
      <w:rFonts w:ascii="Times New Roman" w:hAnsi="Times New Roman"/>
      <w:b/>
      <w:color w:val="000000"/>
      <w:kern w:val="2"/>
      <w:sz w:val="24"/>
      <w:szCs w:val="20"/>
      <w:lang w:val="en-US" w:bidi="ar-SA"/>
    </w:rPr>
  </w:style>
  <w:style w:type="paragraph" w:customStyle="1" w:styleId="203">
    <w:name w:val="永环书表内格式"/>
    <w:basedOn w:val="1"/>
    <w:qFormat/>
    <w:uiPriority w:val="0"/>
    <w:pPr>
      <w:shd w:val="clear" w:color="auto" w:fill="FFFFFF"/>
      <w:autoSpaceDE/>
      <w:autoSpaceDN/>
      <w:spacing w:line="300" w:lineRule="exact"/>
      <w:jc w:val="center"/>
    </w:pPr>
    <w:rPr>
      <w:rFonts w:ascii="Times New Roman" w:hAnsi="Times New Roman"/>
      <w:spacing w:val="6"/>
      <w:kern w:val="2"/>
      <w:shd w:val="clear" w:color="auto" w:fill="FFFFFF"/>
      <w:lang w:val="en-US" w:bidi="ar-SA"/>
    </w:rPr>
  </w:style>
  <w:style w:type="paragraph" w:customStyle="1" w:styleId="204">
    <w:name w:val="图表标题"/>
    <w:basedOn w:val="1"/>
    <w:link w:val="225"/>
    <w:qFormat/>
    <w:uiPriority w:val="0"/>
    <w:pPr>
      <w:autoSpaceDE/>
      <w:autoSpaceDN/>
      <w:spacing w:before="60" w:line="460" w:lineRule="exact"/>
      <w:ind w:firstLine="199" w:firstLineChars="199"/>
      <w:contextualSpacing/>
      <w:jc w:val="center"/>
    </w:pPr>
    <w:rPr>
      <w:rFonts w:ascii="Times New Roman" w:hAnsi="Times New Roman"/>
      <w:b/>
      <w:bCs/>
      <w:snapToGrid w:val="0"/>
      <w:kern w:val="2"/>
      <w:shd w:val="clear" w:color="auto" w:fill="FFFFFF"/>
      <w:lang w:val="en-US" w:bidi="ar-SA"/>
    </w:rPr>
  </w:style>
  <w:style w:type="paragraph" w:customStyle="1" w:styleId="205">
    <w:name w:val="表格2"/>
    <w:basedOn w:val="1"/>
    <w:next w:val="1"/>
    <w:qFormat/>
    <w:uiPriority w:val="0"/>
    <w:pPr>
      <w:topLinePunct/>
      <w:adjustRightInd w:val="0"/>
      <w:jc w:val="center"/>
      <w:textAlignment w:val="baseline"/>
    </w:pPr>
    <w:rPr>
      <w:rFonts w:ascii="Times New Roman" w:hAnsi="Times New Roman" w:eastAsia="仿宋体"/>
      <w:sz w:val="24"/>
      <w:szCs w:val="24"/>
      <w:lang w:val="en-US" w:bidi="ar-SA"/>
    </w:rPr>
  </w:style>
  <w:style w:type="paragraph" w:customStyle="1" w:styleId="206">
    <w:name w:val="默认段落字体 Para Char Char Char Char Char Char Char"/>
    <w:basedOn w:val="1"/>
    <w:qFormat/>
    <w:uiPriority w:val="0"/>
    <w:pPr>
      <w:autoSpaceDE/>
      <w:autoSpaceDN/>
      <w:spacing w:line="360" w:lineRule="auto"/>
      <w:ind w:firstLine="200" w:firstLineChars="200"/>
      <w:jc w:val="both"/>
    </w:pPr>
    <w:rPr>
      <w:rFonts w:cs="宋体"/>
      <w:kern w:val="2"/>
      <w:sz w:val="24"/>
      <w:szCs w:val="24"/>
      <w:lang w:val="en-US" w:bidi="ar-SA"/>
    </w:rPr>
  </w:style>
  <w:style w:type="paragraph" w:customStyle="1" w:styleId="207">
    <w:name w:val="永环正文格式"/>
    <w:basedOn w:val="1"/>
    <w:qFormat/>
    <w:uiPriority w:val="0"/>
    <w:pPr>
      <w:autoSpaceDE/>
      <w:autoSpaceDN/>
      <w:spacing w:line="540" w:lineRule="exact"/>
      <w:ind w:firstLine="200" w:firstLineChars="200"/>
      <w:jc w:val="both"/>
    </w:pPr>
    <w:rPr>
      <w:rFonts w:ascii="Times New Roman" w:hAnsi="Times New Roman"/>
      <w:kern w:val="2"/>
      <w:szCs w:val="20"/>
      <w:lang w:val="en-US" w:bidi="ar-SA"/>
    </w:rPr>
  </w:style>
  <w:style w:type="paragraph" w:customStyle="1" w:styleId="208">
    <w:name w:val="永环书二级标题"/>
    <w:basedOn w:val="1"/>
    <w:qFormat/>
    <w:uiPriority w:val="0"/>
    <w:pPr>
      <w:autoSpaceDE/>
      <w:autoSpaceDN/>
      <w:spacing w:before="156" w:beforeLines="50" w:after="156" w:afterLines="50" w:line="500" w:lineRule="exact"/>
      <w:jc w:val="both"/>
      <w:outlineLvl w:val="1"/>
    </w:pPr>
    <w:rPr>
      <w:rFonts w:ascii="Times New Roman" w:hAnsi="Times New Roman" w:eastAsia="黑体"/>
      <w:b/>
      <w:kern w:val="2"/>
      <w:sz w:val="28"/>
      <w:szCs w:val="28"/>
      <w:lang w:val="en-US" w:bidi="ar-SA"/>
    </w:rPr>
  </w:style>
  <w:style w:type="paragraph" w:customStyle="1" w:styleId="209">
    <w:name w:val="_Style 27"/>
    <w:basedOn w:val="1"/>
    <w:qFormat/>
    <w:uiPriority w:val="0"/>
    <w:pPr>
      <w:autoSpaceDE/>
      <w:autoSpaceDN/>
      <w:snapToGrid w:val="0"/>
      <w:spacing w:line="360" w:lineRule="auto"/>
      <w:ind w:firstLine="529" w:firstLineChars="200"/>
      <w:jc w:val="both"/>
    </w:pPr>
    <w:rPr>
      <w:rFonts w:ascii="Times New Roman" w:hAnsi="Times New Roman" w:eastAsia="黑体"/>
      <w:kern w:val="2"/>
      <w:sz w:val="30"/>
      <w:szCs w:val="24"/>
      <w:lang w:val="en-US" w:bidi="ar-SA"/>
    </w:rPr>
  </w:style>
  <w:style w:type="paragraph" w:customStyle="1" w:styleId="210">
    <w:name w:val="Char Char Char Char Char Char"/>
    <w:basedOn w:val="1"/>
    <w:qFormat/>
    <w:uiPriority w:val="0"/>
    <w:pPr>
      <w:autoSpaceDE/>
      <w:autoSpaceDN/>
      <w:jc w:val="both"/>
    </w:pPr>
    <w:rPr>
      <w:rFonts w:ascii="Times New Roman" w:hAnsi="Times New Roman"/>
      <w:kern w:val="2"/>
      <w:sz w:val="24"/>
      <w:szCs w:val="24"/>
      <w:lang w:val="en-US" w:bidi="ar-SA"/>
    </w:rPr>
  </w:style>
  <w:style w:type="paragraph" w:customStyle="1" w:styleId="211">
    <w:name w:val="Char Char19 Char Char"/>
    <w:basedOn w:val="1"/>
    <w:qFormat/>
    <w:uiPriority w:val="0"/>
    <w:pPr>
      <w:autoSpaceDE/>
      <w:autoSpaceDN/>
      <w:jc w:val="both"/>
    </w:pPr>
    <w:rPr>
      <w:rFonts w:ascii="Times New Roman" w:hAnsi="Times New Roman"/>
      <w:kern w:val="2"/>
      <w:sz w:val="24"/>
      <w:szCs w:val="24"/>
      <w:lang w:val="en-US" w:bidi="ar-SA"/>
    </w:rPr>
  </w:style>
  <w:style w:type="paragraph" w:customStyle="1" w:styleId="212">
    <w:name w:val="正文格式"/>
    <w:basedOn w:val="1"/>
    <w:qFormat/>
    <w:uiPriority w:val="0"/>
    <w:pPr>
      <w:autoSpaceDE/>
      <w:autoSpaceDN/>
      <w:spacing w:line="360" w:lineRule="auto"/>
      <w:ind w:firstLine="560" w:firstLineChars="200"/>
      <w:jc w:val="both"/>
    </w:pPr>
    <w:rPr>
      <w:kern w:val="2"/>
      <w:sz w:val="28"/>
      <w:szCs w:val="28"/>
      <w:lang w:val="en-US" w:bidi="ar-SA"/>
    </w:rPr>
  </w:style>
  <w:style w:type="paragraph" w:customStyle="1" w:styleId="213">
    <w:name w:val="1文章"/>
    <w:basedOn w:val="1"/>
    <w:qFormat/>
    <w:uiPriority w:val="0"/>
    <w:pPr>
      <w:autoSpaceDE/>
      <w:autoSpaceDN/>
      <w:snapToGrid w:val="0"/>
      <w:spacing w:line="360" w:lineRule="auto"/>
      <w:ind w:firstLine="573"/>
      <w:jc w:val="both"/>
    </w:pPr>
    <w:rPr>
      <w:rFonts w:ascii="Times New Roman" w:hAnsi="Times New Roman" w:eastAsia="仿宋_GB2312"/>
      <w:kern w:val="2"/>
      <w:sz w:val="28"/>
      <w:szCs w:val="20"/>
      <w:lang w:val="en-US" w:bidi="ar-SA"/>
    </w:rPr>
  </w:style>
  <w:style w:type="paragraph" w:customStyle="1" w:styleId="214">
    <w:name w:val="永环书图表标题"/>
    <w:basedOn w:val="1"/>
    <w:qFormat/>
    <w:uiPriority w:val="0"/>
    <w:pPr>
      <w:autoSpaceDE/>
      <w:autoSpaceDN/>
      <w:spacing w:before="62" w:beforeLines="20" w:after="62" w:afterLines="20" w:line="440" w:lineRule="exact"/>
      <w:jc w:val="center"/>
    </w:pPr>
    <w:rPr>
      <w:rFonts w:ascii="Times New Roman" w:hAnsi="Times New Roman" w:eastAsia="黑体"/>
      <w:color w:val="000000"/>
      <w:kern w:val="2"/>
      <w:sz w:val="24"/>
      <w:szCs w:val="24"/>
      <w:lang w:val="en-US" w:bidi="ar-SA"/>
    </w:rPr>
  </w:style>
  <w:style w:type="paragraph" w:customStyle="1" w:styleId="215">
    <w:name w:val="题注1"/>
    <w:basedOn w:val="1"/>
    <w:qFormat/>
    <w:uiPriority w:val="0"/>
    <w:pPr>
      <w:autoSpaceDE/>
      <w:autoSpaceDN/>
    </w:pPr>
    <w:rPr>
      <w:b/>
      <w:kern w:val="2"/>
      <w:szCs w:val="24"/>
      <w:lang w:val="en-US" w:bidi="ar-SA"/>
    </w:rPr>
  </w:style>
  <w:style w:type="paragraph" w:customStyle="1" w:styleId="216">
    <w:name w:val="Char"/>
    <w:basedOn w:val="1"/>
    <w:qFormat/>
    <w:uiPriority w:val="0"/>
    <w:pPr>
      <w:autoSpaceDE/>
      <w:autoSpaceDN/>
      <w:snapToGrid w:val="0"/>
      <w:jc w:val="both"/>
    </w:pPr>
    <w:rPr>
      <w:rFonts w:ascii="Times New Roman" w:hAnsi="Times New Roman" w:eastAsia="黑体"/>
      <w:kern w:val="2"/>
      <w:sz w:val="30"/>
      <w:szCs w:val="24"/>
      <w:lang w:val="en-US" w:bidi="ar-SA"/>
    </w:rPr>
  </w:style>
  <w:style w:type="paragraph" w:customStyle="1" w:styleId="217">
    <w:name w:val="表格内文字"/>
    <w:basedOn w:val="1"/>
    <w:link w:val="218"/>
    <w:qFormat/>
    <w:uiPriority w:val="0"/>
    <w:pPr>
      <w:tabs>
        <w:tab w:val="left" w:pos="0"/>
      </w:tabs>
      <w:autoSpaceDE/>
      <w:autoSpaceDN/>
      <w:adjustRightInd w:val="0"/>
      <w:snapToGrid w:val="0"/>
      <w:jc w:val="center"/>
    </w:pPr>
    <w:rPr>
      <w:rFonts w:ascii="Times New Roman" w:hAnsi="Times New Roman" w:eastAsia="仿宋_GB2312"/>
      <w:kern w:val="2"/>
      <w:sz w:val="24"/>
      <w:szCs w:val="28"/>
      <w:lang w:val="en-US" w:bidi="ar-SA"/>
    </w:rPr>
  </w:style>
  <w:style w:type="character" w:customStyle="1" w:styleId="218">
    <w:name w:val="表格内文字 Char Char"/>
    <w:link w:val="217"/>
    <w:qFormat/>
    <w:uiPriority w:val="0"/>
    <w:rPr>
      <w:rFonts w:eastAsia="仿宋_GB2312"/>
      <w:kern w:val="2"/>
      <w:sz w:val="24"/>
      <w:szCs w:val="28"/>
    </w:rPr>
  </w:style>
  <w:style w:type="character" w:customStyle="1" w:styleId="219">
    <w:name w:val="普通(网站) Char"/>
    <w:link w:val="40"/>
    <w:qFormat/>
    <w:locked/>
    <w:uiPriority w:val="0"/>
    <w:rPr>
      <w:rFonts w:ascii="宋体" w:hAnsi="宋体"/>
      <w:sz w:val="24"/>
      <w:szCs w:val="21"/>
    </w:rPr>
  </w:style>
  <w:style w:type="paragraph" w:customStyle="1" w:styleId="220">
    <w:name w:val="默认段落字体 Para Char Char Char Char Char Char Char Char Char Char Char Char Char1 Char"/>
    <w:basedOn w:val="12"/>
    <w:qFormat/>
    <w:uiPriority w:val="0"/>
    <w:rPr>
      <w:rFonts w:ascii="Tahoma" w:hAnsi="Tahoma"/>
      <w:sz w:val="24"/>
    </w:rPr>
  </w:style>
  <w:style w:type="character" w:styleId="221">
    <w:name w:val="Placeholder Text"/>
    <w:basedOn w:val="46"/>
    <w:unhideWhenUsed/>
    <w:uiPriority w:val="99"/>
    <w:rPr>
      <w:color w:val="808080"/>
    </w:rPr>
  </w:style>
  <w:style w:type="table" w:customStyle="1" w:styleId="222">
    <w:name w:val="w1.5"/>
    <w:basedOn w:val="43"/>
    <w:qFormat/>
    <w:uiPriority w:val="99"/>
    <w:tblPr>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trPr>
      <w:jc w:val="center"/>
    </w:trPr>
    <w:tcPr>
      <w:vAlign w:val="center"/>
    </w:tcPr>
  </w:style>
  <w:style w:type="paragraph" w:customStyle="1" w:styleId="223">
    <w:name w:val="表格首行"/>
    <w:basedOn w:val="1"/>
    <w:link w:val="224"/>
    <w:qFormat/>
    <w:uiPriority w:val="0"/>
    <w:pPr>
      <w:autoSpaceDE/>
      <w:autoSpaceDN/>
      <w:snapToGrid w:val="0"/>
      <w:jc w:val="center"/>
    </w:pPr>
    <w:rPr>
      <w:rFonts w:ascii="Times New Roman" w:hAnsi="Times New Roman"/>
      <w:b/>
      <w:kern w:val="2"/>
      <w:szCs w:val="18"/>
      <w:lang w:val="en-US" w:bidi="ar-SA"/>
    </w:rPr>
  </w:style>
  <w:style w:type="character" w:customStyle="1" w:styleId="224">
    <w:name w:val="表格首行 字符"/>
    <w:basedOn w:val="46"/>
    <w:link w:val="223"/>
    <w:qFormat/>
    <w:uiPriority w:val="0"/>
    <w:rPr>
      <w:b/>
      <w:kern w:val="2"/>
      <w:sz w:val="21"/>
      <w:szCs w:val="18"/>
    </w:rPr>
  </w:style>
  <w:style w:type="character" w:customStyle="1" w:styleId="225">
    <w:name w:val="图表标题 字符"/>
    <w:basedOn w:val="46"/>
    <w:link w:val="204"/>
    <w:qFormat/>
    <w:uiPriority w:val="0"/>
    <w:rPr>
      <w:b/>
      <w:bCs/>
      <w:snapToGrid w:val="0"/>
      <w:kern w:val="2"/>
      <w:sz w:val="21"/>
      <w:szCs w:val="21"/>
    </w:rPr>
  </w:style>
  <w:style w:type="table" w:customStyle="1" w:styleId="226">
    <w:name w:val="样式4"/>
    <w:basedOn w:val="43"/>
    <w:qFormat/>
    <w:uiPriority w:val="99"/>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227">
    <w:name w:val="24磅正文 Char"/>
    <w:link w:val="228"/>
    <w:qFormat/>
    <w:uiPriority w:val="0"/>
    <w:rPr>
      <w:kern w:val="2"/>
      <w:sz w:val="24"/>
      <w:szCs w:val="24"/>
    </w:rPr>
  </w:style>
  <w:style w:type="paragraph" w:customStyle="1" w:styleId="228">
    <w:name w:val="24磅正文"/>
    <w:basedOn w:val="1"/>
    <w:link w:val="227"/>
    <w:qFormat/>
    <w:uiPriority w:val="0"/>
    <w:pPr>
      <w:topLinePunct/>
      <w:autoSpaceDN/>
      <w:spacing w:line="480" w:lineRule="exact"/>
      <w:ind w:firstLine="480" w:firstLineChars="200"/>
      <w:jc w:val="both"/>
    </w:pPr>
    <w:rPr>
      <w:rFonts w:ascii="Times New Roman" w:hAnsi="Times New Roman"/>
      <w:kern w:val="2"/>
      <w:sz w:val="24"/>
      <w:szCs w:val="24"/>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wmf"/><Relationship Id="rId30" Type="http://schemas.openxmlformats.org/officeDocument/2006/relationships/oleObject" Target="embeddings/oleObject2.bin"/><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package" Target="embeddings/Microsoft_Visio___1.vsdx"/><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6183A3-624E-4337-9630-FAB848E3996B}">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91</Pages>
  <Words>53117</Words>
  <Characters>62171</Characters>
  <Lines>490</Lines>
  <Paragraphs>138</Paragraphs>
  <TotalTime>0</TotalTime>
  <ScaleCrop>false</ScaleCrop>
  <LinksUpToDate>false</LinksUpToDate>
  <CharactersWithSpaces>62612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2022-09-27T02:42:00Z</dcterms:created>
  <dc:creator>lhj</dc:creator>
  <cp:lastModifiedBy>雨文如月</cp:lastModifiedBy>
  <cp:lastPrinted>2022-09-25T01:30:00Z</cp:lastPrinted>
  <dcterms:modified xsi:type="dcterms:W3CDTF">2022-09-28T02:09:01Z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2021-03-26T00:00:00Z</vt:filetime>
  </property>
  <property fmtid="{D5CDD505-2E9C-101B-9397-08002B2CF9AE}" pid="3" name="Creator">
    <vt:lpwstr>WPS 文字</vt:lpwstr>
  </property>
  <property fmtid="{D5CDD505-2E9C-101B-9397-08002B2CF9AE}" pid="4" name="LastSaved">
    <vt:filetime>2021-03-29T00:00:00Z</vt:filetime>
  </property>
  <property fmtid="{D5CDD505-2E9C-101B-9397-08002B2CF9AE}" pid="5" name="KSOProductBuildVer">
    <vt:lpwstr>2052-11.1.0.11636</vt:lpwstr>
  </property>
  <property fmtid="{D5CDD505-2E9C-101B-9397-08002B2CF9AE}" pid="6" name="ICV">
    <vt:lpwstr>8528405BDA9A43D4A30C42E7270B30B0</vt:lpwstr>
  </property>
</Properties>
</file>