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outlineLvl w:val="0"/>
        <w:rPr>
          <w:rFonts w:hint="eastAsia" w:ascii="方正黑体_GBK" w:hAnsi="方正黑体_GBK" w:eastAsia="方正黑体_GBK" w:cs="方正黑体_GBK"/>
          <w:color w:val="000000"/>
          <w:sz w:val="32"/>
          <w:szCs w:val="32"/>
          <w:highlight w:val="none"/>
          <w:lang w:eastAsia="zh-CN"/>
        </w:rPr>
      </w:pPr>
      <w:r>
        <w:rPr>
          <w:rFonts w:hint="eastAsia" w:ascii="方正黑体_GBK" w:hAnsi="方正黑体_GBK" w:eastAsia="方正黑体_GBK" w:cs="方正黑体_GBK"/>
          <w:color w:val="000000"/>
          <w:sz w:val="32"/>
          <w:szCs w:val="32"/>
          <w:highlight w:val="none"/>
          <w:lang w:eastAsia="zh-CN"/>
        </w:rPr>
        <w:t>附件：</w:t>
      </w:r>
    </w:p>
    <w:p>
      <w:pPr>
        <w:keepNext w:val="0"/>
        <w:keepLines w:val="0"/>
        <w:pageBreakBefore w:val="0"/>
        <w:kinsoku/>
        <w:overflowPunct/>
        <w:topLinePunct w:val="0"/>
        <w:autoSpaceDE/>
        <w:autoSpaceDN/>
        <w:bidi w:val="0"/>
        <w:spacing w:line="560" w:lineRule="exact"/>
        <w:jc w:val="center"/>
        <w:rPr>
          <w:rFonts w:hint="default" w:ascii="TimesNewRoman" w:hAnsi="TimesNewRoman" w:eastAsia="华文中宋" w:cs="TimesNewRoman"/>
          <w:b/>
          <w:color w:val="000000"/>
          <w:sz w:val="36"/>
          <w:szCs w:val="36"/>
        </w:rPr>
      </w:pPr>
    </w:p>
    <w:p>
      <w:pPr>
        <w:keepNext w:val="0"/>
        <w:keepLines w:val="0"/>
        <w:pageBreakBefore w:val="0"/>
        <w:kinsoku/>
        <w:overflowPunct/>
        <w:topLinePunct w:val="0"/>
        <w:autoSpaceDE/>
        <w:autoSpaceDN/>
        <w:bidi w:val="0"/>
        <w:spacing w:line="560" w:lineRule="exact"/>
        <w:jc w:val="center"/>
        <w:rPr>
          <w:rFonts w:hint="default" w:ascii="TimesNewRoman" w:hAnsi="TimesNewRoman" w:eastAsia="华文中宋" w:cs="TimesNewRoman"/>
          <w:b/>
          <w:color w:val="000000"/>
          <w:sz w:val="36"/>
          <w:szCs w:val="36"/>
          <w:lang w:eastAsia="zh-CN"/>
        </w:rPr>
      </w:pPr>
      <w:r>
        <w:rPr>
          <w:rFonts w:hint="eastAsia" w:ascii="TimesNewRoman" w:hAnsi="TimesNewRoman" w:eastAsia="华文中宋" w:cs="TimesNewRoman"/>
          <w:b/>
          <w:color w:val="000000"/>
          <w:sz w:val="36"/>
          <w:szCs w:val="36"/>
          <w:lang w:eastAsia="zh-CN"/>
        </w:rPr>
        <w:t>淮南市人民政府办公室</w:t>
      </w:r>
      <w:r>
        <w:rPr>
          <w:rFonts w:hint="default" w:ascii="TimesNewRoman" w:hAnsi="TimesNewRoman" w:eastAsia="华文中宋" w:cs="TimesNewRoman"/>
          <w:b/>
          <w:color w:val="000000"/>
          <w:sz w:val="36"/>
          <w:szCs w:val="36"/>
          <w:lang w:val="en-US" w:eastAsia="zh-CN"/>
        </w:rPr>
        <w:t>2024年度</w:t>
      </w:r>
      <w:r>
        <w:rPr>
          <w:rFonts w:hint="default" w:ascii="TimesNewRoman" w:hAnsi="TimesNewRoman" w:eastAsia="华文中宋" w:cs="TimesNewRoman"/>
          <w:b/>
          <w:color w:val="000000"/>
          <w:sz w:val="36"/>
          <w:szCs w:val="36"/>
        </w:rPr>
        <w:t>项目</w:t>
      </w:r>
      <w:r>
        <w:rPr>
          <w:rFonts w:hint="default" w:ascii="TimesNewRoman" w:hAnsi="TimesNewRoman" w:eastAsia="华文中宋" w:cs="TimesNewRoman"/>
          <w:b/>
          <w:color w:val="000000"/>
          <w:sz w:val="36"/>
          <w:szCs w:val="36"/>
          <w:lang w:eastAsia="zh-CN"/>
        </w:rPr>
        <w:t>支出绩效目标</w:t>
      </w:r>
    </w:p>
    <w:p>
      <w:pPr>
        <w:keepNext w:val="0"/>
        <w:keepLines w:val="0"/>
        <w:pageBreakBefore w:val="0"/>
        <w:kinsoku/>
        <w:overflowPunct/>
        <w:topLinePunct w:val="0"/>
        <w:autoSpaceDE/>
        <w:autoSpaceDN/>
        <w:bidi w:val="0"/>
        <w:adjustRightInd w:val="0"/>
        <w:snapToGrid w:val="0"/>
        <w:spacing w:line="560" w:lineRule="exact"/>
        <w:jc w:val="both"/>
        <w:outlineLvl w:val="0"/>
        <w:rPr>
          <w:rFonts w:hint="default" w:ascii="TimesNewRoman" w:hAnsi="TimesNewRoman" w:eastAsia="仿宋_GB2312" w:cs="TimesNewRoman"/>
          <w:b w:val="0"/>
          <w:bCs w:val="0"/>
          <w:color w:val="000000"/>
          <w:sz w:val="32"/>
          <w:szCs w:val="32"/>
          <w:highlight w:val="none"/>
          <w:lang w:eastAsia="zh-CN"/>
        </w:rPr>
      </w:pPr>
    </w:p>
    <w:tbl>
      <w:tblPr>
        <w:tblStyle w:val="4"/>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429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color w:val="000000"/>
                <w:kern w:val="2"/>
                <w:sz w:val="32"/>
                <w:szCs w:val="32"/>
                <w:lang w:val="en-US" w:eastAsia="zh-CN" w:bidi="ar-SA"/>
              </w:rPr>
              <w:t>项目支出绩效目标公开清单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序号</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项目名称</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预算金额（单位：万元）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1</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“放管服”改革和营商环境监督专项经费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2</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政务公开工作专项经费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 xml:space="preserve"> 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3</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政策研究及落实情况监督检查工作经费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 xml:space="preserve">  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4</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市本级因公出国(境)经费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5</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12345政务热线服务项目</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6</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行政管理事务专项经费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7</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政府公报专项费用</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23.17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8</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外事工作专项经费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9</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政务信息工作专项信息</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10</w:t>
            </w:r>
          </w:p>
        </w:tc>
        <w:tc>
          <w:tcPr>
            <w:tcW w:w="4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政府网站安全运行专项经费</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12.9</w:t>
            </w:r>
          </w:p>
        </w:tc>
      </w:tr>
    </w:tbl>
    <w:p>
      <w:pPr>
        <w:keepNext w:val="0"/>
        <w:keepLines w:val="0"/>
        <w:pageBreakBefore w:val="0"/>
        <w:tabs>
          <w:tab w:val="left" w:pos="3316"/>
        </w:tabs>
        <w:kinsoku/>
        <w:overflowPunct/>
        <w:topLinePunct w:val="0"/>
        <w:autoSpaceDE/>
        <w:autoSpaceDN/>
        <w:bidi w:val="0"/>
        <w:adjustRightInd w:val="0"/>
        <w:snapToGrid w:val="0"/>
        <w:spacing w:line="560" w:lineRule="exact"/>
        <w:outlineLvl w:val="0"/>
        <w:rPr>
          <w:rFonts w:hint="default" w:ascii="TimesNewRoman" w:hAnsi="TimesNewRoman" w:eastAsia="黑体" w:cs="TimesNewRoman"/>
          <w:color w:val="000000"/>
          <w:sz w:val="36"/>
          <w:szCs w:val="36"/>
          <w:highlight w:val="none"/>
        </w:rPr>
      </w:pPr>
    </w:p>
    <w:p>
      <w:pPr>
        <w:keepNext w:val="0"/>
        <w:keepLines w:val="0"/>
        <w:pageBreakBefore w:val="0"/>
        <w:tabs>
          <w:tab w:val="left" w:pos="3316"/>
        </w:tabs>
        <w:kinsoku/>
        <w:overflowPunct/>
        <w:topLinePunct w:val="0"/>
        <w:autoSpaceDE/>
        <w:autoSpaceDN/>
        <w:bidi w:val="0"/>
        <w:adjustRightInd w:val="0"/>
        <w:snapToGrid w:val="0"/>
        <w:spacing w:line="560" w:lineRule="exact"/>
        <w:outlineLvl w:val="0"/>
        <w:rPr>
          <w:rFonts w:hint="default" w:ascii="TimesNewRoman" w:hAnsi="TimesNewRoman" w:eastAsia="黑体" w:cs="TimesNewRoman"/>
          <w:color w:val="000000"/>
          <w:sz w:val="36"/>
          <w:szCs w:val="36"/>
          <w:highlight w:val="none"/>
        </w:rPr>
      </w:pPr>
      <w:r>
        <w:rPr>
          <w:rFonts w:hint="default" w:ascii="TimesNewRoman" w:hAnsi="TimesNewRoman" w:eastAsia="黑体" w:cs="TimesNewRoman"/>
          <w:color w:val="000000"/>
          <w:sz w:val="36"/>
          <w:szCs w:val="36"/>
          <w:highlight w:val="none"/>
        </w:rPr>
        <w:br w:type="page"/>
      </w:r>
    </w:p>
    <w:p>
      <w:r>
        <w:rPr>
          <w:rFonts w:hint="eastAsia" w:ascii="方正仿宋_GBK" w:hAnsi="方正仿宋_GBK" w:eastAsia="方正仿宋_GBK" w:cs="方正仿宋_GBK"/>
          <w:b/>
          <w:color w:val="000000"/>
          <w:sz w:val="32"/>
          <w:szCs w:val="32"/>
        </w:rPr>
        <w:t>1.“放管服”改革和营商环境监督专项项目</w:t>
      </w:r>
    </w:p>
    <w:tbl>
      <w:tblPr>
        <w:tblStyle w:val="3"/>
        <w:tblW w:w="8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585"/>
        <w:gridCol w:w="1069"/>
        <w:gridCol w:w="3107"/>
        <w:gridCol w:w="1521"/>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919"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919"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919"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4176"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52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148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8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“放管服”改革和营商环境监督专项经费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37"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4176"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521"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4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417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52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417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417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737"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417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34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推进“四送一服”双千工程，创优“四最”营商环境，加强招商引资招才引智。 保障.“四送一服”双千工程集中活动和常态化工作，并为省第七工作组（省工商联）提供工作保障。印制政策汇编等宣传资料、推广“四送一服”微信公众号，加大工作宣传力度。 委托第三方机构组织开展“四送一服”双千工程集中月、集中周以及专项活动和常态化工作评估满意度调查，委托第三方机构对惠企政策落实情况进行评估测评，争取在省目标管理绩效考核中争先进位。采购营商环境评价系统、积极开展“双招双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全市放管服及营商环境优化等次</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项目完成及时性</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项目成本控制数</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服务淮南高质量发展程度</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便民利企</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创优四最营商环境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对我市长期营商环境的持续影响程度</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5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10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
      <w:pPr>
        <w:numPr>
          <w:ilvl w:val="0"/>
          <w:numId w:val="1"/>
        </w:numP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“政务公开工作专项经费”项目</w:t>
      </w:r>
    </w:p>
    <w:tbl>
      <w:tblPr>
        <w:tblStyle w:val="3"/>
        <w:tblW w:w="87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997"/>
        <w:gridCol w:w="2744"/>
        <w:gridCol w:w="1581"/>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751"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75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75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741"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58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154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6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政务公开工作专项经费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741"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581"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5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7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58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7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7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7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17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委托第三方测评公司，对全市市本级、相关市直部门、县区政府、县区直部门（抽查）和乡镇街道（抽查）政府信息公开工作进行全面测评。按照省政务公开办政务公开考评办法，我市2024年计划开展3次全面测评。2.委托第三方机构，针对市政府（市政府办公室）政府信息公开发布工作，开展政策图解、动漫视频解读等专业化运维。继续要求第三方机构安排驻点人员现场办公。3.2024年，计划对相关市直部门、县区政府政务公开工作人员进行主动公开、依申请公开等培训，人员预计55人左右，时间约为5天，地点暂定为外地高校。实施条件：政策有依据，考评有要求，有实施基础。</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完成评审评价评估次数</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评审评价评估报告质量合格率</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项止完成及时性</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项目成本控制数</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推动经济发展程度</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政务公开质量和效果</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基层政务公开情况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对提高政务公开规范化专业化程序的影响</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较大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744"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numPr>
          <w:ilvl w:val="0"/>
          <w:numId w:val="0"/>
        </w:numPr>
        <w:rPr>
          <w:rFonts w:hint="eastAsia" w:ascii="方正仿宋_GBK" w:hAnsi="方正仿宋_GBK" w:eastAsia="方正仿宋_GBK" w:cs="方正仿宋_GBK"/>
          <w:b/>
          <w:sz w:val="32"/>
          <w:szCs w:val="32"/>
          <w:lang w:val="en-US" w:eastAsia="zh-CN"/>
        </w:rPr>
      </w:pPr>
    </w:p>
    <w:p>
      <w:pPr>
        <w:numPr>
          <w:ilvl w:val="0"/>
          <w:numId w:val="1"/>
        </w:numPr>
        <w:ind w:left="0" w:leftChars="0" w:firstLine="0" w:firstLineChars="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“政策研究及落实情况监督检查工作经费”项目</w:t>
      </w:r>
    </w:p>
    <w:tbl>
      <w:tblPr>
        <w:tblStyle w:val="3"/>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972"/>
        <w:gridCol w:w="2418"/>
        <w:gridCol w:w="1476"/>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805"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80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80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390"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47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05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69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政策研究及落实情况监督检查工作经费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390"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476"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0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39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4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39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39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39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22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中央、省的政策导向，按市领导指示要求，向外走出淮南，主动走出去，或是依托省市长协会等社会组织，加强同外界的交流联系，到先进发达地区实地调研，向内深入县区、厂矿企业，研究社会发展新趋势，社会面的新热点，剖析政策难点，为领导决策提供调研支持。同时，在决策出台后，按领导要求，细化、分解任务，并及时督查各政府部门的决策执行过程情况，同时分期调研决策执行结果。确保障领导决策有据，决策落地，决策有效，促进本地区的经济发展和社会进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04" w:type="dxa"/>
            <w:gridSpan w:val="2"/>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督导检查次数</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完成调研报告数量</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bookmarkStart w:id="0" w:name="_GoBack"/>
            <w:bookmarkEnd w:id="0"/>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政策研究文稿数量</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督导检查质量</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督导检查及时性</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调研项目完成及时性</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控制成本数</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促进经济发展程度</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保障运转</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对我市经济发展影响</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41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5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numPr>
          <w:ilvl w:val="0"/>
          <w:numId w:val="0"/>
        </w:numPr>
        <w:ind w:leftChars="0"/>
        <w:rPr>
          <w:rFonts w:hint="eastAsia" w:ascii="方正仿宋_GBK" w:hAnsi="方正仿宋_GBK" w:eastAsia="方正仿宋_GBK" w:cs="方正仿宋_GBK"/>
          <w:b/>
          <w:sz w:val="32"/>
          <w:szCs w:val="32"/>
        </w:rPr>
      </w:pPr>
    </w:p>
    <w:p>
      <w:pPr>
        <w:numPr>
          <w:ilvl w:val="0"/>
          <w:numId w:val="1"/>
        </w:numPr>
        <w:ind w:left="0" w:leftChars="0" w:firstLine="0" w:firstLineChars="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
          <w:bCs/>
          <w:sz w:val="32"/>
          <w:szCs w:val="32"/>
        </w:rPr>
        <w:t>市本级因公出国(境)经费</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sz w:val="32"/>
          <w:szCs w:val="32"/>
        </w:rPr>
        <w:t>项目</w:t>
      </w:r>
    </w:p>
    <w:tbl>
      <w:tblPr>
        <w:tblStyle w:val="3"/>
        <w:tblW w:w="9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897"/>
        <w:gridCol w:w="2469"/>
        <w:gridCol w:w="1656"/>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111"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911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11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366"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65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20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2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市本级因公出国(境)经费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366"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656"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2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3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65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3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3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3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5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持续加强与国际友好城市的交流合作，进一步巩固和发展好已结好城市的友好关系，推动我市与世界各国人民的友好往来及经贸、文化、科技、教育、旅游等各领域的交流与合作，助力高质量发展。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出国次数</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完成出国任务</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出国时间</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控制成本</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促进经济发展程度</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便民利企</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推进绿色发展</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对我市经济发展影响</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2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46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numPr>
          <w:ilvl w:val="0"/>
          <w:numId w:val="0"/>
        </w:numPr>
        <w:ind w:leftChars="0"/>
        <w:rPr>
          <w:rFonts w:hint="eastAsia" w:ascii="方正仿宋_GBK" w:hAnsi="方正仿宋_GBK" w:eastAsia="方正仿宋_GBK" w:cs="方正仿宋_GBK"/>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12345”政务服务便民热线运营</w:t>
      </w:r>
      <w:r>
        <w:rPr>
          <w:rFonts w:hint="eastAsia" w:ascii="CESI仿宋-GB2312" w:hAnsi="CESI仿宋-GB2312" w:eastAsia="CESI仿宋-GB2312" w:cs="CESI仿宋-GB2312"/>
          <w:b/>
          <w:sz w:val="32"/>
          <w:szCs w:val="32"/>
        </w:rPr>
        <w:t>项目</w:t>
      </w:r>
    </w:p>
    <w:tbl>
      <w:tblPr>
        <w:tblStyle w:val="3"/>
        <w:tblW w:w="8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1037"/>
        <w:gridCol w:w="1693"/>
        <w:gridCol w:w="1461"/>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218"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218"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2730"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46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143"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633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12345政务热线服务项目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2730"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461"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4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273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46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73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73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73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3"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76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真贯彻落实党中央、国务院和省委、省政府关于用好便民热线、优化政务服务的部署要求，大力推进“12345政务服务便民热线”建设，扎实做好民意收集、咨询答复、转办处理等工作，切实办好千家万户的日常事、雪中送炭的暖心事、企业群众的烦心事，倾力打造便捷、高效的政务服务“总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日均受理话务量</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话务运营畅通</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及时响应量</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节约成本指标</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及时回应社会关切</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对我市经济发展影响</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6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群众满意度</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行政管理事务专项经费”</w:t>
      </w:r>
      <w:r>
        <w:rPr>
          <w:rFonts w:hint="eastAsia" w:ascii="CESI仿宋-GB2312" w:hAnsi="CESI仿宋-GB2312" w:eastAsia="CESI仿宋-GB2312" w:cs="CESI仿宋-GB2312"/>
          <w:b/>
          <w:sz w:val="32"/>
          <w:szCs w:val="32"/>
        </w:rPr>
        <w:t>项目</w:t>
      </w:r>
    </w:p>
    <w:tbl>
      <w:tblPr>
        <w:tblStyle w:val="3"/>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1072"/>
        <w:gridCol w:w="2487"/>
        <w:gridCol w:w="1427"/>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045"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904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04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559"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42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17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6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行政管理事务专项经费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559"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427"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7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55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4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55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55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559"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46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按照中共淮南市委办公室 淮南市人民政府办公室 关于印发《淮南市人民政府办公室（市人民政府外事办公室）职能配置、内设机构和人员编制规定》《淮南市司法局职能配置、内设机构和人员编制规定》的通知  淮办秘【2019】47号（秘密10年）2019年3月27日，完成人大政协建议提案等项目的政务督查，完成计算机、办公家具等办公设备更新、完成协同办公信息平台维护费，保障文件传递及时顺畅。完成政府招商、外地来访公务接待，各类市级专项会议筹备及会务管理，积极参加国家及省级各类调研会议，省市长协会、城市发展研究会等，促进城市间交流合作。完成所在包村2022年度乡村振兴工作，完成春节老干部慰问，八一等慰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04" w:type="dxa"/>
            <w:gridSpan w:val="2"/>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招商规模</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专题会议数量</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服务淮南高质量发展程度</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政府中枢系统运转平稳</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政府中枢系统运转情况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城市发展影响程度</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0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4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36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政府公报专项费用”</w:t>
      </w:r>
      <w:r>
        <w:rPr>
          <w:rFonts w:hint="eastAsia" w:ascii="CESI仿宋-GB2312" w:hAnsi="CESI仿宋-GB2312" w:eastAsia="CESI仿宋-GB2312" w:cs="CESI仿宋-GB2312"/>
          <w:b/>
          <w:sz w:val="32"/>
          <w:szCs w:val="32"/>
        </w:rPr>
        <w:t>项目</w:t>
      </w:r>
    </w:p>
    <w:tbl>
      <w:tblPr>
        <w:tblStyle w:val="3"/>
        <w:tblW w:w="8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1034"/>
        <w:gridCol w:w="2491"/>
        <w:gridCol w:w="1446"/>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955"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95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95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525"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44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100"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07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政府公报专项费用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525"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446"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52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44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52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52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52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37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公报是刊登政府规章和规范性文件的权威发布平台，在推进传达政令、宣传政策、指导工作、服务社会等方面发挥着重要作用。根据《国务院办公厅关于做好政府公报工作的通知》（国办发〔2018〕22号）第五条“提升服务效果。要强化政府公报服务公众的功能，以赠阅为主要发行方式，赠阅范围应覆盖本地区国家档案馆、公共图书馆、政务（行政）服务大厅等政府信息公开查阅场所和公共服务场所，以及乡镇政府、街道办事处、社区、村（居）委会等基层单位和法院、检察院等司法机关”，计划年度印刷12期（每月1期），每期印刷2500本，市场价约每本6.5元，年度印刷费19.5万元；年邮递费用3.67万元，年度测算费用总计约23.17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期数</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内容质量</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时效性</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控制成本</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服务淮南高质量发展程度</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服务公众</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提升服务效果，强化政府公报服务公众的功能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推动政策传达</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6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35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外事工作专项经费”</w:t>
      </w:r>
      <w:r>
        <w:rPr>
          <w:rFonts w:hint="eastAsia" w:ascii="CESI仿宋-GB2312" w:hAnsi="CESI仿宋-GB2312" w:eastAsia="CESI仿宋-GB2312" w:cs="CESI仿宋-GB2312"/>
          <w:b/>
          <w:sz w:val="32"/>
          <w:szCs w:val="32"/>
        </w:rPr>
        <w:t>项目</w:t>
      </w:r>
    </w:p>
    <w:tbl>
      <w:tblPr>
        <w:tblStyle w:val="3"/>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1059"/>
        <w:gridCol w:w="2391"/>
        <w:gridCol w:w="1626"/>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195"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919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19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450"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235"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3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外事工作专项经费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450"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626"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2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45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62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45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45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45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6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１、主动融入长三角一体化和都市圈，对标学习沪苏浙政策文件和改革创新举措，组织参与长三角一体化一系列活动；２、落实省委外事委办《省市外事工作结对共建实施意见》（皖外事委办［2020］10号）精神，开展“外事服务进基层”系列活动，送外事政策、服务进党校、机关、高校、企业和基层。组织有关开发区、涉外企业、社区、学校等开展APEC商务旅行卡管理、领事认证和海外领事保护政策培训，费用包括材料费、讲课费、场地、食宿等。印制、制作海外领事保护宣传册、宣传展板，媒体宣传费用等。３、积极对接外交部、国务院港澳办、省外办等，争取上级部门在对外交流、友城建设等方面的支持，接待市委市政府邀请的海外代表团，接待驻华使领馆、海外华人、华侨及社团。4.承办第五届徽文化外宣翻译大赛。实施条件：依托省外办、市驻外机构、我市外向型企业以及淮南籍成功人士，发挥国际性展会平台桥梁作用，加强对外交流。分段实施计划：明年全年至少拜访两市长三角地区外办，参加至少三次国际性展会。上半年结合4.15国家安全日，集中1月开展“外事服务进基层”系列活动。完成市委市政府的外事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外出访问次数</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完成质量</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时效性</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成本数</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促进区域经济发展程度</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城市与国际间的交流与合作</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城市与国际间的交流与合作情况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推进绿色发展</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加强城市合作</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9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3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38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政务信息工作专项信息”</w:t>
      </w:r>
      <w:r>
        <w:rPr>
          <w:rFonts w:hint="eastAsia" w:ascii="CESI仿宋-GB2312" w:hAnsi="CESI仿宋-GB2312" w:eastAsia="CESI仿宋-GB2312" w:cs="CESI仿宋-GB2312"/>
          <w:b/>
          <w:sz w:val="32"/>
          <w:szCs w:val="32"/>
        </w:rPr>
        <w:t>项目</w:t>
      </w:r>
    </w:p>
    <w:tbl>
      <w:tblPr>
        <w:tblStyle w:val="3"/>
        <w:tblW w:w="92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576"/>
        <w:gridCol w:w="732"/>
        <w:gridCol w:w="909"/>
        <w:gridCol w:w="2727"/>
        <w:gridCol w:w="149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201" w:type="dxa"/>
            <w:gridSpan w:val="7"/>
            <w:tcBorders>
              <w:top w:val="nil"/>
              <w:left w:val="nil"/>
              <w:bottom w:val="nil"/>
              <w:right w:val="nil"/>
            </w:tcBorders>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920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201"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636" w:type="dxa"/>
            <w:gridSpan w:val="2"/>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c>
          <w:tcPr>
            <w:tcW w:w="149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190" w:type="dxa"/>
            <w:tcBorders>
              <w:top w:val="nil"/>
              <w:left w:val="nil"/>
              <w:bottom w:val="nil"/>
              <w:right w:val="nil"/>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3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政务信息工作专项信息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636"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491"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9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63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491"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63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63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4"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3636"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62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扩大信息直报范围，规范信息直报工作，充分发挥政办信息直报点在围绕大局、直面基层、下情上达、跟踪落实中的重要作用，为领导提供基层的第一手真实情况，切实提高政务信息服务水平，统一开展全市各级各部门信息工作业务培训。同时为促进全市信息工作开展，对于基层信息提供单位和个人给予表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表彰人数</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收集信息质量</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完成时效</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控制预算成本</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推动经济发展程度</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政务信息服务水平</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政务信息服务水平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推动绿色发展</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推动政务信息高质量、高效率</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41"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72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6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1"/>
        </w:numPr>
        <w:ind w:left="0" w:leftChars="0" w:firstLine="0" w:firstLineChars="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sz w:val="32"/>
          <w:szCs w:val="32"/>
          <w:lang w:val="en-US" w:eastAsia="zh-CN"/>
        </w:rPr>
        <w:t>政府网站安全运行专项经费</w:t>
      </w:r>
      <w:r>
        <w:rPr>
          <w:rFonts w:hint="eastAsia" w:ascii="CESI仿宋-GB2312" w:hAnsi="CESI仿宋-GB2312" w:eastAsia="CESI仿宋-GB2312" w:cs="CESI仿宋-GB2312"/>
          <w:b/>
          <w:sz w:val="32"/>
          <w:szCs w:val="32"/>
        </w:rPr>
        <w:t>”项目</w:t>
      </w:r>
    </w:p>
    <w:tbl>
      <w:tblPr>
        <w:tblStyle w:val="3"/>
        <w:tblW w:w="92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576"/>
        <w:gridCol w:w="731"/>
        <w:gridCol w:w="1073"/>
        <w:gridCol w:w="2825"/>
        <w:gridCol w:w="1362"/>
        <w:gridCol w:w="2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9231"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231"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w:t>
            </w:r>
          </w:p>
        </w:tc>
        <w:tc>
          <w:tcPr>
            <w:tcW w:w="3898" w:type="dxa"/>
            <w:gridSpan w:val="2"/>
            <w:tcBorders>
              <w:top w:val="nil"/>
              <w:left w:val="nil"/>
              <w:bottom w:val="nil"/>
              <w:right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136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2088"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3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政府网站安全运行专项经费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898"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[009]淮南市人民政府办公室</w:t>
            </w:r>
          </w:p>
        </w:tc>
        <w:tc>
          <w:tcPr>
            <w:tcW w:w="1362"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0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淮南市人民政府办公室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89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89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5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6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1.市政府网站集约化平台日常运维29.9万元。安排驻点人员负责日常运维服务工作，并提供24×7×365的运维服务保障体系和专业技术安全服务，保障全市政府网站的安全、持续、稳定运行。合同服务期：2022.7-2025.7。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市政府网站集约化平台云资源（云防护）服务27.5万元。满足市级政府网站集约化平台和信息资源库使用的云虚拟主机资源、网络探针部署和41家政府网站云防护安全服务，保障网站集约化平台和信息资源库的安全稳定运行。合同服务期：2022.7-2024.12。</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市政务新媒体云监管平台建设20万元。对全市政务新媒体进行矩阵式管理，对政务新媒体进行更新周期、任务转载、敏感信息监测，并提供发布信息采集、运营统计分析等功能，依据工作需要及时调整完善平台功能。合同服务期：2021.12-2024.12。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淮南市政府网站及政务新媒体日常监测28.71万元。根据《国务院办公厅秘书局关于印发政府网站与政务新媒体检查指标、监管工作年度考核指标的通知》等相关要求，采用第三方监测机构对全市政府网站及政务新媒体进行日常监测并每月提供普查报告，实时对错敏信息、隐私泄露、外链暗链等情况监测。合同服务期：2023.7-2025.7。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5.市政府网站集约化平台容灾备份服务8万元。按照网络安全工作要求，对网站应用程序和网站数据采取定期全量和增量备份服务。</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市级政府网站集约化平台用户身份认证系统数字证书使用及维护服务10.8万元。根据《国务院办公厅关于印发政府网站发展指引的通知》（国办发〔2017〕47号）要求，加强用户管理，根据用户类别设置不同安全强度的鉴别机制，要采用两种或两种以上组合的鉴别技术，确定管理用户身份。</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7.市政府网站集约化平台三级等保测评9万元。根据网络安全相关法律法规要求，定期开展网络安全等级保护测评。</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8.市级政府网站集约化平台密码应用安全性评估10万元。根据网络安全相关法律法规要求，定期开展密码应用安全性评估。</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9.“淮南市人民政府发布”政务双微平台技术运维服务27万元。按照《安徽省人民政府办公厅关于做好省政府政务微博微信有关工作的通知》（皖政办秘〔2015〕212 号）文件要求，对“淮南市人民政府”政务双微进行日常运维并争取在省目标管理绩效考核中争先进位。</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市政府网站群绩效考核专业评估9.8万元。为保证网站专业机构评价工作顺利完成，聘请第三方专业机构对我市政府网站群进行测评和指导，并根据指导意见进行整改，以提高我市政府网站的第三方专业机构评测得分，争取在省目标管理绩效考核中争先进位。</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11.网站及政务新媒体业务培训1.6万元。计划分批次，分内容对市直部门、县区政府网站及政务新媒体工作人员进行网站专业知识培训。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项目覆盖单位或市区数量</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信息系统日常维护合格率</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信息系统日常维护周期</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≤182.31万元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投入产出适配情况</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政府网站及新媒体运行的安全性</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政府网站及新媒体运行的安全性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对信息系统可用性及稳定性的改善或提升程度</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信息化系统建设为提高政府公信力提供长期保障</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8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较高</w:t>
            </w:r>
          </w:p>
        </w:tc>
      </w:tr>
    </w:tbl>
    <w:p>
      <w:pPr>
        <w:numPr>
          <w:ilvl w:val="0"/>
          <w:numId w:val="0"/>
        </w:numPr>
        <w:ind w:leftChars="0"/>
        <w:rPr>
          <w:rFonts w:hint="eastAsia" w:ascii="CESI仿宋-GB2312" w:hAnsi="CESI仿宋-GB2312" w:eastAsia="CESI仿宋-GB2312" w:cs="CESI仿宋-GB2312"/>
          <w:b/>
          <w:sz w:val="32"/>
          <w:szCs w:val="32"/>
        </w:rPr>
      </w:pPr>
    </w:p>
    <w:p>
      <w:pPr>
        <w:numPr>
          <w:ilvl w:val="0"/>
          <w:numId w:val="0"/>
        </w:numPr>
        <w:ind w:leftChars="0"/>
        <w:rPr>
          <w:rFonts w:hint="eastAsia" w:ascii="CESI仿宋-GB2312" w:hAnsi="CESI仿宋-GB2312" w:eastAsia="CESI仿宋-GB2312" w:cs="CESI仿宋-GB2312"/>
          <w:b/>
          <w:sz w:val="32"/>
          <w:szCs w:val="32"/>
          <w:lang w:eastAsia="zh-CN"/>
        </w:rPr>
      </w:pPr>
      <w:r>
        <w:rPr>
          <w:rFonts w:hint="eastAsia" w:ascii="CESI仿宋-GB2312" w:hAnsi="CESI仿宋-GB2312" w:eastAsia="CESI仿宋-GB2312" w:cs="CESI仿宋-GB2312"/>
          <w:b/>
          <w:sz w:val="32"/>
          <w:szCs w:val="32"/>
          <w:lang w:eastAsia="zh-CN"/>
        </w:rPr>
        <w:t>注：</w:t>
      </w:r>
      <w:r>
        <w:rPr>
          <w:rFonts w:hint="eastAsia" w:ascii="CESI仿宋-GB2312" w:hAnsi="CESI仿宋-GB2312" w:eastAsia="CESI仿宋-GB2312" w:cs="CESI仿宋-GB2312"/>
          <w:b/>
          <w:sz w:val="32"/>
          <w:szCs w:val="32"/>
        </w:rPr>
        <w:t>“</w:t>
      </w:r>
      <w:r>
        <w:rPr>
          <w:rFonts w:hint="eastAsia" w:ascii="CESI仿宋-GB2312" w:hAnsi="CESI仿宋-GB2312" w:eastAsia="CESI仿宋-GB2312" w:cs="CESI仿宋-GB2312"/>
          <w:b/>
          <w:bCs/>
          <w:sz w:val="32"/>
          <w:szCs w:val="32"/>
        </w:rPr>
        <w:t>华侨事务补助”</w:t>
      </w:r>
      <w:r>
        <w:rPr>
          <w:rFonts w:hint="eastAsia" w:ascii="CESI仿宋-GB2312" w:hAnsi="CESI仿宋-GB2312" w:eastAsia="CESI仿宋-GB2312" w:cs="CESI仿宋-GB2312"/>
          <w:b/>
          <w:sz w:val="32"/>
          <w:szCs w:val="32"/>
        </w:rPr>
        <w:t>项目</w:t>
      </w:r>
      <w:r>
        <w:rPr>
          <w:rFonts w:hint="eastAsia" w:ascii="CESI仿宋-GB2312" w:hAnsi="CESI仿宋-GB2312" w:eastAsia="CESI仿宋-GB2312" w:cs="CESI仿宋-GB2312"/>
          <w:b/>
          <w:sz w:val="32"/>
          <w:szCs w:val="32"/>
          <w:lang w:eastAsia="zh-CN"/>
        </w:rPr>
        <w:t>涉及金额</w:t>
      </w:r>
      <w:r>
        <w:rPr>
          <w:rFonts w:hint="eastAsia" w:ascii="CESI仿宋-GB2312" w:hAnsi="CESI仿宋-GB2312" w:eastAsia="CESI仿宋-GB2312" w:cs="CESI仿宋-GB2312"/>
          <w:b/>
          <w:sz w:val="32"/>
          <w:szCs w:val="32"/>
          <w:lang w:val="en-US" w:eastAsia="zh-CN"/>
        </w:rPr>
        <w:t>2.26万元，</w:t>
      </w:r>
      <w:r>
        <w:rPr>
          <w:rFonts w:hint="eastAsia" w:ascii="CESI仿宋-GB2312" w:hAnsi="CESI仿宋-GB2312" w:eastAsia="CESI仿宋-GB2312" w:cs="CESI仿宋-GB2312"/>
          <w:b/>
          <w:sz w:val="32"/>
          <w:szCs w:val="32"/>
          <w:lang w:eastAsia="zh-CN"/>
        </w:rPr>
        <w:t>为上年结转项目，不公开项目绩效目标表。</w:t>
      </w:r>
    </w:p>
    <w:p>
      <w:pPr>
        <w:numPr>
          <w:ilvl w:val="0"/>
          <w:numId w:val="0"/>
        </w:numPr>
        <w:ind w:leftChars="0" w:firstLine="640" w:firstLineChars="200"/>
        <w:rPr>
          <w:rFonts w:hint="default" w:ascii="CESI仿宋-GB2312" w:hAnsi="CESI仿宋-GB2312" w:eastAsia="CESI仿宋-GB2312" w:cs="CESI仿宋-GB2312"/>
          <w:b/>
          <w:sz w:val="32"/>
          <w:szCs w:val="32"/>
          <w:lang w:val="en-US" w:eastAsia="zh-CN"/>
        </w:rPr>
      </w:pPr>
      <w:r>
        <w:rPr>
          <w:rFonts w:hint="eastAsia" w:ascii="CESI仿宋-GB2312" w:hAnsi="CESI仿宋-GB2312" w:eastAsia="CESI仿宋-GB2312" w:cs="CESI仿宋-GB2312"/>
          <w:b/>
          <w:sz w:val="32"/>
          <w:szCs w:val="32"/>
          <w:lang w:val="en-US" w:eastAsia="zh-CN"/>
        </w:rPr>
        <w:t>2024年淮南市人民政府办公室共11项目，去除结转项目，公开10项项目绩效目标表。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TimesNewRoman">
    <w:altName w:val="DejaVu Sans"/>
    <w:panose1 w:val="02020603050405020304"/>
    <w:charset w:val="00"/>
    <w:family w:val="auto"/>
    <w:pitch w:val="default"/>
    <w:sig w:usb0="00000000" w:usb1="00000000" w:usb2="00000029" w:usb3="00000000" w:csb0="600001FF" w:csb1="FFFF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65E4D"/>
    <w:multiLevelType w:val="singleLevel"/>
    <w:tmpl w:val="BFE65E4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ODhjYWU5MDBhZTIzYjcwMzk2MDU2NTE1OGQ4M2UifQ=="/>
  </w:docVars>
  <w:rsids>
    <w:rsidRoot w:val="700F685A"/>
    <w:rsid w:val="2BDF5437"/>
    <w:rsid w:val="39DD5502"/>
    <w:rsid w:val="3B7FD1C1"/>
    <w:rsid w:val="48A934F7"/>
    <w:rsid w:val="5BFADB60"/>
    <w:rsid w:val="5E9FD87B"/>
    <w:rsid w:val="5F498EDA"/>
    <w:rsid w:val="6D7768F7"/>
    <w:rsid w:val="6F27AD88"/>
    <w:rsid w:val="700F685A"/>
    <w:rsid w:val="72FF2F89"/>
    <w:rsid w:val="77A77EF6"/>
    <w:rsid w:val="79BBA887"/>
    <w:rsid w:val="7A77C0CB"/>
    <w:rsid w:val="7AEE4DD5"/>
    <w:rsid w:val="7B75F184"/>
    <w:rsid w:val="7D332770"/>
    <w:rsid w:val="7D7EEDF8"/>
    <w:rsid w:val="7EFE6BF9"/>
    <w:rsid w:val="7FBEAC3D"/>
    <w:rsid w:val="977E7928"/>
    <w:rsid w:val="9FEF87AD"/>
    <w:rsid w:val="9FFFD097"/>
    <w:rsid w:val="AF3B180B"/>
    <w:rsid w:val="B4F2093A"/>
    <w:rsid w:val="BDAF0514"/>
    <w:rsid w:val="BE686C18"/>
    <w:rsid w:val="CF6F4088"/>
    <w:rsid w:val="D7AD1E92"/>
    <w:rsid w:val="E9DF7E8F"/>
    <w:rsid w:val="EFF7BA3D"/>
    <w:rsid w:val="F2EBE73F"/>
    <w:rsid w:val="F9FB36FC"/>
    <w:rsid w:val="FB5FC66D"/>
    <w:rsid w:val="FD3B0ADB"/>
    <w:rsid w:val="FDF54F13"/>
    <w:rsid w:val="FF775148"/>
    <w:rsid w:val="FFD8E6B7"/>
    <w:rsid w:val="FFDEB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eastAsia="宋体"/>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6509</Words>
  <Characters>6948</Characters>
  <Lines>0</Lines>
  <Paragraphs>0</Paragraphs>
  <TotalTime>6</TotalTime>
  <ScaleCrop>false</ScaleCrop>
  <LinksUpToDate>false</LinksUpToDate>
  <CharactersWithSpaces>7634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2024-02-10T00:41:00Z</dcterms:created>
  <dc:creator>   白日梦 </dc:creator>
  <cp:lastModifiedBy>uos</cp:lastModifiedBy>
  <dcterms:modified xsi:type="dcterms:W3CDTF">2024-02-23T10:57:55Z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ED0DE30285A34B5EB277B429C3557080_11</vt:lpwstr>
  </property>
</Properties>
</file>