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ageBreakBefore w:val="0"/>
        <w:kinsoku/>
        <w:overflowPunct/>
        <w:topLinePunct w:val="0"/>
        <w:autoSpaceDE/>
        <w:autoSpaceDN/>
        <w:bidi w:val="0"/>
        <w:spacing w:line="590" w:lineRule="exact"/>
        <w:textAlignment w:val="auto"/>
        <w:rPr>
          <w:rFonts w:hint="eastAsia" w:ascii="方正仿宋_GBK" w:hAnsi="方正仿宋_GBK" w:eastAsia="方正仿宋_GBK" w:cs="方正仿宋_GBK"/>
          <w:sz w:val="32"/>
          <w:szCs w:val="32"/>
        </w:rPr>
      </w:pPr>
    </w:p>
    <w:p>
      <w:pPr>
        <w:keepNext w:val="0"/>
        <w:keepLines w:val="0"/>
        <w:pageBreakBefore w:val="0"/>
        <w:kinsoku/>
        <w:overflowPunct/>
        <w:topLinePunct w:val="0"/>
        <w:autoSpaceDE/>
        <w:autoSpaceDN/>
        <w:bidi w:val="0"/>
        <w:adjustRightInd/>
        <w:snapToGrid/>
        <w:spacing w:beforeAutospacing="0" w:afterAutospacing="0" w:line="590" w:lineRule="exact"/>
        <w:ind w:left="0" w:leftChars="0" w:right="0" w:rightChars="0"/>
        <w:jc w:val="both"/>
        <w:textAlignment w:val="auto"/>
        <w:rPr>
          <w:rFonts w:hint="eastAsia" w:ascii="方正仿宋_GBK" w:hAnsi="方正仿宋_GBK" w:eastAsia="方正仿宋_GBK" w:cs="方正仿宋_GBK"/>
          <w:sz w:val="32"/>
          <w:szCs w:val="32"/>
          <w:lang w:eastAsia="zh-CN"/>
        </w:rPr>
      </w:pPr>
    </w:p>
    <w:p>
      <w:pPr>
        <w:pStyle w:val="15"/>
        <w:keepNext w:val="0"/>
        <w:keepLines w:val="0"/>
        <w:pageBreakBefore w:val="0"/>
        <w:widowControl w:val="0"/>
        <w:tabs>
          <w:tab w:val="left" w:pos="2109"/>
          <w:tab w:val="center" w:pos="4482"/>
        </w:tabs>
        <w:kinsoku/>
        <w:wordWrap/>
        <w:overflowPunct/>
        <w:topLinePunct w:val="0"/>
        <w:autoSpaceDE/>
        <w:autoSpaceDN/>
        <w:bidi w:val="0"/>
        <w:adjustRightInd/>
        <w:snapToGrid/>
        <w:spacing w:beforeAutospacing="0" w:afterAutospacing="0" w:line="590" w:lineRule="exact"/>
        <w:ind w:left="0" w:leftChars="0" w:right="0" w:rightChars="0"/>
        <w:jc w:val="left"/>
        <w:textAlignment w:val="auto"/>
        <w:rPr>
          <w:rStyle w:val="14"/>
          <w:rFonts w:hint="eastAsia" w:ascii="方正小标宋_GBK" w:hAnsi="方正小标宋_GBK" w:eastAsia="方正小标宋_GBK" w:cs="方正小标宋_GBK"/>
          <w:b w:val="0"/>
          <w:kern w:val="2"/>
          <w:sz w:val="44"/>
          <w:szCs w:val="44"/>
          <w:shd w:val="clear" w:color="auto" w:fill="FFFFFF"/>
          <w:lang w:val="en-US" w:eastAsia="zh-CN" w:bidi="ar-SA"/>
        </w:rPr>
      </w:pPr>
      <w:r>
        <w:rPr>
          <w:rStyle w:val="14"/>
          <w:rFonts w:hint="eastAsia" w:ascii="方正小标宋_GBK" w:hAnsi="方正小标宋_GBK" w:eastAsia="方正小标宋_GBK" w:cs="方正小标宋_GBK"/>
          <w:b w:val="0"/>
          <w:kern w:val="2"/>
          <w:sz w:val="44"/>
          <w:szCs w:val="44"/>
          <w:shd w:val="clear" w:color="auto" w:fill="FFFFFF"/>
          <w:lang w:val="en-US" w:eastAsia="zh-CN" w:bidi="ar-SA"/>
        </w:rPr>
        <w:tab/>
      </w:r>
      <w:r>
        <w:rPr>
          <w:rStyle w:val="14"/>
          <w:rFonts w:hint="eastAsia" w:ascii="方正小标宋_GBK" w:hAnsi="方正小标宋_GBK" w:eastAsia="方正小标宋_GBK" w:cs="方正小标宋_GBK"/>
          <w:b w:val="0"/>
          <w:kern w:val="2"/>
          <w:sz w:val="44"/>
          <w:szCs w:val="44"/>
          <w:shd w:val="clear" w:color="auto" w:fill="FFFFFF"/>
          <w:lang w:val="en-US" w:eastAsia="zh-CN" w:bidi="ar-SA"/>
        </w:rPr>
        <w:t>淮南市人民政府办公室</w:t>
      </w:r>
    </w:p>
    <w:p>
      <w:pPr>
        <w:pStyle w:val="15"/>
        <w:keepNext w:val="0"/>
        <w:keepLines w:val="0"/>
        <w:pageBreakBefore w:val="0"/>
        <w:widowControl w:val="0"/>
        <w:tabs>
          <w:tab w:val="left" w:pos="2109"/>
          <w:tab w:val="center" w:pos="4482"/>
        </w:tabs>
        <w:kinsoku/>
        <w:wordWrap/>
        <w:overflowPunct/>
        <w:topLinePunct w:val="0"/>
        <w:autoSpaceDE/>
        <w:autoSpaceDN/>
        <w:bidi w:val="0"/>
        <w:adjustRightInd/>
        <w:snapToGrid/>
        <w:spacing w:beforeAutospacing="0" w:afterAutospacing="0" w:line="590" w:lineRule="exact"/>
        <w:ind w:left="0" w:leftChars="0" w:right="0" w:rightChars="0"/>
        <w:jc w:val="center"/>
        <w:textAlignment w:val="auto"/>
        <w:rPr>
          <w:rStyle w:val="14"/>
          <w:rFonts w:hint="eastAsia" w:ascii="方正小标宋_GBK" w:hAnsi="方正小标宋_GBK" w:eastAsia="方正小标宋_GBK" w:cs="方正小标宋_GBK"/>
          <w:b w:val="0"/>
          <w:kern w:val="2"/>
          <w:sz w:val="44"/>
          <w:szCs w:val="44"/>
          <w:shd w:val="clear" w:color="auto" w:fill="FFFFFF"/>
          <w:lang w:val="en-US" w:eastAsia="zh-CN" w:bidi="ar-SA"/>
        </w:rPr>
      </w:pPr>
      <w:r>
        <w:rPr>
          <w:rStyle w:val="14"/>
          <w:rFonts w:hint="eastAsia" w:ascii="方正小标宋_GBK" w:hAnsi="方正小标宋_GBK" w:eastAsia="方正小标宋_GBK" w:cs="方正小标宋_GBK"/>
          <w:b w:val="0"/>
          <w:kern w:val="2"/>
          <w:sz w:val="44"/>
          <w:szCs w:val="44"/>
          <w:shd w:val="clear" w:color="auto" w:fill="FFFFFF"/>
          <w:lang w:val="en-US" w:eastAsia="zh-CN" w:bidi="ar-SA"/>
        </w:rPr>
        <w:t>关于印发淮南市水资源综合规划</w:t>
      </w:r>
    </w:p>
    <w:p>
      <w:pPr>
        <w:pStyle w:val="15"/>
        <w:keepNext w:val="0"/>
        <w:keepLines w:val="0"/>
        <w:pageBreakBefore w:val="0"/>
        <w:widowControl w:val="0"/>
        <w:tabs>
          <w:tab w:val="left" w:pos="2109"/>
          <w:tab w:val="center" w:pos="4482"/>
        </w:tabs>
        <w:kinsoku/>
        <w:wordWrap/>
        <w:overflowPunct/>
        <w:topLinePunct w:val="0"/>
        <w:autoSpaceDE/>
        <w:autoSpaceDN/>
        <w:bidi w:val="0"/>
        <w:adjustRightInd/>
        <w:snapToGrid/>
        <w:spacing w:beforeAutospacing="0" w:afterAutospacing="0" w:line="590" w:lineRule="exact"/>
        <w:ind w:left="0" w:leftChars="0" w:right="0" w:rightChars="0"/>
        <w:jc w:val="center"/>
        <w:textAlignment w:val="auto"/>
        <w:rPr>
          <w:rStyle w:val="14"/>
          <w:rFonts w:hint="eastAsia" w:ascii="方正小标宋_GBK" w:hAnsi="方正小标宋_GBK" w:eastAsia="方正小标宋_GBK" w:cs="方正小标宋_GBK"/>
          <w:b w:val="0"/>
          <w:kern w:val="2"/>
          <w:sz w:val="44"/>
          <w:szCs w:val="44"/>
          <w:shd w:val="clear" w:color="auto" w:fill="FFFFFF"/>
          <w:lang w:val="en-US" w:eastAsia="zh-CN" w:bidi="ar-SA"/>
        </w:rPr>
      </w:pPr>
      <w:r>
        <w:rPr>
          <w:rStyle w:val="14"/>
          <w:rFonts w:hint="eastAsia" w:ascii="方正小标宋_GBK" w:hAnsi="方正小标宋_GBK" w:eastAsia="方正小标宋_GBK" w:cs="方正小标宋_GBK"/>
          <w:b w:val="0"/>
          <w:kern w:val="2"/>
          <w:sz w:val="44"/>
          <w:szCs w:val="44"/>
          <w:shd w:val="clear" w:color="auto" w:fill="FFFFFF"/>
          <w:lang w:val="en-US" w:eastAsia="zh-CN" w:bidi="ar-SA"/>
        </w:rPr>
        <w:t>（2015—2030）的通知</w:t>
      </w:r>
    </w:p>
    <w:p>
      <w:pPr>
        <w:pageBreakBefore w:val="0"/>
        <w:tabs>
          <w:tab w:val="left" w:pos="420"/>
          <w:tab w:val="left" w:pos="8400"/>
        </w:tabs>
        <w:kinsoku/>
        <w:overflowPunct/>
        <w:topLinePunct w:val="0"/>
        <w:autoSpaceDE/>
        <w:autoSpaceDN/>
        <w:bidi w:val="0"/>
        <w:spacing w:line="590" w:lineRule="exact"/>
        <w:jc w:val="center"/>
        <w:textAlignment w:val="auto"/>
      </w:pPr>
      <w:r>
        <w:rPr>
          <w:rFonts w:hint="eastAsia" w:ascii="Times New Roman" w:hAnsi="Times New Roman" w:eastAsia="方正仿宋_GBK" w:cs="Times New Roman"/>
          <w:kern w:val="0"/>
          <w:sz w:val="32"/>
          <w:szCs w:val="32"/>
          <w:lang w:val="en-US" w:eastAsia="zh-CN" w:bidi="ar-SA"/>
        </w:rPr>
        <w:t>淮府办秘</w:t>
      </w:r>
      <w:r>
        <w:rPr>
          <w:rFonts w:hint="default" w:ascii="Times New Roman" w:hAnsi="Times New Roman" w:eastAsia="方正仿宋_GBK" w:cs="Times New Roman"/>
          <w:kern w:val="0"/>
          <w:sz w:val="32"/>
          <w:szCs w:val="32"/>
          <w:lang w:val="en-US" w:eastAsia="zh-CN" w:bidi="ar-SA"/>
        </w:rPr>
        <w:t>〔2017〕253</w:t>
      </w:r>
      <w:r>
        <w:rPr>
          <w:rFonts w:hint="eastAsia" w:ascii="Times New Roman" w:hAnsi="Times New Roman" w:eastAsia="方正仿宋_GBK" w:cs="Times New Roman"/>
          <w:kern w:val="0"/>
          <w:sz w:val="32"/>
          <w:szCs w:val="32"/>
          <w:lang w:val="en-US" w:eastAsia="zh-CN" w:bidi="ar-SA"/>
        </w:rPr>
        <w:t>号</w:t>
      </w:r>
    </w:p>
    <w:p>
      <w:pPr>
        <w:keepNext w:val="0"/>
        <w:keepLines w:val="0"/>
        <w:pageBreakBefore w:val="0"/>
        <w:kinsoku/>
        <w:overflowPunct/>
        <w:topLinePunct w:val="0"/>
        <w:autoSpaceDE/>
        <w:autoSpaceDN/>
        <w:bidi w:val="0"/>
        <w:adjustRightInd/>
        <w:snapToGrid/>
        <w:spacing w:beforeAutospacing="0" w:afterAutospacing="0" w:line="590" w:lineRule="exact"/>
        <w:ind w:left="0" w:leftChars="0" w:right="0" w:rightChars="0"/>
        <w:jc w:val="center"/>
        <w:textAlignment w:val="auto"/>
        <w:rPr>
          <w:rFonts w:hint="eastAsia"/>
          <w:lang w:val="en-US" w:eastAsia="zh-CN"/>
        </w:rPr>
      </w:pPr>
    </w:p>
    <w:p>
      <w:pPr>
        <w:pageBreakBefore w:val="0"/>
        <w:kinsoku/>
        <w:overflowPunct/>
        <w:topLinePunct w:val="0"/>
        <w:autoSpaceDE/>
        <w:autoSpaceDN/>
        <w:bidi w:val="0"/>
        <w:spacing w:line="590" w:lineRule="exact"/>
        <w:jc w:val="left"/>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各县、区人民政府，市政府各部门、各直属机构：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spacing w:before="105" w:beforeAutospacing="0" w:after="105" w:afterAutospacing="0" w:line="590" w:lineRule="exact"/>
        <w:ind w:left="0" w:right="0" w:firstLine="630"/>
        <w:jc w:val="left"/>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《淮南市水资源综合规划（2015—2030）》已经市政府同意，现印发给你们，请认真贯彻执行。</w:t>
      </w:r>
    </w:p>
    <w:p>
      <w:pPr>
        <w:pageBreakBefore w:val="0"/>
        <w:kinsoku/>
        <w:overflowPunct/>
        <w:topLinePunct w:val="0"/>
        <w:autoSpaceDE/>
        <w:autoSpaceDN/>
        <w:bidi w:val="0"/>
        <w:spacing w:line="590" w:lineRule="exact"/>
        <w:ind w:firstLine="630"/>
        <w:jc w:val="left"/>
        <w:textAlignment w:val="auto"/>
        <w:rPr>
          <w:rFonts w:hint="default" w:ascii="Times New Roman" w:hAnsi="Times New Roman" w:eastAsia="仿宋" w:cs="Times New Roman"/>
          <w:sz w:val="32"/>
          <w:szCs w:val="32"/>
        </w:rPr>
      </w:pPr>
    </w:p>
    <w:p>
      <w:pPr>
        <w:pageBreakBefore w:val="0"/>
        <w:kinsoku/>
        <w:overflowPunct/>
        <w:topLinePunct w:val="0"/>
        <w:autoSpaceDE/>
        <w:autoSpaceDN/>
        <w:bidi w:val="0"/>
        <w:spacing w:line="590" w:lineRule="exact"/>
        <w:ind w:firstLine="630"/>
        <w:jc w:val="left"/>
        <w:textAlignment w:val="auto"/>
        <w:rPr>
          <w:rFonts w:hint="default" w:ascii="Times New Roman" w:hAnsi="Times New Roman" w:eastAsia="仿宋" w:cs="Times New Roman"/>
          <w:sz w:val="32"/>
          <w:szCs w:val="32"/>
        </w:rPr>
      </w:pPr>
    </w:p>
    <w:p>
      <w:pPr>
        <w:pageBreakBefore w:val="0"/>
        <w:kinsoku/>
        <w:overflowPunct/>
        <w:topLinePunct w:val="0"/>
        <w:autoSpaceDE/>
        <w:autoSpaceDN/>
        <w:bidi w:val="0"/>
        <w:spacing w:line="590" w:lineRule="exact"/>
        <w:ind w:firstLine="630"/>
        <w:jc w:val="left"/>
        <w:textAlignment w:val="auto"/>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420" w:rightChars="200" w:firstLine="0" w:firstLineChars="0"/>
        <w:jc w:val="right"/>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淮南市人民政府办公室</w:t>
      </w:r>
    </w:p>
    <w:p>
      <w:pPr>
        <w:keepNext w:val="0"/>
        <w:keepLines w:val="0"/>
        <w:pageBreakBefore w:val="0"/>
        <w:widowControl w:val="0"/>
        <w:kinsoku/>
        <w:wordWrap w:val="0"/>
        <w:overflowPunct/>
        <w:topLinePunct w:val="0"/>
        <w:autoSpaceDE/>
        <w:autoSpaceDN/>
        <w:bidi w:val="0"/>
        <w:adjustRightInd/>
        <w:snapToGrid/>
        <w:spacing w:beforeAutospacing="0" w:afterAutospacing="0" w:line="590" w:lineRule="exact"/>
        <w:ind w:right="0" w:rightChars="0"/>
        <w:jc w:val="right"/>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2017年12月28日</w:t>
      </w:r>
      <w:r>
        <w:rPr>
          <w:rFonts w:hint="eastAsia" w:ascii="Times New Roman" w:hAnsi="Times New Roman" w:eastAsia="方正仿宋_GBK" w:cs="Times New Roman"/>
          <w:kern w:val="0"/>
          <w:sz w:val="32"/>
          <w:szCs w:val="32"/>
          <w:shd w:val="clear" w:color="auto" w:fill="FFFFFF"/>
          <w:lang w:val="en-US" w:eastAsia="zh-CN" w:bidi="ar-SA"/>
        </w:rPr>
        <w:t xml:space="preserve">    </w:t>
      </w:r>
    </w:p>
    <w:p>
      <w:pPr>
        <w:keepNext w:val="0"/>
        <w:keepLines w:val="0"/>
        <w:pageBreakBefore w:val="0"/>
        <w:widowControl w:val="0"/>
        <w:kinsoku/>
        <w:overflowPunct/>
        <w:topLinePunct w:val="0"/>
        <w:autoSpaceDE/>
        <w:autoSpaceDN/>
        <w:bidi w:val="0"/>
        <w:adjustRightInd/>
        <w:snapToGrid/>
        <w:spacing w:beforeAutospacing="0" w:afterAutospacing="0" w:line="590" w:lineRule="exact"/>
        <w:ind w:left="0" w:leftChars="0" w:right="0" w:rightChars="0" w:firstLine="640" w:firstLineChars="200"/>
        <w:textAlignment w:val="auto"/>
        <w:rPr>
          <w:rFonts w:hint="default" w:ascii="Times New Roman" w:hAnsi="Times New Roman" w:eastAsia="方正仿宋_GBK" w:cs="Times New Roman"/>
          <w:kern w:val="0"/>
          <w:sz w:val="32"/>
          <w:szCs w:val="32"/>
          <w:shd w:val="clear" w:color="auto" w:fill="FFFFFF"/>
          <w:lang w:val="en-US" w:eastAsia="zh-CN" w:bidi="ar-SA"/>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spacing w:before="105" w:beforeAutospacing="0" w:after="105" w:afterAutospacing="0" w:line="590" w:lineRule="exact"/>
        <w:ind w:left="0" w:right="0" w:firstLine="630"/>
        <w:jc w:val="right"/>
        <w:textAlignment w:val="auto"/>
        <w:rPr>
          <w:rFonts w:hint="eastAsia" w:ascii="宋体" w:hAnsi="宋体" w:eastAsia="宋体" w:cs="宋体"/>
          <w:i w:val="0"/>
          <w:caps w:val="0"/>
          <w:color w:val="333333"/>
          <w:spacing w:val="0"/>
          <w:sz w:val="24"/>
          <w:szCs w:val="24"/>
        </w:rPr>
      </w:pPr>
    </w:p>
    <w:p>
      <w:pPr>
        <w:pStyle w:val="11"/>
        <w:keepNext w:val="0"/>
        <w:keepLines w:val="0"/>
        <w:pageBreakBefore w:val="0"/>
        <w:widowControl/>
        <w:suppressLineNumbers w:val="0"/>
        <w:shd w:val="clear" w:color="auto" w:fill="FFFFFF"/>
        <w:kinsoku/>
        <w:overflowPunct/>
        <w:topLinePunct w:val="0"/>
        <w:autoSpaceDE/>
        <w:autoSpaceDN/>
        <w:bidi w:val="0"/>
        <w:adjustRightInd/>
        <w:snapToGrid/>
        <w:spacing w:beforeAutospacing="0" w:afterAutospacing="0" w:line="590" w:lineRule="exact"/>
        <w:ind w:right="0" w:rightChars="0"/>
        <w:jc w:val="both"/>
        <w:textAlignment w:val="auto"/>
        <w:rPr>
          <w:rFonts w:hint="eastAsia" w:ascii="方正仿宋_GBK" w:hAnsi="方正仿宋_GBK" w:eastAsia="方正仿宋_GBK" w:cs="方正仿宋_GBK"/>
          <w:kern w:val="0"/>
          <w:sz w:val="32"/>
          <w:szCs w:val="32"/>
          <w:shd w:val="clear" w:color="auto" w:fill="FFFFFF"/>
          <w:lang w:val="en-US" w:eastAsia="zh-CN" w:bidi="ar-SA"/>
        </w:rPr>
      </w:pPr>
    </w:p>
    <w:p>
      <w:pPr>
        <w:pStyle w:val="11"/>
        <w:keepNext w:val="0"/>
        <w:keepLines w:val="0"/>
        <w:pageBreakBefore w:val="0"/>
        <w:widowControl/>
        <w:suppressLineNumbers w:val="0"/>
        <w:shd w:val="clear" w:color="auto" w:fill="FFFFFF"/>
        <w:kinsoku/>
        <w:overflowPunct/>
        <w:topLinePunct w:val="0"/>
        <w:autoSpaceDE/>
        <w:autoSpaceDN/>
        <w:bidi w:val="0"/>
        <w:adjustRightInd/>
        <w:snapToGrid/>
        <w:spacing w:beforeAutospacing="0" w:afterAutospacing="0" w:line="590" w:lineRule="exact"/>
        <w:ind w:right="0" w:rightChars="0"/>
        <w:jc w:val="both"/>
        <w:textAlignment w:val="auto"/>
        <w:rPr>
          <w:rFonts w:hint="eastAsia" w:ascii="方正仿宋_GBK" w:hAnsi="方正仿宋_GBK" w:eastAsia="方正仿宋_GBK" w:cs="方正仿宋_GBK"/>
          <w:kern w:val="0"/>
          <w:sz w:val="32"/>
          <w:szCs w:val="32"/>
          <w:shd w:val="clear" w:color="auto" w:fill="FFFFFF"/>
          <w:lang w:val="en-US" w:eastAsia="zh-CN" w:bidi="ar-SA"/>
        </w:rPr>
      </w:pPr>
    </w:p>
    <w:p>
      <w:pPr>
        <w:pStyle w:val="11"/>
        <w:keepNext w:val="0"/>
        <w:keepLines w:val="0"/>
        <w:pageBreakBefore w:val="0"/>
        <w:widowControl/>
        <w:suppressLineNumbers w:val="0"/>
        <w:shd w:val="clear" w:color="auto" w:fill="FFFFFF"/>
        <w:kinsoku/>
        <w:overflowPunct/>
        <w:topLinePunct w:val="0"/>
        <w:autoSpaceDE/>
        <w:autoSpaceDN/>
        <w:bidi w:val="0"/>
        <w:adjustRightInd/>
        <w:snapToGrid/>
        <w:spacing w:beforeAutospacing="0" w:afterAutospacing="0" w:line="590" w:lineRule="exact"/>
        <w:ind w:right="0" w:rightChars="0"/>
        <w:jc w:val="both"/>
        <w:textAlignment w:val="auto"/>
        <w:rPr>
          <w:rFonts w:hint="eastAsia" w:ascii="方正仿宋_GBK" w:hAnsi="方正仿宋_GBK" w:eastAsia="方正仿宋_GBK" w:cs="方正仿宋_GBK"/>
          <w:kern w:val="0"/>
          <w:sz w:val="32"/>
          <w:szCs w:val="32"/>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center"/>
        <w:textAlignment w:val="auto"/>
        <w:rPr>
          <w:rFonts w:hint="eastAsia" w:ascii="方正小标宋_GBK" w:hAnsi="方正小标宋_GBK" w:eastAsia="方正小标宋_GBK" w:cs="方正小标宋_GBK"/>
          <w:kern w:val="0"/>
          <w:sz w:val="44"/>
          <w:szCs w:val="44"/>
          <w:shd w:val="clear" w:color="auto" w:fill="FFFFFF"/>
          <w:lang w:val="en-US" w:eastAsia="zh-CN" w:bidi="ar-SA"/>
        </w:rPr>
      </w:pPr>
      <w:bookmarkStart w:id="0" w:name="_Toc11457"/>
      <w:bookmarkStart w:id="1" w:name="_Toc7885"/>
      <w:bookmarkStart w:id="2" w:name="_Toc25502"/>
      <w:bookmarkStart w:id="3" w:name="_Toc312309810"/>
      <w:bookmarkStart w:id="4" w:name="_Toc312309829"/>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center"/>
        <w:textAlignment w:val="auto"/>
        <w:rPr>
          <w:rFonts w:hint="eastAsia" w:ascii="方正小标宋_GBK" w:hAnsi="方正小标宋_GBK" w:eastAsia="方正小标宋_GBK" w:cs="方正小标宋_GBK"/>
          <w:kern w:val="0"/>
          <w:sz w:val="44"/>
          <w:szCs w:val="44"/>
          <w:shd w:val="clear" w:color="auto" w:fill="FFFFFF"/>
          <w:lang w:val="en-US" w:eastAsia="zh-CN" w:bidi="ar-SA"/>
        </w:rPr>
      </w:pPr>
      <w:r>
        <w:rPr>
          <w:rFonts w:hint="eastAsia" w:ascii="方正小标宋_GBK" w:hAnsi="方正小标宋_GBK" w:eastAsia="方正小标宋_GBK" w:cs="方正小标宋_GBK"/>
          <w:kern w:val="0"/>
          <w:sz w:val="44"/>
          <w:szCs w:val="44"/>
          <w:shd w:val="clear" w:color="auto" w:fill="FFFFFF"/>
          <w:lang w:val="en-US" w:eastAsia="zh-CN" w:bidi="ar-SA"/>
        </w:rPr>
        <w:t>淮南市水资源综合规划</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jc w:val="center"/>
        <w:textAlignment w:val="auto"/>
        <w:rPr>
          <w:rFonts w:hint="eastAsia" w:ascii="方正小标宋_GBK" w:hAnsi="方正小标宋_GBK" w:eastAsia="方正小标宋_GBK" w:cs="方正小标宋_GBK"/>
          <w:kern w:val="0"/>
          <w:sz w:val="44"/>
          <w:szCs w:val="44"/>
          <w:shd w:val="clear" w:color="auto" w:fill="FFFFFF"/>
          <w:lang w:val="en-US" w:eastAsia="zh-CN" w:bidi="ar-SA"/>
        </w:rPr>
      </w:pPr>
      <w:r>
        <w:rPr>
          <w:rFonts w:hint="eastAsia" w:ascii="方正小标宋_GBK" w:hAnsi="方正小标宋_GBK" w:eastAsia="方正小标宋_GBK" w:cs="方正小标宋_GBK"/>
          <w:kern w:val="0"/>
          <w:sz w:val="44"/>
          <w:szCs w:val="44"/>
          <w:shd w:val="clear" w:color="auto" w:fill="FFFFFF"/>
          <w:lang w:val="en-US" w:eastAsia="zh-CN" w:bidi="ar-SA"/>
        </w:rPr>
        <w:t>（2015-2030）</w:t>
      </w:r>
    </w:p>
    <w:p>
      <w:pPr>
        <w:pageBreakBefore w:val="0"/>
        <w:kinsoku/>
        <w:overflowPunct/>
        <w:topLinePunct w:val="0"/>
        <w:autoSpaceDE/>
        <w:autoSpaceDN/>
        <w:bidi w:val="0"/>
        <w:spacing w:line="590" w:lineRule="exact"/>
        <w:jc w:val="center"/>
        <w:textAlignment w:val="auto"/>
        <w:rPr>
          <w:rFonts w:eastAsia="仿宋"/>
          <w:sz w:val="28"/>
          <w:szCs w:val="28"/>
        </w:rPr>
      </w:pPr>
    </w:p>
    <w:p>
      <w:pPr>
        <w:pStyle w:val="10"/>
        <w:pageBreakBefore w:val="0"/>
        <w:tabs>
          <w:tab w:val="right" w:leader="dot" w:pos="8306"/>
        </w:tabs>
        <w:kinsoku/>
        <w:overflowPunct/>
        <w:topLinePunct w:val="0"/>
        <w:autoSpaceDE/>
        <w:autoSpaceDN/>
        <w:bidi w:val="0"/>
        <w:spacing w:line="590" w:lineRule="exact"/>
        <w:jc w:val="center"/>
        <w:textAlignment w:val="auto"/>
        <w:rPr>
          <w:rStyle w:val="16"/>
          <w:sz w:val="48"/>
          <w:szCs w:val="48"/>
        </w:rPr>
      </w:pPr>
    </w:p>
    <w:p>
      <w:pPr>
        <w:pStyle w:val="10"/>
        <w:pageBreakBefore w:val="0"/>
        <w:tabs>
          <w:tab w:val="right" w:leader="dot" w:pos="8306"/>
        </w:tabs>
        <w:kinsoku/>
        <w:overflowPunct/>
        <w:topLinePunct w:val="0"/>
        <w:autoSpaceDE/>
        <w:autoSpaceDN/>
        <w:bidi w:val="0"/>
        <w:spacing w:line="590" w:lineRule="exact"/>
        <w:jc w:val="center"/>
        <w:textAlignment w:val="auto"/>
        <w:rPr>
          <w:rStyle w:val="16"/>
          <w:sz w:val="48"/>
          <w:szCs w:val="48"/>
        </w:rPr>
      </w:pPr>
    </w:p>
    <w:p>
      <w:pPr>
        <w:pStyle w:val="10"/>
        <w:pageBreakBefore w:val="0"/>
        <w:tabs>
          <w:tab w:val="right" w:leader="dot" w:pos="8306"/>
        </w:tabs>
        <w:kinsoku/>
        <w:overflowPunct/>
        <w:topLinePunct w:val="0"/>
        <w:autoSpaceDE/>
        <w:autoSpaceDN/>
        <w:bidi w:val="0"/>
        <w:spacing w:line="590" w:lineRule="exact"/>
        <w:jc w:val="center"/>
        <w:textAlignment w:val="auto"/>
        <w:rPr>
          <w:rStyle w:val="16"/>
          <w:sz w:val="48"/>
          <w:szCs w:val="48"/>
        </w:rPr>
      </w:pPr>
    </w:p>
    <w:p>
      <w:pPr>
        <w:pStyle w:val="10"/>
        <w:pageBreakBefore w:val="0"/>
        <w:tabs>
          <w:tab w:val="right" w:leader="dot" w:pos="8306"/>
        </w:tabs>
        <w:kinsoku/>
        <w:overflowPunct/>
        <w:topLinePunct w:val="0"/>
        <w:autoSpaceDE/>
        <w:autoSpaceDN/>
        <w:bidi w:val="0"/>
        <w:spacing w:line="590" w:lineRule="exact"/>
        <w:jc w:val="center"/>
        <w:textAlignment w:val="auto"/>
        <w:rPr>
          <w:rStyle w:val="16"/>
          <w:sz w:val="48"/>
          <w:szCs w:val="48"/>
        </w:rPr>
      </w:pPr>
    </w:p>
    <w:p>
      <w:pPr>
        <w:pStyle w:val="10"/>
        <w:pageBreakBefore w:val="0"/>
        <w:tabs>
          <w:tab w:val="right" w:leader="dot" w:pos="8306"/>
        </w:tabs>
        <w:kinsoku/>
        <w:overflowPunct/>
        <w:topLinePunct w:val="0"/>
        <w:autoSpaceDE/>
        <w:autoSpaceDN/>
        <w:bidi w:val="0"/>
        <w:spacing w:line="590" w:lineRule="exact"/>
        <w:jc w:val="center"/>
        <w:textAlignment w:val="auto"/>
        <w:rPr>
          <w:rStyle w:val="16"/>
          <w:sz w:val="48"/>
          <w:szCs w:val="48"/>
        </w:rPr>
      </w:pPr>
    </w:p>
    <w:p>
      <w:pPr>
        <w:pStyle w:val="10"/>
        <w:pageBreakBefore w:val="0"/>
        <w:tabs>
          <w:tab w:val="right" w:leader="dot" w:pos="8306"/>
        </w:tabs>
        <w:kinsoku/>
        <w:overflowPunct/>
        <w:topLinePunct w:val="0"/>
        <w:autoSpaceDE/>
        <w:autoSpaceDN/>
        <w:bidi w:val="0"/>
        <w:spacing w:line="590" w:lineRule="exact"/>
        <w:jc w:val="center"/>
        <w:textAlignment w:val="auto"/>
        <w:rPr>
          <w:rStyle w:val="16"/>
          <w:sz w:val="48"/>
          <w:szCs w:val="48"/>
        </w:rPr>
      </w:pPr>
    </w:p>
    <w:p>
      <w:pPr>
        <w:pStyle w:val="10"/>
        <w:pageBreakBefore w:val="0"/>
        <w:tabs>
          <w:tab w:val="right" w:leader="dot" w:pos="8306"/>
        </w:tabs>
        <w:kinsoku/>
        <w:overflowPunct/>
        <w:topLinePunct w:val="0"/>
        <w:autoSpaceDE/>
        <w:autoSpaceDN/>
        <w:bidi w:val="0"/>
        <w:spacing w:line="590" w:lineRule="exact"/>
        <w:jc w:val="center"/>
        <w:textAlignment w:val="auto"/>
        <w:rPr>
          <w:rStyle w:val="16"/>
          <w:sz w:val="48"/>
          <w:szCs w:val="48"/>
        </w:rPr>
      </w:pPr>
    </w:p>
    <w:p>
      <w:pPr>
        <w:pStyle w:val="10"/>
        <w:pageBreakBefore w:val="0"/>
        <w:tabs>
          <w:tab w:val="right" w:leader="dot" w:pos="8306"/>
        </w:tabs>
        <w:kinsoku/>
        <w:overflowPunct/>
        <w:topLinePunct w:val="0"/>
        <w:autoSpaceDE/>
        <w:autoSpaceDN/>
        <w:bidi w:val="0"/>
        <w:spacing w:line="590" w:lineRule="exact"/>
        <w:jc w:val="center"/>
        <w:textAlignment w:val="auto"/>
        <w:rPr>
          <w:rStyle w:val="16"/>
          <w:sz w:val="48"/>
          <w:szCs w:val="48"/>
        </w:rPr>
      </w:pPr>
    </w:p>
    <w:p>
      <w:pPr>
        <w:pStyle w:val="10"/>
        <w:pageBreakBefore w:val="0"/>
        <w:tabs>
          <w:tab w:val="right" w:leader="dot" w:pos="8306"/>
        </w:tabs>
        <w:kinsoku/>
        <w:overflowPunct/>
        <w:topLinePunct w:val="0"/>
        <w:autoSpaceDE/>
        <w:autoSpaceDN/>
        <w:bidi w:val="0"/>
        <w:spacing w:line="590" w:lineRule="exact"/>
        <w:jc w:val="center"/>
        <w:textAlignment w:val="auto"/>
        <w:rPr>
          <w:rStyle w:val="16"/>
          <w:sz w:val="48"/>
          <w:szCs w:val="48"/>
        </w:rPr>
      </w:pPr>
    </w:p>
    <w:p>
      <w:pPr>
        <w:pStyle w:val="10"/>
        <w:pageBreakBefore w:val="0"/>
        <w:tabs>
          <w:tab w:val="right" w:leader="dot" w:pos="8306"/>
        </w:tabs>
        <w:kinsoku/>
        <w:overflowPunct/>
        <w:topLinePunct w:val="0"/>
        <w:autoSpaceDE/>
        <w:autoSpaceDN/>
        <w:bidi w:val="0"/>
        <w:spacing w:line="590" w:lineRule="exact"/>
        <w:jc w:val="center"/>
        <w:textAlignment w:val="auto"/>
        <w:rPr>
          <w:rStyle w:val="16"/>
          <w:sz w:val="48"/>
          <w:szCs w:val="48"/>
        </w:rPr>
      </w:pPr>
      <w:r>
        <w:rPr>
          <w:rStyle w:val="16"/>
          <w:sz w:val="48"/>
          <w:szCs w:val="48"/>
        </w:rPr>
        <w:t xml:space="preserve"> </w:t>
      </w:r>
    </w:p>
    <w:p>
      <w:pPr>
        <w:pageBreakBefore w:val="0"/>
        <w:kinsoku/>
        <w:overflowPunct/>
        <w:topLinePunct w:val="0"/>
        <w:autoSpaceDE/>
        <w:autoSpaceDN/>
        <w:bidi w:val="0"/>
        <w:spacing w:line="590" w:lineRule="exact"/>
        <w:textAlignment w:val="auto"/>
      </w:pPr>
    </w:p>
    <w:p>
      <w:pPr>
        <w:pStyle w:val="10"/>
        <w:pageBreakBefore w:val="0"/>
        <w:tabs>
          <w:tab w:val="right" w:leader="dot" w:pos="8306"/>
        </w:tabs>
        <w:kinsoku/>
        <w:overflowPunct/>
        <w:topLinePunct w:val="0"/>
        <w:autoSpaceDE/>
        <w:autoSpaceDN/>
        <w:bidi w:val="0"/>
        <w:spacing w:line="590" w:lineRule="exact"/>
        <w:jc w:val="center"/>
        <w:textAlignment w:val="auto"/>
        <w:rPr>
          <w:rStyle w:val="16"/>
          <w:sz w:val="48"/>
          <w:szCs w:val="48"/>
        </w:rPr>
      </w:pPr>
    </w:p>
    <w:p>
      <w:pPr>
        <w:pStyle w:val="10"/>
        <w:pageBreakBefore w:val="0"/>
        <w:tabs>
          <w:tab w:val="right" w:leader="dot" w:pos="8306"/>
        </w:tabs>
        <w:kinsoku/>
        <w:overflowPunct/>
        <w:topLinePunct w:val="0"/>
        <w:autoSpaceDE/>
        <w:autoSpaceDN/>
        <w:bidi w:val="0"/>
        <w:spacing w:line="590" w:lineRule="exact"/>
        <w:jc w:val="center"/>
        <w:textAlignment w:val="auto"/>
        <w:rPr>
          <w:rStyle w:val="16"/>
          <w:sz w:val="48"/>
          <w:szCs w:val="48"/>
        </w:rPr>
      </w:pP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right="0" w:rightChars="0"/>
        <w:jc w:val="center"/>
        <w:textAlignment w:val="auto"/>
        <w:outlineLvl w:val="9"/>
        <w:rPr>
          <w:rFonts w:hint="eastAsia" w:ascii="方正黑体_GBK" w:hAnsi="方正黑体_GBK" w:eastAsia="方正黑体_GBK" w:cs="方正黑体_GBK"/>
          <w:kern w:val="0"/>
          <w:sz w:val="32"/>
          <w:szCs w:val="32"/>
          <w:shd w:val="clear" w:color="auto" w:fill="FFFFFF"/>
          <w:lang w:val="en-US" w:eastAsia="zh-CN" w:bidi="ar-SA"/>
        </w:rPr>
      </w:pPr>
      <w:r>
        <w:rPr>
          <w:rFonts w:hint="eastAsia" w:ascii="方正黑体_GBK" w:hAnsi="方正黑体_GBK" w:eastAsia="方正黑体_GBK" w:cs="方正黑体_GBK"/>
          <w:kern w:val="0"/>
          <w:sz w:val="32"/>
          <w:szCs w:val="32"/>
          <w:shd w:val="clear" w:color="auto" w:fill="FFFFFF"/>
          <w:lang w:val="en-US" w:eastAsia="zh-CN" w:bidi="ar-SA"/>
        </w:rPr>
        <w:t>淮南市人民政府</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right="0" w:rightChars="0"/>
        <w:jc w:val="center"/>
        <w:textAlignment w:val="auto"/>
        <w:outlineLvl w:val="9"/>
        <w:rPr>
          <w:rFonts w:hint="eastAsia" w:ascii="方正黑体_GBK" w:hAnsi="方正黑体_GBK" w:eastAsia="方正黑体_GBK" w:cs="方正黑体_GBK"/>
          <w:kern w:val="0"/>
          <w:sz w:val="32"/>
          <w:szCs w:val="32"/>
          <w:shd w:val="clear" w:color="auto" w:fill="FFFFFF"/>
          <w:lang w:val="en-US" w:eastAsia="zh-CN" w:bidi="ar-SA"/>
        </w:rPr>
      </w:pPr>
      <w:r>
        <w:rPr>
          <w:rFonts w:hint="eastAsia" w:ascii="方正黑体_GBK" w:hAnsi="方正黑体_GBK" w:eastAsia="方正黑体_GBK" w:cs="方正黑体_GBK"/>
          <w:kern w:val="0"/>
          <w:sz w:val="32"/>
          <w:szCs w:val="32"/>
          <w:shd w:val="clear" w:color="auto" w:fill="FFFFFF"/>
          <w:lang w:val="en-US" w:eastAsia="zh-CN" w:bidi="ar-SA"/>
        </w:rPr>
        <w:t>二〇一七年十二月</w:t>
      </w:r>
    </w:p>
    <w:p>
      <w:pPr>
        <w:pStyle w:val="2"/>
        <w:pageBreakBefore w:val="0"/>
        <w:kinsoku/>
        <w:overflowPunct/>
        <w:topLinePunct w:val="0"/>
        <w:autoSpaceDE/>
        <w:autoSpaceDN/>
        <w:bidi w:val="0"/>
        <w:spacing w:line="590" w:lineRule="exact"/>
        <w:textAlignment w:val="auto"/>
        <w:rPr>
          <w:rFonts w:hint="eastAsia" w:ascii="方正楷体_GBK" w:hAnsi="方正楷体_GBK" w:eastAsia="方正楷体_GBK" w:cs="方正楷体_GBK"/>
          <w:kern w:val="0"/>
          <w:sz w:val="32"/>
          <w:szCs w:val="32"/>
          <w:shd w:val="clear" w:color="auto" w:fill="FFFFFF"/>
          <w:lang w:val="en-US" w:eastAsia="zh-CN" w:bidi="ar-SA"/>
        </w:rPr>
      </w:pPr>
    </w:p>
    <w:p>
      <w:pPr>
        <w:pStyle w:val="2"/>
        <w:pageBreakBefore w:val="0"/>
        <w:kinsoku/>
        <w:overflowPunct/>
        <w:topLinePunct w:val="0"/>
        <w:autoSpaceDE/>
        <w:autoSpaceDN/>
        <w:bidi w:val="0"/>
        <w:spacing w:line="590" w:lineRule="exact"/>
        <w:textAlignment w:val="auto"/>
        <w:rPr>
          <w:rFonts w:hint="eastAsia" w:ascii="方正楷体_GBK" w:hAnsi="方正楷体_GBK" w:eastAsia="方正楷体_GBK" w:cs="方正楷体_GBK"/>
          <w:kern w:val="0"/>
          <w:sz w:val="32"/>
          <w:szCs w:val="32"/>
          <w:shd w:val="clear" w:color="auto" w:fill="FFFFFF"/>
          <w:lang w:val="en-US" w:eastAsia="zh-CN" w:bidi="ar-SA"/>
        </w:rPr>
      </w:pPr>
    </w:p>
    <w:p>
      <w:pPr>
        <w:pStyle w:val="2"/>
        <w:pageBreakBefore w:val="0"/>
        <w:kinsoku/>
        <w:overflowPunct/>
        <w:topLinePunct w:val="0"/>
        <w:autoSpaceDE/>
        <w:autoSpaceDN/>
        <w:bidi w:val="0"/>
        <w:spacing w:line="590" w:lineRule="exact"/>
        <w:textAlignment w:val="auto"/>
        <w:rPr>
          <w:rFonts w:hint="eastAsia" w:ascii="方正楷体_GBK" w:hAnsi="方正楷体_GBK" w:eastAsia="方正楷体_GBK" w:cs="方正楷体_GBK"/>
          <w:kern w:val="0"/>
          <w:sz w:val="32"/>
          <w:szCs w:val="32"/>
          <w:shd w:val="clear" w:color="auto" w:fill="FFFFFF"/>
          <w:lang w:val="en-US" w:eastAsia="zh-CN" w:bidi="ar-SA"/>
        </w:rPr>
      </w:pPr>
    </w:p>
    <w:bookmarkEnd w:id="0"/>
    <w:bookmarkEnd w:id="1"/>
    <w:bookmarkEnd w:id="2"/>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right="0" w:rightChars="0"/>
        <w:jc w:val="center"/>
        <w:textAlignment w:val="auto"/>
        <w:outlineLvl w:val="9"/>
        <w:rPr>
          <w:rFonts w:hint="eastAsia" w:ascii="方正小标宋_GBK" w:hAnsi="方正小标宋_GBK" w:eastAsia="方正小标宋_GBK" w:cs="方正小标宋_GBK"/>
          <w:kern w:val="0"/>
          <w:sz w:val="44"/>
          <w:szCs w:val="44"/>
          <w:shd w:val="clear" w:color="auto" w:fill="FFFFFF"/>
          <w:lang w:val="en-US" w:eastAsia="zh-CN" w:bidi="ar-SA"/>
        </w:rPr>
      </w:pPr>
      <w:bookmarkStart w:id="5" w:name="_Toc21818"/>
      <w:r>
        <w:rPr>
          <w:rFonts w:hint="eastAsia" w:ascii="方正小标宋_GBK" w:hAnsi="方正小标宋_GBK" w:eastAsia="方正小标宋_GBK" w:cs="方正小标宋_GBK"/>
          <w:kern w:val="0"/>
          <w:sz w:val="44"/>
          <w:szCs w:val="44"/>
          <w:shd w:val="clear" w:color="auto" w:fill="FFFFFF"/>
          <w:lang w:val="en-US" w:eastAsia="zh-CN" w:bidi="ar-SA"/>
        </w:rPr>
        <w:t>前  言</w:t>
      </w:r>
      <w:bookmarkEnd w:id="3"/>
      <w:bookmarkEnd w:id="5"/>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水是生命之源、生产之</w:t>
      </w:r>
      <w:bookmarkStart w:id="596" w:name="_GoBack"/>
      <w:bookmarkEnd w:id="596"/>
      <w:r>
        <w:rPr>
          <w:rFonts w:hint="eastAsia" w:ascii="方正仿宋_GBK" w:hAnsi="方正仿宋_GBK" w:eastAsia="方正仿宋_GBK" w:cs="方正仿宋_GBK"/>
          <w:kern w:val="0"/>
          <w:sz w:val="32"/>
          <w:szCs w:val="32"/>
          <w:shd w:val="clear" w:color="auto" w:fill="FFFFFF"/>
          <w:lang w:val="en-US" w:eastAsia="zh-CN" w:bidi="ar-SA"/>
        </w:rPr>
        <w:t>要、生态之基。兴水利、除水害，事关人类生存、经济发展、社会进步，历来是治国安邦的大事。党中央、国务院历来高度重视水资源问题，先后采取了一系列重大政策举措，有力地促进了水资源的集约开发、节约利用和有效保护。同时也应清醒地认识到，由于气候、地形和人类活动的影响，水多、水少、水脏和水资源时空分布与生产力布局不相匹配问题，既是现阶段我国的突出水情，也是我国必须长期面对的基本国情。特别是在全球气候变化影响加剧和工业化、城镇化快速推进的大背景下，水资源问题更加突出，并已成为经济社会可持续发展的主要制约因素和重大威胁。</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习近平总书记的</w:t>
      </w:r>
      <w:r>
        <w:rPr>
          <w:rFonts w:hint="eastAsia" w:ascii="方正仿宋_GBK" w:hAnsi="方正仿宋_GBK" w:eastAsia="方正仿宋_GBK" w:cs="方正仿宋_GBK"/>
          <w:b w:val="0"/>
          <w:bCs w:val="0"/>
          <w:kern w:val="0"/>
          <w:sz w:val="32"/>
          <w:szCs w:val="32"/>
          <w:shd w:val="clear" w:color="auto" w:fill="FFFFFF"/>
          <w:lang w:val="en-US" w:eastAsia="zh-CN" w:bidi="ar-SA"/>
        </w:rPr>
        <w:t>“节水优先、空间均衡、系统治理、两手发力”</w:t>
      </w:r>
      <w:r>
        <w:rPr>
          <w:rFonts w:hint="eastAsia" w:ascii="方正仿宋_GBK" w:hAnsi="方正仿宋_GBK" w:eastAsia="方正仿宋_GBK" w:cs="方正仿宋_GBK"/>
          <w:kern w:val="0"/>
          <w:sz w:val="32"/>
          <w:szCs w:val="32"/>
          <w:shd w:val="clear" w:color="auto" w:fill="FFFFFF"/>
          <w:lang w:val="en-US" w:eastAsia="zh-CN" w:bidi="ar-SA"/>
        </w:rPr>
        <w:t>赋予了新时期治水的新内涵、新要求、新任务，为我们强化水治理、保障水安全指明了方向，是我们做好水利工作的科学指南。节水优先，这是针对我国国情水情，总结世界各国发展教训，着眼中华民族永续发展作出的关键选择，是新时期治水工作必须始终遵循的根本方针。空间均衡，这是从生态文明建设高度，审视人口经济与资源环境关系，在新型工业化、城镇化和农业现代化进程中做到人与自然和谐的科学路径，是新时期治水工作必须始终坚守的重大原则。系统治理，这是立足山水林田湖生命共同体，统筹自然生态各要素，解决我国复杂水问题的根本出路，是新时期治水工作必须始终坚持的思想方法。两手发力，这是从水的公共产品属性出发，充分发挥政府作用和市场机制，提高水治理能力的重要保障，是新时期治水工作必须始终把握的基本要求。</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为贯彻落实国家新时期的治水方针，特别是《安徽省人民政府关于实现最严格水资源管理制度的意见》、《水十条》等文件精神，解决淮南市水资源开发利用中存在的问题，构建水资源优化配置和承载能力体系，根据新的治水思路和水资源情势变化情况，实施对淮南市水资源的全面节约、有效保护、优化配置、合理开发、高效利用、综合治理和科学管理。“十三五”期间，淮南市委、市政府围绕“一个目标”，实施“双轮驱动”，加快“三个推进”，实现“五个发展”的总体要求，牢牢把握“节水为先、空间均衡、系统治理、两手发力”的基本治水思路，牢固树立人水和谐、生态文明、改革创新的治水理念，以安全水利、生态水利、民生水利、现代水利为工作重点，全面落实“四线管理”、构建“五大体系”、实施“六项工程”、推进“七项改革”，建成与全面小康社会相适应的现代化水利综合保障体系。</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区域变化:国务院于2015年12月批复将六安市寿县划归淮南市管辖,淮南市现辖6区2县，户籍人口增至349.6万，常住人口增至343.1万，区域面积由2596.4km2增至5582.4km2,地域面积增加一倍多。</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从区划调整角度看，淮南可以发挥工业反哺农业、城市支持农村的作用，积聚更多的城市资源和工业资源，与寿县丰富的自然资源、人文资源、农副产品资源进行充分融合，叠加共享相关发展政策与发展机遇，进一步拓展城市空间与发展平台。有利于淮南城市规模与资源环境承载力相适应，培育壮大中心城市；有利于发挥城市辐射作用，优化城镇布局，加速四化进程，促进城乡区域协调发展；有利于资源共享，优势互补，快速做大做强旅游文化等产业，不断改善城乡居民生活，实现经济社会更好更快发展。</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以深化煤电化产业转型升级和非煤产业创新发展为核心，加快培育一批煤炭资源深加工龙头企业和特色新兴产业集群；以采煤塌陷区综合治理为抓手，在塌陷区生态恢复方法、综合开发利用模式、接续产业平台搭建、新型城镇化建设和社会事业发展等方面探索创新、先行先试，为我国资源型城市可持续发展提供经验借鉴和模式示范。工农业生产格局变化、煤电行业节水改革、引江济淮工程实施将改变淮南市供水布局。</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淮南市水资源整体形势较好，但是存在年际降雨分配不均，水资源调蓄能力弱，“水多、水少、水脏”问题十分突出，1992年被国家列为重点缺水城市，属于水资源型缺水、工程型缺水和水质型缺水兼有的城市之一，制约了经济社会的发展。随着全市经济社会的快速发展，社会不断进步和人口持续增长，水资源短缺与水环境恶化问题日益突出。</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综上所述必需对淮南市水资源进行综合规划，以此来指导淮南市水资源分配与应用。</w:t>
      </w:r>
    </w:p>
    <w:p>
      <w:pPr>
        <w:pageBreakBefore w:val="0"/>
        <w:kinsoku/>
        <w:overflowPunct/>
        <w:topLinePunct w:val="0"/>
        <w:autoSpaceDE/>
        <w:autoSpaceDN/>
        <w:bidi w:val="0"/>
        <w:spacing w:line="590" w:lineRule="exact"/>
        <w:jc w:val="center"/>
        <w:textAlignment w:val="auto"/>
        <w:outlineLvl w:val="0"/>
        <w:rPr>
          <w:rFonts w:eastAsia="黑体"/>
          <w:bCs/>
          <w:sz w:val="32"/>
          <w:szCs w:val="32"/>
        </w:rPr>
      </w:pPr>
      <w:bookmarkStart w:id="6" w:name="_Toc432782497"/>
      <w:r>
        <w:rPr>
          <w:rFonts w:eastAsia="黑体"/>
          <w:bCs/>
          <w:sz w:val="32"/>
          <w:szCs w:val="32"/>
        </w:rPr>
        <w:br w:type="page"/>
      </w:r>
      <w:bookmarkStart w:id="7" w:name="_Toc21620"/>
    </w:p>
    <w:p>
      <w:pPr>
        <w:pageBreakBefore w:val="0"/>
        <w:kinsoku/>
        <w:overflowPunct/>
        <w:topLinePunct w:val="0"/>
        <w:autoSpaceDE/>
        <w:autoSpaceDN/>
        <w:bidi w:val="0"/>
        <w:spacing w:line="590" w:lineRule="exact"/>
        <w:jc w:val="center"/>
        <w:textAlignment w:val="auto"/>
        <w:outlineLvl w:val="0"/>
        <w:rPr>
          <w:rFonts w:hint="eastAsia" w:ascii="方正小标宋_GBK" w:hAnsi="方正小标宋_GBK" w:eastAsia="方正小标宋_GBK" w:cs="方正小标宋_GBK"/>
          <w:kern w:val="0"/>
          <w:sz w:val="44"/>
          <w:szCs w:val="44"/>
          <w:shd w:val="clear" w:color="auto" w:fill="FFFFFF"/>
          <w:lang w:val="en-US" w:eastAsia="zh-CN" w:bidi="ar-SA"/>
        </w:rPr>
      </w:pPr>
      <w:r>
        <w:rPr>
          <w:rFonts w:hint="eastAsia" w:ascii="方正小标宋_GBK" w:hAnsi="方正小标宋_GBK" w:eastAsia="方正小标宋_GBK" w:cs="方正小标宋_GBK"/>
          <w:kern w:val="0"/>
          <w:sz w:val="44"/>
          <w:szCs w:val="44"/>
          <w:shd w:val="clear" w:color="auto" w:fill="FFFFFF"/>
          <w:lang w:val="en-US" w:eastAsia="zh-CN" w:bidi="ar-SA"/>
        </w:rPr>
        <w:t>概  述</w:t>
      </w:r>
      <w:bookmarkEnd w:id="6"/>
      <w:bookmarkEnd w:id="7"/>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淮南市位于安徽省中北部，淮河中游，跨淮河两岸，辖6区2县，总面积5582.4km2，按照水资源综合规划有关技术细则和大纲要求，全面贯彻国家新时期的治水方针，落实习近平总书记“节水优先、空间均衡、系统治理、两手发力”的治水新思路和最严格的水资源管理制度，结合淮南市的实际情况，确定规划的指导思想、原则和目标。规划选取2015为基准年，规划水平年为2020年和2030年。本次规划的主要成果摘要如下：</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黑体_GBK" w:hAnsi="方正黑体_GBK" w:eastAsia="方正黑体_GBK" w:cs="方正黑体_GBK"/>
          <w:kern w:val="0"/>
          <w:sz w:val="32"/>
          <w:szCs w:val="32"/>
          <w:shd w:val="clear" w:color="auto" w:fill="FFFFFF"/>
          <w:lang w:val="en-US" w:eastAsia="zh-CN" w:bidi="ar-SA"/>
        </w:rPr>
      </w:pPr>
      <w:r>
        <w:rPr>
          <w:rFonts w:hint="eastAsia" w:ascii="方正黑体_GBK" w:hAnsi="方正黑体_GBK" w:eastAsia="方正黑体_GBK" w:cs="方正黑体_GBK"/>
          <w:kern w:val="0"/>
          <w:sz w:val="32"/>
          <w:szCs w:val="32"/>
          <w:shd w:val="clear" w:color="auto" w:fill="FFFFFF"/>
          <w:lang w:val="en-US" w:eastAsia="zh-CN" w:bidi="ar-SA"/>
        </w:rPr>
        <w:t>1、水资源数量　</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按照1956～2015年系列，全市多年平均水资源总量为16.53亿</w:t>
      </w:r>
      <w:r>
        <w:rPr>
          <w:rFonts w:hint="eastAsia" w:ascii="Times New Roman" w:hAnsi="Times New Roman" w:eastAsia="方正仿宋_GBK" w:cs="Times New Roman"/>
          <w:kern w:val="0"/>
          <w:sz w:val="32"/>
          <w:szCs w:val="32"/>
          <w:shd w:val="clear" w:color="auto" w:fill="FFFFFF"/>
          <w:lang w:val="en-US" w:eastAsia="zh-CN" w:bidi="ar-SA"/>
        </w:rPr>
        <w:t>m³</w:t>
      </w:r>
      <w:r>
        <w:rPr>
          <w:rFonts w:hint="default" w:ascii="Times New Roman" w:hAnsi="Times New Roman" w:eastAsia="方正仿宋_GBK" w:cs="Times New Roman"/>
          <w:kern w:val="0"/>
          <w:sz w:val="32"/>
          <w:szCs w:val="32"/>
          <w:shd w:val="clear" w:color="auto" w:fill="FFFFFF"/>
          <w:lang w:val="en-US" w:eastAsia="zh-CN" w:bidi="ar-SA"/>
        </w:rPr>
        <w:t>，其中地表水资源量14.06亿</w:t>
      </w:r>
      <w:r>
        <w:rPr>
          <w:rFonts w:hint="eastAsia" w:ascii="Times New Roman" w:hAnsi="Times New Roman" w:eastAsia="方正仿宋_GBK" w:cs="Times New Roman"/>
          <w:kern w:val="0"/>
          <w:sz w:val="32"/>
          <w:szCs w:val="32"/>
          <w:shd w:val="clear" w:color="auto" w:fill="FFFFFF"/>
          <w:lang w:val="en-US" w:eastAsia="zh-CN" w:bidi="ar-SA"/>
        </w:rPr>
        <w:t>m³</w:t>
      </w:r>
      <w:r>
        <w:rPr>
          <w:rFonts w:hint="default" w:ascii="Times New Roman" w:hAnsi="Times New Roman" w:eastAsia="方正仿宋_GBK" w:cs="Times New Roman"/>
          <w:kern w:val="0"/>
          <w:sz w:val="32"/>
          <w:szCs w:val="32"/>
          <w:shd w:val="clear" w:color="auto" w:fill="FFFFFF"/>
          <w:lang w:val="en-US" w:eastAsia="zh-CN" w:bidi="ar-SA"/>
        </w:rPr>
        <w:t>，地下水资源量5.75亿</w:t>
      </w:r>
      <w:r>
        <w:rPr>
          <w:rFonts w:hint="eastAsia" w:ascii="Times New Roman" w:hAnsi="Times New Roman" w:eastAsia="方正仿宋_GBK" w:cs="Times New Roman"/>
          <w:kern w:val="0"/>
          <w:sz w:val="32"/>
          <w:szCs w:val="32"/>
          <w:shd w:val="clear" w:color="auto" w:fill="FFFFFF"/>
          <w:lang w:val="en-US" w:eastAsia="zh-CN" w:bidi="ar-SA"/>
        </w:rPr>
        <w:t>m³</w:t>
      </w:r>
      <w:r>
        <w:rPr>
          <w:rFonts w:hint="default" w:ascii="Times New Roman" w:hAnsi="Times New Roman" w:eastAsia="方正仿宋_GBK" w:cs="Times New Roman"/>
          <w:kern w:val="0"/>
          <w:sz w:val="32"/>
          <w:szCs w:val="32"/>
          <w:shd w:val="clear" w:color="auto" w:fill="FFFFFF"/>
          <w:lang w:val="en-US" w:eastAsia="zh-CN" w:bidi="ar-SA"/>
        </w:rPr>
        <w:t>，地表与地下不重复计算量为2.47亿</w:t>
      </w:r>
      <w:r>
        <w:rPr>
          <w:rFonts w:hint="eastAsia" w:ascii="Times New Roman" w:hAnsi="Times New Roman" w:eastAsia="方正仿宋_GBK" w:cs="Times New Roman"/>
          <w:kern w:val="0"/>
          <w:sz w:val="32"/>
          <w:szCs w:val="32"/>
          <w:shd w:val="clear" w:color="auto" w:fill="FFFFFF"/>
          <w:lang w:val="en-US" w:eastAsia="zh-CN" w:bidi="ar-SA"/>
        </w:rPr>
        <w:t>m³</w:t>
      </w:r>
      <w:r>
        <w:rPr>
          <w:rFonts w:hint="default" w:ascii="Times New Roman" w:hAnsi="Times New Roman" w:eastAsia="方正仿宋_GBK" w:cs="Times New Roman"/>
          <w:kern w:val="0"/>
          <w:sz w:val="32"/>
          <w:szCs w:val="32"/>
          <w:shd w:val="clear" w:color="auto" w:fill="FFFFFF"/>
          <w:lang w:val="en-US" w:eastAsia="zh-CN" w:bidi="ar-SA"/>
        </w:rPr>
        <w:t>，人均水资源占有量481.8</w:t>
      </w:r>
      <w:r>
        <w:rPr>
          <w:rFonts w:hint="eastAsia" w:ascii="Times New Roman" w:hAnsi="Times New Roman" w:eastAsia="方正仿宋_GBK" w:cs="Times New Roman"/>
          <w:kern w:val="0"/>
          <w:sz w:val="32"/>
          <w:szCs w:val="32"/>
          <w:shd w:val="clear" w:color="auto" w:fill="FFFFFF"/>
          <w:lang w:val="en-US" w:eastAsia="zh-CN" w:bidi="ar-SA"/>
        </w:rPr>
        <w:t>m³</w:t>
      </w:r>
      <w:r>
        <w:rPr>
          <w:rFonts w:hint="default" w:ascii="Times New Roman" w:hAnsi="Times New Roman" w:eastAsia="方正仿宋_GBK" w:cs="Times New Roman"/>
          <w:kern w:val="0"/>
          <w:sz w:val="32"/>
          <w:szCs w:val="32"/>
          <w:shd w:val="clear" w:color="auto" w:fill="FFFFFF"/>
          <w:lang w:val="en-US" w:eastAsia="zh-CN" w:bidi="ar-SA"/>
        </w:rPr>
        <w:t>（常住人口）。</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黑体_GBK" w:hAnsi="方正黑体_GBK" w:eastAsia="方正黑体_GBK" w:cs="方正黑体_GBK"/>
          <w:kern w:val="0"/>
          <w:sz w:val="32"/>
          <w:szCs w:val="32"/>
          <w:shd w:val="clear" w:color="auto" w:fill="FFFFFF"/>
          <w:lang w:val="en-US" w:eastAsia="zh-CN" w:bidi="ar-SA"/>
        </w:rPr>
      </w:pPr>
      <w:r>
        <w:rPr>
          <w:rFonts w:hint="eastAsia" w:ascii="方正黑体_GBK" w:hAnsi="方正黑体_GBK" w:eastAsia="方正黑体_GBK" w:cs="方正黑体_GBK"/>
          <w:kern w:val="0"/>
          <w:sz w:val="32"/>
          <w:szCs w:val="32"/>
          <w:shd w:val="clear" w:color="auto" w:fill="FFFFFF"/>
          <w:lang w:val="en-US" w:eastAsia="zh-CN" w:bidi="ar-SA"/>
        </w:rPr>
        <w:t>2、水资源质量评价　</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淮南市境内主要河流和渠道上共设置13个重点水质监测断面，根据主要河流取样监测结果显示，全市大部河流水质尚好。淮南市境内的大型湖泊及中型水库设置7个监测点。监测结果表明，全市境内湖泊及水库水质总体较好。</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黑体_GBK" w:hAnsi="方正黑体_GBK" w:eastAsia="方正黑体_GBK" w:cs="方正黑体_GBK"/>
          <w:kern w:val="0"/>
          <w:sz w:val="32"/>
          <w:szCs w:val="32"/>
          <w:shd w:val="clear" w:color="auto" w:fill="FFFFFF"/>
          <w:lang w:val="en-US" w:eastAsia="zh-CN" w:bidi="ar-SA"/>
        </w:rPr>
      </w:pPr>
      <w:r>
        <w:rPr>
          <w:rFonts w:hint="eastAsia" w:ascii="方正黑体_GBK" w:hAnsi="方正黑体_GBK" w:eastAsia="方正黑体_GBK" w:cs="方正黑体_GBK"/>
          <w:kern w:val="0"/>
          <w:sz w:val="32"/>
          <w:szCs w:val="32"/>
          <w:shd w:val="clear" w:color="auto" w:fill="FFFFFF"/>
          <w:lang w:val="en-US" w:eastAsia="zh-CN" w:bidi="ar-SA"/>
        </w:rPr>
        <w:t>3、水资源开发利用</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本次无特殊说明供水量里均不含贯流式火电冷却用水和再生水。</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2015年淮南市供水总量18.05亿</w:t>
      </w:r>
      <w:r>
        <w:rPr>
          <w:rFonts w:hint="eastAsia" w:ascii="Times New Roman" w:hAnsi="Times New Roman" w:eastAsia="方正仿宋_GBK" w:cs="Times New Roman"/>
          <w:kern w:val="0"/>
          <w:sz w:val="32"/>
          <w:szCs w:val="32"/>
          <w:shd w:val="clear" w:color="auto" w:fill="FFFFFF"/>
          <w:lang w:val="en-US" w:eastAsia="zh-CN" w:bidi="ar-SA"/>
        </w:rPr>
        <w:t>m³</w:t>
      </w:r>
      <w:r>
        <w:rPr>
          <w:rFonts w:hint="default" w:ascii="Times New Roman" w:hAnsi="Times New Roman" w:eastAsia="方正仿宋_GBK" w:cs="Times New Roman"/>
          <w:kern w:val="0"/>
          <w:sz w:val="32"/>
          <w:szCs w:val="32"/>
          <w:shd w:val="clear" w:color="auto" w:fill="FFFFFF"/>
          <w:lang w:val="en-US" w:eastAsia="zh-CN" w:bidi="ar-SA"/>
        </w:rPr>
        <w:t>，地表水供水量16.80亿m³，地下水供水量1.07亿m³，再生水0.18亿m³。其中蓄、引、提水工程供水量分别为6.60、1.36和8.84亿</w:t>
      </w:r>
      <w:r>
        <w:rPr>
          <w:rFonts w:hint="eastAsia" w:ascii="Times New Roman" w:hAnsi="Times New Roman" w:eastAsia="方正仿宋_GBK" w:cs="Times New Roman"/>
          <w:kern w:val="0"/>
          <w:sz w:val="32"/>
          <w:szCs w:val="32"/>
          <w:shd w:val="clear" w:color="auto" w:fill="FFFFFF"/>
          <w:lang w:val="en-US" w:eastAsia="zh-CN" w:bidi="ar-SA"/>
        </w:rPr>
        <w:t>m³</w:t>
      </w:r>
      <w:r>
        <w:rPr>
          <w:rFonts w:hint="default" w:ascii="Times New Roman" w:hAnsi="Times New Roman" w:eastAsia="方正仿宋_GBK" w:cs="Times New Roman"/>
          <w:kern w:val="0"/>
          <w:sz w:val="32"/>
          <w:szCs w:val="32"/>
          <w:shd w:val="clear" w:color="auto" w:fill="FFFFFF"/>
          <w:lang w:val="en-US" w:eastAsia="zh-CN" w:bidi="ar-SA"/>
        </w:rPr>
        <w:t>，分别占地表水供水总量的39.3%、8.1%和52.6%。</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2015年淮南市总用水量18.05亿</w:t>
      </w:r>
      <w:r>
        <w:rPr>
          <w:rFonts w:hint="eastAsia" w:ascii="Times New Roman" w:hAnsi="Times New Roman" w:eastAsia="方正仿宋_GBK" w:cs="Times New Roman"/>
          <w:kern w:val="0"/>
          <w:sz w:val="32"/>
          <w:szCs w:val="32"/>
          <w:shd w:val="clear" w:color="auto" w:fill="FFFFFF"/>
          <w:lang w:val="en-US" w:eastAsia="zh-CN" w:bidi="ar-SA"/>
        </w:rPr>
        <w:t>m³</w:t>
      </w:r>
      <w:r>
        <w:rPr>
          <w:rFonts w:hint="default" w:ascii="Times New Roman" w:hAnsi="Times New Roman" w:eastAsia="方正仿宋_GBK" w:cs="Times New Roman"/>
          <w:kern w:val="0"/>
          <w:sz w:val="32"/>
          <w:szCs w:val="32"/>
          <w:shd w:val="clear" w:color="auto" w:fill="FFFFFF"/>
          <w:lang w:val="en-US" w:eastAsia="zh-CN" w:bidi="ar-SA"/>
        </w:rPr>
        <w:t>，其中生活、工业、农业、生态用水结构分别为10.7%、15.6%、71.8%和1.9%。与2010年（总水量22.94亿</w:t>
      </w:r>
      <w:r>
        <w:rPr>
          <w:rFonts w:hint="eastAsia" w:ascii="Times New Roman" w:hAnsi="Times New Roman" w:eastAsia="方正仿宋_GBK" w:cs="Times New Roman"/>
          <w:kern w:val="0"/>
          <w:sz w:val="32"/>
          <w:szCs w:val="32"/>
          <w:shd w:val="clear" w:color="auto" w:fill="FFFFFF"/>
          <w:lang w:val="en-US" w:eastAsia="zh-CN" w:bidi="ar-SA"/>
        </w:rPr>
        <w:t>m³</w:t>
      </w:r>
      <w:r>
        <w:rPr>
          <w:rFonts w:hint="default" w:ascii="Times New Roman" w:hAnsi="Times New Roman" w:eastAsia="方正仿宋_GBK" w:cs="Times New Roman"/>
          <w:kern w:val="0"/>
          <w:sz w:val="32"/>
          <w:szCs w:val="32"/>
          <w:shd w:val="clear" w:color="auto" w:fill="FFFFFF"/>
          <w:lang w:val="en-US" w:eastAsia="zh-CN" w:bidi="ar-SA"/>
        </w:rPr>
        <w:t>）相比，全市用水量年下降率为4.7%。2015年淮南市耗水总量8.59亿</w:t>
      </w:r>
      <w:r>
        <w:rPr>
          <w:rFonts w:hint="eastAsia" w:ascii="Times New Roman" w:hAnsi="Times New Roman" w:eastAsia="方正仿宋_GBK" w:cs="Times New Roman"/>
          <w:kern w:val="0"/>
          <w:sz w:val="32"/>
          <w:szCs w:val="32"/>
          <w:shd w:val="clear" w:color="auto" w:fill="FFFFFF"/>
          <w:lang w:val="en-US" w:eastAsia="zh-CN" w:bidi="ar-SA"/>
        </w:rPr>
        <w:t>m³</w:t>
      </w:r>
      <w:r>
        <w:rPr>
          <w:rFonts w:hint="default" w:ascii="Times New Roman" w:hAnsi="Times New Roman" w:eastAsia="方正仿宋_GBK" w:cs="Times New Roman"/>
          <w:kern w:val="0"/>
          <w:sz w:val="32"/>
          <w:szCs w:val="32"/>
          <w:shd w:val="clear" w:color="auto" w:fill="FFFFFF"/>
          <w:lang w:val="en-US" w:eastAsia="zh-CN" w:bidi="ar-SA"/>
        </w:rPr>
        <w:t>，平均耗水率为47.6%。</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2015年淮南市人均用水量为526.1</w:t>
      </w:r>
      <w:r>
        <w:rPr>
          <w:rFonts w:hint="eastAsia" w:ascii="Times New Roman" w:hAnsi="Times New Roman" w:eastAsia="方正仿宋_GBK" w:cs="Times New Roman"/>
          <w:kern w:val="0"/>
          <w:sz w:val="32"/>
          <w:szCs w:val="32"/>
          <w:shd w:val="clear" w:color="auto" w:fill="FFFFFF"/>
          <w:lang w:val="en-US" w:eastAsia="zh-CN" w:bidi="ar-SA"/>
        </w:rPr>
        <w:t>m³</w:t>
      </w:r>
      <w:r>
        <w:rPr>
          <w:rFonts w:hint="default" w:ascii="Times New Roman" w:hAnsi="Times New Roman" w:eastAsia="方正仿宋_GBK" w:cs="Times New Roman"/>
          <w:kern w:val="0"/>
          <w:sz w:val="32"/>
          <w:szCs w:val="32"/>
          <w:shd w:val="clear" w:color="auto" w:fill="FFFFFF"/>
          <w:lang w:val="en-US" w:eastAsia="zh-CN" w:bidi="ar-SA"/>
        </w:rPr>
        <w:t>/人（按常住人口计算），单位GDP用水量200</w:t>
      </w:r>
      <w:r>
        <w:rPr>
          <w:rFonts w:hint="eastAsia" w:ascii="Times New Roman" w:hAnsi="Times New Roman" w:eastAsia="方正仿宋_GBK" w:cs="Times New Roman"/>
          <w:kern w:val="0"/>
          <w:sz w:val="32"/>
          <w:szCs w:val="32"/>
          <w:shd w:val="clear" w:color="auto" w:fill="FFFFFF"/>
          <w:lang w:val="en-US" w:eastAsia="zh-CN" w:bidi="ar-SA"/>
        </w:rPr>
        <w:t>m³</w:t>
      </w:r>
      <w:r>
        <w:rPr>
          <w:rFonts w:hint="default" w:ascii="Times New Roman" w:hAnsi="Times New Roman" w:eastAsia="方正仿宋_GBK" w:cs="Times New Roman"/>
          <w:kern w:val="0"/>
          <w:sz w:val="32"/>
          <w:szCs w:val="32"/>
          <w:shd w:val="clear" w:color="auto" w:fill="FFFFFF"/>
          <w:lang w:val="en-US" w:eastAsia="zh-CN" w:bidi="ar-SA"/>
        </w:rPr>
        <w:t>/万元。自2010～2015年，淮南市随着人均GDP的增长，全市单位GDP用水量呈现明显下降趋势，用水效率明显提高。工业用水定额不断下降，生活用水定额相对稳定。</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黑体_GBK" w:hAnsi="方正黑体_GBK" w:eastAsia="方正黑体_GBK" w:cs="方正黑体_GBK"/>
          <w:kern w:val="0"/>
          <w:sz w:val="32"/>
          <w:szCs w:val="32"/>
          <w:shd w:val="clear" w:color="auto" w:fill="FFFFFF"/>
          <w:lang w:val="en-US" w:eastAsia="zh-CN" w:bidi="ar-SA"/>
        </w:rPr>
      </w:pPr>
      <w:r>
        <w:rPr>
          <w:rFonts w:hint="eastAsia" w:ascii="方正黑体_GBK" w:hAnsi="方正黑体_GBK" w:eastAsia="方正黑体_GBK" w:cs="方正黑体_GBK"/>
          <w:kern w:val="0"/>
          <w:sz w:val="32"/>
          <w:szCs w:val="32"/>
          <w:shd w:val="clear" w:color="auto" w:fill="FFFFFF"/>
          <w:lang w:val="en-US" w:eastAsia="zh-CN" w:bidi="ar-SA"/>
        </w:rPr>
        <w:t>4、需水量预测分析</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依据现状水平年（2015年）用水情况，推算多年平均、50%、75%和95%保证率条件下，淮南市总需水量分别为19.36亿</w:t>
      </w:r>
      <w:r>
        <w:rPr>
          <w:rFonts w:hint="eastAsia" w:ascii="Times New Roman" w:hAnsi="Times New Roman" w:eastAsia="方正仿宋_GBK" w:cs="Times New Roman"/>
          <w:kern w:val="0"/>
          <w:sz w:val="32"/>
          <w:szCs w:val="32"/>
          <w:shd w:val="clear" w:color="auto" w:fill="FFFFFF"/>
          <w:lang w:val="en-US" w:eastAsia="zh-CN" w:bidi="ar-SA"/>
        </w:rPr>
        <w:t>m³</w:t>
      </w:r>
      <w:r>
        <w:rPr>
          <w:rFonts w:hint="default" w:ascii="Times New Roman" w:hAnsi="Times New Roman" w:eastAsia="方正仿宋_GBK" w:cs="Times New Roman"/>
          <w:kern w:val="0"/>
          <w:sz w:val="32"/>
          <w:szCs w:val="32"/>
          <w:shd w:val="clear" w:color="auto" w:fill="FFFFFF"/>
          <w:lang w:val="en-US" w:eastAsia="zh-CN" w:bidi="ar-SA"/>
        </w:rPr>
        <w:t>、16.87亿</w:t>
      </w:r>
      <w:r>
        <w:rPr>
          <w:rFonts w:hint="eastAsia" w:ascii="Times New Roman" w:hAnsi="Times New Roman" w:eastAsia="方正仿宋_GBK" w:cs="Times New Roman"/>
          <w:kern w:val="0"/>
          <w:sz w:val="32"/>
          <w:szCs w:val="32"/>
          <w:shd w:val="clear" w:color="auto" w:fill="FFFFFF"/>
          <w:lang w:val="en-US" w:eastAsia="zh-CN" w:bidi="ar-SA"/>
        </w:rPr>
        <w:t>m³</w:t>
      </w:r>
      <w:r>
        <w:rPr>
          <w:rFonts w:hint="default" w:ascii="Times New Roman" w:hAnsi="Times New Roman" w:eastAsia="方正仿宋_GBK" w:cs="Times New Roman"/>
          <w:kern w:val="0"/>
          <w:sz w:val="32"/>
          <w:szCs w:val="32"/>
          <w:shd w:val="clear" w:color="auto" w:fill="FFFFFF"/>
          <w:lang w:val="en-US" w:eastAsia="zh-CN" w:bidi="ar-SA"/>
        </w:rPr>
        <w:t>、21.65亿</w:t>
      </w:r>
      <w:r>
        <w:rPr>
          <w:rFonts w:hint="eastAsia" w:ascii="Times New Roman" w:hAnsi="Times New Roman" w:eastAsia="方正仿宋_GBK" w:cs="Times New Roman"/>
          <w:kern w:val="0"/>
          <w:sz w:val="32"/>
          <w:szCs w:val="32"/>
          <w:shd w:val="clear" w:color="auto" w:fill="FFFFFF"/>
          <w:lang w:val="en-US" w:eastAsia="zh-CN" w:bidi="ar-SA"/>
        </w:rPr>
        <w:t>m³</w:t>
      </w:r>
      <w:r>
        <w:rPr>
          <w:rFonts w:hint="default" w:ascii="Times New Roman" w:hAnsi="Times New Roman" w:eastAsia="方正仿宋_GBK" w:cs="Times New Roman"/>
          <w:kern w:val="0"/>
          <w:sz w:val="32"/>
          <w:szCs w:val="32"/>
          <w:shd w:val="clear" w:color="auto" w:fill="FFFFFF"/>
          <w:lang w:val="en-US" w:eastAsia="zh-CN" w:bidi="ar-SA"/>
        </w:rPr>
        <w:t>、和30.34亿</w:t>
      </w:r>
      <w:r>
        <w:rPr>
          <w:rFonts w:hint="eastAsia" w:ascii="Times New Roman" w:hAnsi="Times New Roman" w:eastAsia="方正仿宋_GBK" w:cs="Times New Roman"/>
          <w:kern w:val="0"/>
          <w:sz w:val="32"/>
          <w:szCs w:val="32"/>
          <w:shd w:val="clear" w:color="auto" w:fill="FFFFFF"/>
          <w:lang w:val="en-US" w:eastAsia="zh-CN" w:bidi="ar-SA"/>
        </w:rPr>
        <w:t>m³</w:t>
      </w:r>
      <w:r>
        <w:rPr>
          <w:rFonts w:hint="default" w:ascii="Times New Roman" w:hAnsi="Times New Roman" w:eastAsia="方正仿宋_GBK" w:cs="Times New Roman"/>
          <w:kern w:val="0"/>
          <w:sz w:val="32"/>
          <w:szCs w:val="32"/>
          <w:shd w:val="clear" w:color="auto" w:fill="FFFFFF"/>
          <w:lang w:val="en-US" w:eastAsia="zh-CN" w:bidi="ar-SA"/>
        </w:rPr>
        <w:t>。预测至2020年全市GDP将达到1500亿元，城镇化率达到65%，多年平均、50%、75%和95%保证率条件下，淮南市总需水量分别为20.97亿</w:t>
      </w:r>
      <w:r>
        <w:rPr>
          <w:rFonts w:hint="eastAsia" w:ascii="Times New Roman" w:hAnsi="Times New Roman" w:eastAsia="方正仿宋_GBK" w:cs="Times New Roman"/>
          <w:kern w:val="0"/>
          <w:sz w:val="32"/>
          <w:szCs w:val="32"/>
          <w:shd w:val="clear" w:color="auto" w:fill="FFFFFF"/>
          <w:lang w:val="en-US" w:eastAsia="zh-CN" w:bidi="ar-SA"/>
        </w:rPr>
        <w:t>m³</w:t>
      </w:r>
      <w:r>
        <w:rPr>
          <w:rFonts w:hint="default" w:ascii="Times New Roman" w:hAnsi="Times New Roman" w:eastAsia="方正仿宋_GBK" w:cs="Times New Roman"/>
          <w:kern w:val="0"/>
          <w:sz w:val="32"/>
          <w:szCs w:val="32"/>
          <w:shd w:val="clear" w:color="auto" w:fill="FFFFFF"/>
          <w:lang w:val="en-US" w:eastAsia="zh-CN" w:bidi="ar-SA"/>
        </w:rPr>
        <w:t>、18.64亿</w:t>
      </w:r>
      <w:r>
        <w:rPr>
          <w:rFonts w:hint="eastAsia" w:ascii="Times New Roman" w:hAnsi="Times New Roman" w:eastAsia="方正仿宋_GBK" w:cs="Times New Roman"/>
          <w:kern w:val="0"/>
          <w:sz w:val="32"/>
          <w:szCs w:val="32"/>
          <w:shd w:val="clear" w:color="auto" w:fill="FFFFFF"/>
          <w:lang w:val="en-US" w:eastAsia="zh-CN" w:bidi="ar-SA"/>
        </w:rPr>
        <w:t>m³</w:t>
      </w:r>
      <w:r>
        <w:rPr>
          <w:rFonts w:hint="default" w:ascii="Times New Roman" w:hAnsi="Times New Roman" w:eastAsia="方正仿宋_GBK" w:cs="Times New Roman"/>
          <w:kern w:val="0"/>
          <w:sz w:val="32"/>
          <w:szCs w:val="32"/>
          <w:shd w:val="clear" w:color="auto" w:fill="FFFFFF"/>
          <w:lang w:val="en-US" w:eastAsia="zh-CN" w:bidi="ar-SA"/>
        </w:rPr>
        <w:t>、23.52亿</w:t>
      </w:r>
      <w:r>
        <w:rPr>
          <w:rFonts w:hint="eastAsia" w:ascii="Times New Roman" w:hAnsi="Times New Roman" w:eastAsia="方正仿宋_GBK" w:cs="Times New Roman"/>
          <w:kern w:val="0"/>
          <w:sz w:val="32"/>
          <w:szCs w:val="32"/>
          <w:shd w:val="clear" w:color="auto" w:fill="FFFFFF"/>
          <w:lang w:val="en-US" w:eastAsia="zh-CN" w:bidi="ar-SA"/>
        </w:rPr>
        <w:t>m³</w:t>
      </w:r>
      <w:r>
        <w:rPr>
          <w:rFonts w:hint="default" w:ascii="Times New Roman" w:hAnsi="Times New Roman" w:eastAsia="方正仿宋_GBK" w:cs="Times New Roman"/>
          <w:kern w:val="0"/>
          <w:sz w:val="32"/>
          <w:szCs w:val="32"/>
          <w:shd w:val="clear" w:color="auto" w:fill="FFFFFF"/>
          <w:lang w:val="en-US" w:eastAsia="zh-CN" w:bidi="ar-SA"/>
        </w:rPr>
        <w:t>、和32.30亿</w:t>
      </w:r>
      <w:r>
        <w:rPr>
          <w:rFonts w:hint="eastAsia" w:ascii="Times New Roman" w:hAnsi="Times New Roman" w:eastAsia="方正仿宋_GBK" w:cs="Times New Roman"/>
          <w:kern w:val="0"/>
          <w:sz w:val="32"/>
          <w:szCs w:val="32"/>
          <w:shd w:val="clear" w:color="auto" w:fill="FFFFFF"/>
          <w:lang w:val="en-US" w:eastAsia="zh-CN" w:bidi="ar-SA"/>
        </w:rPr>
        <w:t>m³</w:t>
      </w:r>
      <w:r>
        <w:rPr>
          <w:rFonts w:hint="default" w:ascii="Times New Roman" w:hAnsi="Times New Roman" w:eastAsia="方正仿宋_GBK" w:cs="Times New Roman"/>
          <w:kern w:val="0"/>
          <w:sz w:val="32"/>
          <w:szCs w:val="32"/>
          <w:shd w:val="clear" w:color="auto" w:fill="FFFFFF"/>
          <w:lang w:val="en-US" w:eastAsia="zh-CN" w:bidi="ar-SA"/>
        </w:rPr>
        <w:t>；至2030年GDP总量达到2500亿元，城镇化率达到75%，多年平均、50%、75%和95%保证率条件下，淮南市总需水量分别为21.91亿</w:t>
      </w:r>
      <w:r>
        <w:rPr>
          <w:rFonts w:hint="eastAsia" w:ascii="Times New Roman" w:hAnsi="Times New Roman" w:eastAsia="方正仿宋_GBK" w:cs="Times New Roman"/>
          <w:kern w:val="0"/>
          <w:sz w:val="32"/>
          <w:szCs w:val="32"/>
          <w:shd w:val="clear" w:color="auto" w:fill="FFFFFF"/>
          <w:lang w:val="en-US" w:eastAsia="zh-CN" w:bidi="ar-SA"/>
        </w:rPr>
        <w:t>m³</w:t>
      </w:r>
      <w:r>
        <w:rPr>
          <w:rFonts w:hint="default" w:ascii="Times New Roman" w:hAnsi="Times New Roman" w:eastAsia="方正仿宋_GBK" w:cs="Times New Roman"/>
          <w:kern w:val="0"/>
          <w:sz w:val="32"/>
          <w:szCs w:val="32"/>
          <w:shd w:val="clear" w:color="auto" w:fill="FFFFFF"/>
          <w:lang w:val="en-US" w:eastAsia="zh-CN" w:bidi="ar-SA"/>
        </w:rPr>
        <w:t>、19.75亿</w:t>
      </w:r>
      <w:r>
        <w:rPr>
          <w:rFonts w:hint="eastAsia" w:ascii="Times New Roman" w:hAnsi="Times New Roman" w:eastAsia="方正仿宋_GBK" w:cs="Times New Roman"/>
          <w:kern w:val="0"/>
          <w:sz w:val="32"/>
          <w:szCs w:val="32"/>
          <w:shd w:val="clear" w:color="auto" w:fill="FFFFFF"/>
          <w:lang w:val="en-US" w:eastAsia="zh-CN" w:bidi="ar-SA"/>
        </w:rPr>
        <w:t>m³</w:t>
      </w:r>
      <w:r>
        <w:rPr>
          <w:rFonts w:hint="default" w:ascii="Times New Roman" w:hAnsi="Times New Roman" w:eastAsia="方正仿宋_GBK" w:cs="Times New Roman"/>
          <w:kern w:val="0"/>
          <w:sz w:val="32"/>
          <w:szCs w:val="32"/>
          <w:shd w:val="clear" w:color="auto" w:fill="FFFFFF"/>
          <w:lang w:val="en-US" w:eastAsia="zh-CN" w:bidi="ar-SA"/>
        </w:rPr>
        <w:t>、24.44亿</w:t>
      </w:r>
      <w:r>
        <w:rPr>
          <w:rFonts w:hint="eastAsia" w:ascii="Times New Roman" w:hAnsi="Times New Roman" w:eastAsia="方正仿宋_GBK" w:cs="Times New Roman"/>
          <w:kern w:val="0"/>
          <w:sz w:val="32"/>
          <w:szCs w:val="32"/>
          <w:shd w:val="clear" w:color="auto" w:fill="FFFFFF"/>
          <w:lang w:val="en-US" w:eastAsia="zh-CN" w:bidi="ar-SA"/>
        </w:rPr>
        <w:t>m³</w:t>
      </w:r>
      <w:r>
        <w:rPr>
          <w:rFonts w:hint="default" w:ascii="Times New Roman" w:hAnsi="Times New Roman" w:eastAsia="方正仿宋_GBK" w:cs="Times New Roman"/>
          <w:kern w:val="0"/>
          <w:sz w:val="32"/>
          <w:szCs w:val="32"/>
          <w:shd w:val="clear" w:color="auto" w:fill="FFFFFF"/>
          <w:lang w:val="en-US" w:eastAsia="zh-CN" w:bidi="ar-SA"/>
        </w:rPr>
        <w:t>、和33.02亿</w:t>
      </w:r>
      <w:r>
        <w:rPr>
          <w:rFonts w:hint="eastAsia" w:ascii="Times New Roman" w:hAnsi="Times New Roman" w:eastAsia="方正仿宋_GBK" w:cs="Times New Roman"/>
          <w:kern w:val="0"/>
          <w:sz w:val="32"/>
          <w:szCs w:val="32"/>
          <w:shd w:val="clear" w:color="auto" w:fill="FFFFFF"/>
          <w:lang w:val="en-US" w:eastAsia="zh-CN" w:bidi="ar-SA"/>
        </w:rPr>
        <w:t>m³</w:t>
      </w:r>
      <w:r>
        <w:rPr>
          <w:rFonts w:hint="default" w:ascii="Times New Roman" w:hAnsi="Times New Roman" w:eastAsia="方正仿宋_GBK" w:cs="Times New Roman"/>
          <w:kern w:val="0"/>
          <w:sz w:val="32"/>
          <w:szCs w:val="32"/>
          <w:shd w:val="clear" w:color="auto" w:fill="FFFFFF"/>
          <w:lang w:val="en-US" w:eastAsia="zh-CN" w:bidi="ar-SA"/>
        </w:rPr>
        <w:t>。</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多年平均条件下，农业需水2015、2020、2030年占总用水量的比例分别为73.7%、67.0%、62.1%，比例呈逐年减少的趋势；工业需水2015、2020、2030年占总用水量的比例分别为14.5%、18.5%、20.7%，比例呈逐年增加的趋势；生活需水2015、2020、2030年占总用水量的比例分别为10.0%、11.4%、13.3%，比例呈逐年增加的趋势；生态环境需水（河道外需水）2015、2020、2030年占总用水量的比例分别为1.8%、3.1%、4.0%，比例呈逐年增加的趋势。工农业生产及生活需水比例的变化，一方面反映了规划期社会经济结构转换进程中受城镇化、工业化、农业现代化的影响，另一方面由于加大了农业灌溉节水力度，这与淮南市产业结构的调整和社会经济的发展趋势基本相一致。</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黑体_GBK" w:hAnsi="方正黑体_GBK" w:eastAsia="方正黑体_GBK" w:cs="方正黑体_GBK"/>
          <w:kern w:val="0"/>
          <w:sz w:val="32"/>
          <w:szCs w:val="32"/>
          <w:shd w:val="clear" w:color="auto" w:fill="FFFFFF"/>
          <w:lang w:val="en-US" w:eastAsia="zh-CN" w:bidi="ar-SA"/>
        </w:rPr>
      </w:pPr>
      <w:r>
        <w:rPr>
          <w:rFonts w:hint="eastAsia" w:ascii="方正黑体_GBK" w:hAnsi="方正黑体_GBK" w:eastAsia="方正黑体_GBK" w:cs="方正黑体_GBK"/>
          <w:kern w:val="0"/>
          <w:sz w:val="32"/>
          <w:szCs w:val="32"/>
          <w:shd w:val="clear" w:color="auto" w:fill="FFFFFF"/>
          <w:lang w:val="en-US" w:eastAsia="zh-CN" w:bidi="ar-SA"/>
        </w:rPr>
        <w:t xml:space="preserve">5、节约用水规划  </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根据淮南市“十三五”时期经济社会发展的新形势及新时期节水型社会建设的新要求，加快建设资源节约型、环境友好型社会，坚持以水定产、以水定城，充分发挥水资源管理约束与引导作用，积极转变经济发展方式，转变用水观念和用水方式，在全社会形成倡导节水型生产模式和消费模式的良好氛围。</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到2020年，淮南市节水型社会建设取得初步成效，水资源利用效率和效益明显提高。用水结构进一步优化，用水方式得到切实转变，最严格的水资源管理制度体系以及水资源合理配置、高效利用与有效保护体系初步建立。全市用水总量控制在20.58亿m³以内，万元GDP用水量降低到140m³以下，较现状下降约35%。主要河湖水功能区水质明显改善，河湖功能区水质总体达标率提高到95%以上，城镇供水水源地水质全面达标。</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到2030年，淮南市水资源利用效率和效益显著提高，主要节水控制指标与发达地区指标差距进一步缩小。基本建成体系完整、制度完善、设施完备、用水高效、节水自律的节水型社会。全市用水总量控制在21.67亿m³以内，万元GDP用水量降低到88m³以下。水环境质量明显提升，主要污染物入河控制量在水功能区纳污能力范围之内，水功能区水质全部达标。</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eastAsia" w:ascii="方正楷体_GBK" w:hAnsi="方正楷体_GBK" w:eastAsia="方正楷体_GBK" w:cs="方正楷体_GBK"/>
          <w:b w:val="0"/>
          <w:bCs w:val="0"/>
          <w:kern w:val="0"/>
          <w:sz w:val="32"/>
          <w:szCs w:val="32"/>
          <w:shd w:val="clear" w:color="auto" w:fill="FFFFFF"/>
          <w:lang w:val="en-US" w:eastAsia="zh-CN" w:bidi="ar-SA"/>
        </w:rPr>
        <w:t>农业节水目标：</w:t>
      </w:r>
      <w:r>
        <w:rPr>
          <w:rFonts w:hint="default" w:ascii="Times New Roman" w:hAnsi="Times New Roman" w:eastAsia="方正仿宋_GBK" w:cs="Times New Roman"/>
          <w:kern w:val="0"/>
          <w:sz w:val="32"/>
          <w:szCs w:val="32"/>
          <w:shd w:val="clear" w:color="auto" w:fill="FFFFFF"/>
          <w:lang w:val="en-US" w:eastAsia="zh-CN" w:bidi="ar-SA"/>
        </w:rPr>
        <w:t>至2020年，经过对淠河灌区、茨淮新河灌区和永幸河灌区以及重点中小型灌区进行节水改造，新增节水灌溉面积10.85万亩，灌溉水利用系数提高到0.565。农业用水计量率达到50%以上；至2030年，继续对淠河灌区、茨淮新河灌区和永幸河灌区以及重点中小型灌区进行节水改造，新增节水灌溉面积较现状增加20万亩，灌溉水利用系数提高到0.60。农业用水计量率达到90%以上。</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eastAsia" w:ascii="方正楷体_GBK" w:hAnsi="方正楷体_GBK" w:eastAsia="方正楷体_GBK" w:cs="方正楷体_GBK"/>
          <w:b w:val="0"/>
          <w:bCs w:val="0"/>
          <w:kern w:val="0"/>
          <w:sz w:val="32"/>
          <w:szCs w:val="32"/>
          <w:shd w:val="clear" w:color="auto" w:fill="FFFFFF"/>
          <w:lang w:val="en-US" w:eastAsia="zh-CN" w:bidi="ar-SA"/>
        </w:rPr>
        <w:t>工业节水目标：</w:t>
      </w:r>
      <w:r>
        <w:rPr>
          <w:rFonts w:hint="default" w:ascii="Times New Roman" w:hAnsi="Times New Roman" w:eastAsia="方正仿宋_GBK" w:cs="Times New Roman"/>
          <w:kern w:val="0"/>
          <w:sz w:val="32"/>
          <w:szCs w:val="32"/>
          <w:shd w:val="clear" w:color="auto" w:fill="FFFFFF"/>
          <w:lang w:val="en-US" w:eastAsia="zh-CN" w:bidi="ar-SA"/>
        </w:rPr>
        <w:t>至2020年，工业万元增加值用水量控制在57m³，工业用水重复利用率达到92%以上；2030年，工业万元增加值用水量控制在40m³，工业用水重复利用率达到95%。</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eastAsia" w:ascii="方正楷体_GBK" w:hAnsi="方正楷体_GBK" w:eastAsia="方正楷体_GBK" w:cs="方正楷体_GBK"/>
          <w:b w:val="0"/>
          <w:bCs w:val="0"/>
          <w:kern w:val="0"/>
          <w:sz w:val="32"/>
          <w:szCs w:val="32"/>
          <w:shd w:val="clear" w:color="auto" w:fill="FFFFFF"/>
          <w:lang w:val="en-US" w:eastAsia="zh-CN" w:bidi="ar-SA"/>
        </w:rPr>
        <w:t>生活节水目标：</w:t>
      </w:r>
      <w:r>
        <w:rPr>
          <w:rFonts w:hint="default" w:ascii="Times New Roman" w:hAnsi="Times New Roman" w:eastAsia="方正仿宋_GBK" w:cs="Times New Roman"/>
          <w:kern w:val="0"/>
          <w:sz w:val="32"/>
          <w:szCs w:val="32"/>
          <w:shd w:val="clear" w:color="auto" w:fill="FFFFFF"/>
          <w:lang w:val="en-US" w:eastAsia="zh-CN" w:bidi="ar-SA"/>
        </w:rPr>
        <w:t>至2020年淮南城市管网漏损率控制在12%，节水器具普及率达到95%以上，城镇综合生活用水定额221L/人·d农村生活用水定额为90L/人·d；2030年淮南城市管网漏损率控制在8%以内，节水器具普及率达到100%，城镇综合生活用水定额330L/人·d农村生活用水定额为100L/人·d。</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eastAsia" w:ascii="方正楷体_GBK" w:hAnsi="方正楷体_GBK" w:eastAsia="方正楷体_GBK" w:cs="方正楷体_GBK"/>
          <w:b w:val="0"/>
          <w:bCs w:val="0"/>
          <w:kern w:val="0"/>
          <w:sz w:val="32"/>
          <w:szCs w:val="32"/>
          <w:shd w:val="clear" w:color="auto" w:fill="FFFFFF"/>
          <w:lang w:val="en-US" w:eastAsia="zh-CN" w:bidi="ar-SA"/>
        </w:rPr>
        <w:t>非常规水源利用目标：</w:t>
      </w:r>
      <w:r>
        <w:rPr>
          <w:rFonts w:hint="default" w:ascii="Times New Roman" w:hAnsi="Times New Roman" w:eastAsia="方正仿宋_GBK" w:cs="Times New Roman"/>
          <w:kern w:val="0"/>
          <w:sz w:val="32"/>
          <w:szCs w:val="32"/>
          <w:shd w:val="clear" w:color="auto" w:fill="FFFFFF"/>
          <w:lang w:val="en-US" w:eastAsia="zh-CN" w:bidi="ar-SA"/>
        </w:rPr>
        <w:t>至2020年全市再生水利用率达到30%以上，2030年达到50%以上。</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eastAsia" w:ascii="方正楷体_GBK" w:hAnsi="方正楷体_GBK" w:eastAsia="方正楷体_GBK" w:cs="方正楷体_GBK"/>
          <w:b w:val="0"/>
          <w:bCs w:val="0"/>
          <w:kern w:val="0"/>
          <w:sz w:val="32"/>
          <w:szCs w:val="32"/>
          <w:shd w:val="clear" w:color="auto" w:fill="FFFFFF"/>
          <w:lang w:val="en-US" w:eastAsia="zh-CN" w:bidi="ar-SA"/>
        </w:rPr>
        <w:t>节水载体建设目标：</w:t>
      </w:r>
      <w:r>
        <w:rPr>
          <w:rFonts w:hint="default" w:ascii="Times New Roman" w:hAnsi="Times New Roman" w:eastAsia="方正仿宋_GBK" w:cs="Times New Roman"/>
          <w:kern w:val="0"/>
          <w:sz w:val="32"/>
          <w:szCs w:val="32"/>
          <w:shd w:val="clear" w:color="auto" w:fill="FFFFFF"/>
          <w:lang w:val="en-US" w:eastAsia="zh-CN" w:bidi="ar-SA"/>
        </w:rPr>
        <w:t>至2020年，全部市级机关及50%以上市级事业单位建成节水型单位；至2030年，全部市级机关及事业单位建成节水型单位。</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黑体_GBK" w:hAnsi="方正黑体_GBK" w:eastAsia="方正黑体_GBK" w:cs="方正黑体_GBK"/>
          <w:kern w:val="0"/>
          <w:sz w:val="32"/>
          <w:szCs w:val="32"/>
          <w:shd w:val="clear" w:color="auto" w:fill="FFFFFF"/>
          <w:lang w:val="en-US" w:eastAsia="zh-CN" w:bidi="ar-SA"/>
        </w:rPr>
      </w:pPr>
      <w:r>
        <w:rPr>
          <w:rFonts w:hint="eastAsia" w:ascii="方正黑体_GBK" w:hAnsi="方正黑体_GBK" w:eastAsia="方正黑体_GBK" w:cs="方正黑体_GBK"/>
          <w:kern w:val="0"/>
          <w:sz w:val="32"/>
          <w:szCs w:val="32"/>
          <w:shd w:val="clear" w:color="auto" w:fill="FFFFFF"/>
          <w:lang w:val="en-US" w:eastAsia="zh-CN" w:bidi="ar-SA"/>
        </w:rPr>
        <w:t>6、水资源配置格局</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根据淮南市未来的经济社会发展，依据可持续发展的观点，按照高效、公平和多目标统筹兼顾协调的原则，充分挖掘当地水资源潜力、加强灌区与工业节水改造、灌溉泵站技改；加强中水利用；充分利用煤矿开采过程中的矿坑用水，加强11个采煤塌陷区综合治理，对采煤塌陷区蓄水分类开发利用，利用配置好引江济淮工程和淮南市大别山优质水源工程配置的水量；构建淮南市安全可靠的水资源保障体系。</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规划2020年，以确保城乡居民生活用水和工业用水的需求为前提，在增加利用淠河灌区向山南新区供水同时，充分利用瓦埠湖和西淝河及采煤沉陷区蓄水，加大对淮河干流水资源的利用，并鼓励矿坑水和再生水等非常规水源利用，保障全市多年平均条件下水资源配置量在20.58亿m³左右；在一定程度上保证河道最小生态流量。</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规划2030年，以确保城乡居民生活用水和工业用水的需求为前提，在2020年基础上增加利用引江济淮工程水源，水资源配置总量在21.91亿m³左右；并在2020年基础上，将适当调整利用当地地表水资源及过境水资源，切实保障区域内河道生态环境及淮河干流河道的的生态用水量。</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楷体_GBK" w:hAnsi="方正楷体_GBK" w:eastAsia="方正楷体_GBK" w:cs="方正楷体_GBK"/>
          <w:kern w:val="0"/>
          <w:sz w:val="32"/>
          <w:szCs w:val="32"/>
          <w:shd w:val="clear" w:color="auto" w:fill="FFFFFF"/>
          <w:lang w:val="en-US" w:eastAsia="zh-CN" w:bidi="ar-SA"/>
        </w:rPr>
      </w:pPr>
      <w:r>
        <w:rPr>
          <w:rFonts w:hint="eastAsia" w:ascii="方正楷体_GBK" w:hAnsi="方正楷体_GBK" w:eastAsia="方正楷体_GBK" w:cs="方正楷体_GBK"/>
          <w:kern w:val="0"/>
          <w:sz w:val="32"/>
          <w:szCs w:val="32"/>
          <w:shd w:val="clear" w:color="auto" w:fill="FFFFFF"/>
          <w:lang w:val="en-US" w:eastAsia="zh-CN" w:bidi="ar-SA"/>
        </w:rPr>
        <w:t>（1）城乡水量配置</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2020年配置城镇用水量（多年平均，下同）为6.48亿m³，农村用水配置量为14.11亿m³，城乡用水结构进一步调整为31.5%、68.5%。</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2030年配置城镇用水量较2020年进一步增加，为7.91亿m³，农村用水配置量为13.76亿m³，城乡用水结构将进一步调整为36.5%、63.5%。</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从上述配置结果可以看出在未来5～15年淮南市随着“两型城市”建设的不断建设，城市需水量呈长期增长趋势，城市配置水量比例在不断上升，农村随着人口减少及农业节水技术的运用，农村用水量呈逐年下降态势。</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楷体_GBK" w:hAnsi="方正楷体_GBK" w:eastAsia="方正楷体_GBK" w:cs="方正楷体_GBK"/>
          <w:kern w:val="0"/>
          <w:sz w:val="32"/>
          <w:szCs w:val="32"/>
          <w:shd w:val="clear" w:color="auto" w:fill="FFFFFF"/>
          <w:lang w:val="en-US" w:eastAsia="zh-CN" w:bidi="ar-SA"/>
        </w:rPr>
      </w:pPr>
      <w:r>
        <w:rPr>
          <w:rFonts w:hint="eastAsia" w:ascii="方正楷体_GBK" w:hAnsi="方正楷体_GBK" w:eastAsia="方正楷体_GBK" w:cs="方正楷体_GBK"/>
          <w:kern w:val="0"/>
          <w:sz w:val="32"/>
          <w:szCs w:val="32"/>
          <w:shd w:val="clear" w:color="auto" w:fill="FFFFFF"/>
          <w:lang w:val="en-US" w:eastAsia="zh-CN" w:bidi="ar-SA"/>
        </w:rPr>
        <w:t>（2）行业水量配置</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规划2020年生活、工业、农业和河道外生态用水配置量分别为2.39亿m³、3.87亿m³、13. 68亿m³和0.64亿m³，配置比例为11.6%、18.8%、66.5%、3.1%。</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规划2030年生活、工业、农业和河道外生态用水配置量分别为2.91亿m³、4.53亿m³、13.39亿m³和0.84亿m³，配置比例为13.4%、20.9%、61.8%、3.9%。</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楷体_GBK" w:hAnsi="方正楷体_GBK" w:eastAsia="方正楷体_GBK" w:cs="方正楷体_GBK"/>
          <w:kern w:val="0"/>
          <w:sz w:val="32"/>
          <w:szCs w:val="32"/>
          <w:shd w:val="clear" w:color="auto" w:fill="FFFFFF"/>
          <w:lang w:val="en-US" w:eastAsia="zh-CN" w:bidi="ar-SA"/>
        </w:rPr>
      </w:pPr>
      <w:r>
        <w:rPr>
          <w:rFonts w:hint="eastAsia" w:ascii="方正楷体_GBK" w:hAnsi="方正楷体_GBK" w:eastAsia="方正楷体_GBK" w:cs="方正楷体_GBK"/>
          <w:kern w:val="0"/>
          <w:sz w:val="32"/>
          <w:szCs w:val="32"/>
          <w:shd w:val="clear" w:color="auto" w:fill="FFFFFF"/>
          <w:lang w:val="en-US" w:eastAsia="zh-CN" w:bidi="ar-SA"/>
        </w:rPr>
        <w:t>（3）供水水源配置</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2020年配置水量20.58亿m³，地表水供水量18.53亿m³，浅层地下水供水量为0.84亿m³，非常规水源量为1.21亿m³。地表水源供水中淠河灌区供水量为4.83亿m³，淠河灌区水源给淮南市供水量依据《安徽省中西部重点区域及淠河灌区水量分配方案》供水对象主要为淮南市山南新区和寿县范围内的淠河灌区农业供水，山南新区供水量为0.8亿m³，寿县淠河灌区供水量为4.03亿m³。</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2030年配置水量为21.67亿m³，地表水源配置量为19.10亿m³，浅层地下水配置量为0.85亿m³，非常规水源配置量1.72亿m³。地表水源配置量中淠河灌区水量配置量为4.83亿m³，其中山南新区供水量为0.8亿m³，配置用途与2020年一致，引江济淮工程配置水量为3.86亿m³。</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淮南市供水水源配置中主要以地表水源为主，地下水供水量维持在基准年水平，规划水平年其他水源主要为采煤疏干水、污水处理回用，该部分水量主要配置用于未来淮南市部分工业用水和城市生态环境用水。</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right="0" w:rightChars="0" w:firstLine="640" w:firstLineChars="200"/>
        <w:textAlignment w:val="auto"/>
        <w:outlineLvl w:val="9"/>
        <w:rPr>
          <w:rFonts w:hint="eastAsia" w:ascii="方正黑体_GBK" w:hAnsi="方正黑体_GBK" w:eastAsia="方正黑体_GBK" w:cs="方正黑体_GBK"/>
          <w:kern w:val="0"/>
          <w:sz w:val="32"/>
          <w:szCs w:val="32"/>
          <w:shd w:val="clear" w:color="auto" w:fill="FFFFFF"/>
          <w:lang w:val="en-US" w:eastAsia="zh-CN" w:bidi="ar-SA"/>
        </w:rPr>
      </w:pPr>
      <w:r>
        <w:rPr>
          <w:rFonts w:hint="eastAsia" w:ascii="方正黑体_GBK" w:hAnsi="方正黑体_GBK" w:eastAsia="方正黑体_GBK" w:cs="方正黑体_GBK"/>
          <w:kern w:val="0"/>
          <w:sz w:val="32"/>
          <w:szCs w:val="32"/>
          <w:shd w:val="clear" w:color="auto" w:fill="FFFFFF"/>
          <w:lang w:val="en-US" w:eastAsia="zh-CN" w:bidi="ar-SA"/>
        </w:rPr>
        <w:t>7、水资源保护方略　</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目前已制定完成淠河国家重要饮用水水源地安全保障达标建设计划，并提出了瓦埠湖、高塘湖及周边地区水资源保护措施，淠东干渠水资源保护规划和中小型水库群水资源保护规划。引大别山优质水源工程的引水渠系整治，供水泵站和管道的兴建等。应急备用水源建设工程、淮南城区及寿县、凤台县、潘集区抗旱应急水源工程建设；适时开工建设采煤沉陷区蓄水利用工程。加强对这些重点水域的水资源保护和建设工作，以水功能区保护和达标为目标，在对点面污染源控制、饮用水水源地保护、建立水资源保护监测网络等措施基础上，加快污水集中处理工程建设、加强工业污染防治、加强农业面源污染控制、开展流域水环境整治工程等建设，积极构建水资源保护、水环境改善工程体系。</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right="0" w:rightChars="0" w:firstLine="640" w:firstLineChars="200"/>
        <w:textAlignment w:val="auto"/>
        <w:outlineLvl w:val="9"/>
        <w:rPr>
          <w:rFonts w:hint="eastAsia" w:ascii="方正黑体_GBK" w:hAnsi="方正黑体_GBK" w:eastAsia="方正黑体_GBK" w:cs="方正黑体_GBK"/>
          <w:kern w:val="0"/>
          <w:sz w:val="32"/>
          <w:szCs w:val="32"/>
          <w:shd w:val="clear" w:color="auto" w:fill="FFFFFF"/>
          <w:lang w:val="en-US" w:eastAsia="zh-CN" w:bidi="ar-SA"/>
        </w:rPr>
      </w:pPr>
      <w:r>
        <w:rPr>
          <w:rFonts w:hint="eastAsia" w:ascii="方正黑体_GBK" w:hAnsi="方正黑体_GBK" w:eastAsia="方正黑体_GBK" w:cs="方正黑体_GBK"/>
          <w:kern w:val="0"/>
          <w:sz w:val="32"/>
          <w:szCs w:val="32"/>
          <w:shd w:val="clear" w:color="auto" w:fill="FFFFFF"/>
          <w:lang w:val="en-US" w:eastAsia="zh-CN" w:bidi="ar-SA"/>
        </w:rPr>
        <w:t>8、加强水土保持防治水土流失</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淮南市组成丘陵山区的地层多为上太古界、青白口系、震旦系、寒武系、奥陶系，表层一般为第四系松散层。震旦系及其以前地层风化严重，加之第四系松散层结构松散，遇强降水易下渗、泡和，进而形成崩塌、滑坡以及山洪泥石流灾害。淮河南岸由东至西隆起不连续的丘陵，地形起伏较大。分为上窑山脉、舜耕山脉和八公山脉，最高峰为八公山脉的老庙台海拔242.6m。部分丘陵山区具备山洪泥石流的地形地貌条件。</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近年来，随着人类各项工程活动的加强，低山丘陵区修路凿洞、开采石料，以及部分山区不合理的开荒种植，在一定程度破坏了原有植被，水土流失加剧，坡脚受损。根据淮南市地质灾害防治规划以及安徽省地质环境监测总站淮南站等调查资料，现在寿县有6处崩塌、山洪泥石流（西套山等）灾害点，全市有地质灾害隐患点19处，另外还有凤台县李冲回族乡江湾村老山山洪泥石流等隐患点未列入。目前这些地质灾害点仍处于不稳定状态,有继续发展的可能。目前仍有1803人面临地质灾害的威胁，受到威胁的经济达13680万元。所以要加强水土保持与山洪灾害防治。</w:t>
      </w:r>
    </w:p>
    <w:p>
      <w:pPr>
        <w:pageBreakBefore w:val="0"/>
        <w:kinsoku/>
        <w:overflowPunct/>
        <w:topLinePunct w:val="0"/>
        <w:autoSpaceDE/>
        <w:autoSpaceDN/>
        <w:bidi w:val="0"/>
        <w:spacing w:line="590" w:lineRule="exact"/>
        <w:ind w:firstLine="640" w:firstLineChars="20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eastAsia" w:ascii="方正黑体_GBK" w:hAnsi="方正黑体_GBK" w:eastAsia="方正黑体_GBK" w:cs="方正黑体_GBK"/>
          <w:kern w:val="0"/>
          <w:sz w:val="32"/>
          <w:szCs w:val="32"/>
          <w:shd w:val="clear" w:color="auto" w:fill="FFFFFF"/>
          <w:lang w:val="en-US" w:eastAsia="zh-CN" w:bidi="ar-SA"/>
        </w:rPr>
        <w:t>9、主要建议：</w:t>
      </w:r>
      <w:r>
        <w:rPr>
          <w:rFonts w:hint="default" w:ascii="Times New Roman" w:hAnsi="Times New Roman" w:eastAsia="方正仿宋_GBK" w:cs="Times New Roman"/>
          <w:kern w:val="0"/>
          <w:sz w:val="32"/>
          <w:szCs w:val="32"/>
          <w:shd w:val="clear" w:color="auto" w:fill="FFFFFF"/>
          <w:lang w:val="en-US" w:eastAsia="zh-CN" w:bidi="ar-SA"/>
        </w:rPr>
        <w:t>淮南市水资源整体形势较好，但是存在年际年内降雨分配不均，水资源调蓄能力弱，“水多、水少、水脏”问题十分突出，1992年被国家列为重点缺水城市，属于水资源型缺水、工程型缺水和水质型缺水兼有的城市之一，制约了经济社会的发展。随着全市经济社会的快速发展，社会不断进步和人口持续增长，水资源短缺与水环境恶化问题日益突出。为此建议：</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楷体_GBK" w:hAnsi="方正楷体_GBK" w:eastAsia="方正楷体_GBK" w:cs="方正楷体_GBK"/>
          <w:kern w:val="0"/>
          <w:sz w:val="32"/>
          <w:szCs w:val="32"/>
          <w:shd w:val="clear" w:color="auto" w:fill="FFFFFF"/>
          <w:lang w:val="en-US" w:eastAsia="zh-CN" w:bidi="ar-SA"/>
        </w:rPr>
      </w:pPr>
      <w:r>
        <w:rPr>
          <w:rFonts w:hint="eastAsia" w:ascii="方正楷体_GBK" w:hAnsi="方正楷体_GBK" w:eastAsia="方正楷体_GBK" w:cs="方正楷体_GBK"/>
          <w:kern w:val="0"/>
          <w:sz w:val="32"/>
          <w:szCs w:val="32"/>
          <w:shd w:val="clear" w:color="auto" w:fill="FFFFFF"/>
          <w:lang w:val="en-US" w:eastAsia="zh-CN" w:bidi="ar-SA"/>
        </w:rPr>
        <w:t>（1）实施最严格的水资源管理制度</w:t>
      </w:r>
    </w:p>
    <w:p>
      <w:pPr>
        <w:pageBreakBefore w:val="0"/>
        <w:kinsoku/>
        <w:overflowPunct/>
        <w:topLinePunct w:val="0"/>
        <w:autoSpaceDE/>
        <w:autoSpaceDN/>
        <w:bidi w:val="0"/>
        <w:spacing w:line="590" w:lineRule="exact"/>
        <w:ind w:firstLine="640" w:firstLineChars="200"/>
        <w:textAlignment w:val="auto"/>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为加快推进水资源开发利用、合理配置、节约保护的一体化进程，保障经济社会的可持续发展，要依据本水资源综合规划，划定水资源管理三条“红线”，在全社会实行最严格的水资源管理。以用水总量控制为核心，制定节水型社会建设；以水功能区管理为载体，进一步加强水资源保护；以河湖管理为重点，加强水生态系统保护与修复；以法制建设为保障，规范水资源管理行为；以改革创新为动力，健全水资源管理体制机制。</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楷体_GBK" w:hAnsi="方正楷体_GBK" w:eastAsia="方正楷体_GBK" w:cs="方正楷体_GBK"/>
          <w:kern w:val="0"/>
          <w:sz w:val="32"/>
          <w:szCs w:val="32"/>
          <w:shd w:val="clear" w:color="auto" w:fill="FFFFFF"/>
          <w:lang w:val="en-US" w:eastAsia="zh-CN" w:bidi="ar-SA"/>
        </w:rPr>
      </w:pPr>
      <w:r>
        <w:rPr>
          <w:rFonts w:hint="eastAsia" w:ascii="方正楷体_GBK" w:hAnsi="方正楷体_GBK" w:eastAsia="方正楷体_GBK" w:cs="方正楷体_GBK"/>
          <w:kern w:val="0"/>
          <w:sz w:val="32"/>
          <w:szCs w:val="32"/>
          <w:shd w:val="clear" w:color="auto" w:fill="FFFFFF"/>
          <w:lang w:val="en-US" w:eastAsia="zh-CN" w:bidi="ar-SA"/>
        </w:rPr>
        <w:t>（2）继续加大重点水域水资源保护</w:t>
      </w:r>
    </w:p>
    <w:p>
      <w:pPr>
        <w:pageBreakBefore w:val="0"/>
        <w:kinsoku/>
        <w:overflowPunct/>
        <w:topLinePunct w:val="0"/>
        <w:autoSpaceDE/>
        <w:autoSpaceDN/>
        <w:bidi w:val="0"/>
        <w:spacing w:line="590" w:lineRule="exact"/>
        <w:ind w:firstLine="640" w:firstLineChars="200"/>
        <w:textAlignment w:val="auto"/>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全面推进水库群、淮河、瓦埠湖等湖泊、淠东干渠等重点水域的水资源保护工作，加强采煤塌陷区蓄水调度利用与生态修复，建立健全重要饮用水水源地安全监控体系，以淮南市水功能区管理为基础，完善水资源保护制度。</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楷体_GBK" w:hAnsi="方正楷体_GBK" w:eastAsia="方正楷体_GBK" w:cs="方正楷体_GBK"/>
          <w:kern w:val="0"/>
          <w:sz w:val="32"/>
          <w:szCs w:val="32"/>
          <w:shd w:val="clear" w:color="auto" w:fill="FFFFFF"/>
          <w:lang w:val="en-US" w:eastAsia="zh-CN" w:bidi="ar-SA"/>
        </w:rPr>
      </w:pPr>
      <w:r>
        <w:rPr>
          <w:rFonts w:hint="eastAsia" w:ascii="方正楷体_GBK" w:hAnsi="方正楷体_GBK" w:eastAsia="方正楷体_GBK" w:cs="方正楷体_GBK"/>
          <w:kern w:val="0"/>
          <w:sz w:val="32"/>
          <w:szCs w:val="32"/>
          <w:shd w:val="clear" w:color="auto" w:fill="FFFFFF"/>
          <w:lang w:val="en-US" w:eastAsia="zh-CN" w:bidi="ar-SA"/>
        </w:rPr>
        <w:t>（3）加强引江济淮输水通道保护、优水优用</w:t>
      </w:r>
    </w:p>
    <w:p>
      <w:pPr>
        <w:pageBreakBefore w:val="0"/>
        <w:kinsoku/>
        <w:overflowPunct/>
        <w:topLinePunct w:val="0"/>
        <w:autoSpaceDE/>
        <w:autoSpaceDN/>
        <w:bidi w:val="0"/>
        <w:spacing w:line="590" w:lineRule="exact"/>
        <w:ind w:firstLine="640" w:firstLineChars="200"/>
        <w:textAlignment w:val="auto"/>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引江济淮工程分引江济巢、江淮沟通、江水北送三段。从长江下游引水，经巢湖，穿越江淮分水岭，向淮河中游地区补水。工程贯穿了整个淮南市，这对水资源调蓄能力弱，“水多、水少、水脏”和水资源型缺水、工程型缺水和水质型缺水兼有的淮南市来说是个福音，它解决了淮南市水资短缺问题，所以我们要保护好引江济淮的输水通道，未来引江济淮工程要采取避污、导污、防污、治污等措施，确保一江清水入淮河。要把输水通道划为重要饮用水资源保护区，严禁在输水通道新增排污口，对原有的排污口进行整治。</w:t>
      </w:r>
    </w:p>
    <w:p>
      <w:pPr>
        <w:pageBreakBefore w:val="0"/>
        <w:kinsoku/>
        <w:overflowPunct/>
        <w:topLinePunct w:val="0"/>
        <w:autoSpaceDE/>
        <w:autoSpaceDN/>
        <w:bidi w:val="0"/>
        <w:spacing w:line="590" w:lineRule="exact"/>
        <w:ind w:firstLine="640" w:firstLineChars="200"/>
        <w:textAlignment w:val="auto"/>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b w:val="0"/>
          <w:bCs w:val="0"/>
          <w:kern w:val="0"/>
          <w:sz w:val="32"/>
          <w:szCs w:val="32"/>
          <w:shd w:val="clear" w:color="auto" w:fill="FFFFFF"/>
          <w:lang w:val="en-US" w:eastAsia="zh-CN" w:bidi="ar-SA"/>
        </w:rPr>
        <w:t>优水优用：可</w:t>
      </w:r>
      <w:r>
        <w:rPr>
          <w:rFonts w:hint="eastAsia" w:ascii="方正仿宋_GBK" w:hAnsi="方正仿宋_GBK" w:eastAsia="方正仿宋_GBK" w:cs="方正仿宋_GBK"/>
          <w:kern w:val="0"/>
          <w:sz w:val="32"/>
          <w:szCs w:val="32"/>
          <w:shd w:val="clear" w:color="auto" w:fill="FFFFFF"/>
          <w:lang w:val="en-US" w:eastAsia="zh-CN" w:bidi="ar-SA"/>
        </w:rPr>
        <w:t>将本地瓦埠湖、高塘湖、焦岗湖和安丰塘、大井、花果三水库原水资源供周边工农业、绿化用水，把引进的优质水源转换用于人饮和高新技术产品行业上，改变淮南市现有的用水格局，把淮南市建设成美好的山水城市、旅游城市。</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楷体_GBK" w:hAnsi="方正楷体_GBK" w:eastAsia="方正楷体_GBK" w:cs="方正楷体_GBK"/>
          <w:kern w:val="0"/>
          <w:sz w:val="32"/>
          <w:szCs w:val="32"/>
          <w:shd w:val="clear" w:color="auto" w:fill="FFFFFF"/>
          <w:lang w:val="en-US" w:eastAsia="zh-CN" w:bidi="ar-SA"/>
        </w:rPr>
      </w:pPr>
      <w:r>
        <w:rPr>
          <w:rFonts w:hint="eastAsia" w:ascii="方正楷体_GBK" w:hAnsi="方正楷体_GBK" w:eastAsia="方正楷体_GBK" w:cs="方正楷体_GBK"/>
          <w:kern w:val="0"/>
          <w:sz w:val="32"/>
          <w:szCs w:val="32"/>
          <w:shd w:val="clear" w:color="auto" w:fill="FFFFFF"/>
          <w:lang w:val="en-US" w:eastAsia="zh-CN" w:bidi="ar-SA"/>
        </w:rPr>
        <w:t>（4）大力推进节水型社会建设</w:t>
      </w:r>
    </w:p>
    <w:p>
      <w:pPr>
        <w:pageBreakBefore w:val="0"/>
        <w:kinsoku/>
        <w:overflowPunct/>
        <w:topLinePunct w:val="0"/>
        <w:autoSpaceDE/>
        <w:autoSpaceDN/>
        <w:bidi w:val="0"/>
        <w:spacing w:line="590" w:lineRule="exact"/>
        <w:ind w:firstLine="640" w:firstLineChars="200"/>
        <w:textAlignment w:val="auto"/>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建立与水资源承载能力相适应的经济结构体系、与现代水权制度相适应的水资源管理体系、与水资源优化配置相适应的水工程体系、与绿色环保社会管理体系，实现对水资源从用水、供水、耗水、回用各个环节一体化管理，达到人水和谐。</w:t>
      </w:r>
    </w:p>
    <w:p>
      <w:pPr>
        <w:pageBreakBefore w:val="0"/>
        <w:kinsoku/>
        <w:overflowPunct/>
        <w:topLinePunct w:val="0"/>
        <w:autoSpaceDE/>
        <w:autoSpaceDN/>
        <w:bidi w:val="0"/>
        <w:spacing w:line="590" w:lineRule="exact"/>
        <w:ind w:firstLine="640" w:firstLineChars="200"/>
        <w:textAlignment w:val="auto"/>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具体是加快境内各灌区的配套建设及节水改造，逐步改善和扩大有效灌溉面积与节水灌溉面积，提高灌溉水的有效利用率和优化产业结构，在确保粮食安全生产同时，制约农业用水不合理的增长，在优化调整区域产业布局的基础上，鼓励工业企业对生产工艺进行节水改造、实施分质供水，推广中水回用。加强集中供水管网改造。推进节水型小区、节水型单位等节水载体建设。</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right="0" w:rightChars="0" w:firstLine="640" w:firstLineChars="200"/>
        <w:textAlignment w:val="auto"/>
        <w:outlineLvl w:val="9"/>
        <w:rPr>
          <w:rFonts w:hint="eastAsia" w:ascii="方正楷体_GBK" w:hAnsi="方正楷体_GBK" w:eastAsia="方正楷体_GBK" w:cs="方正楷体_GBK"/>
          <w:kern w:val="0"/>
          <w:sz w:val="32"/>
          <w:szCs w:val="32"/>
          <w:shd w:val="clear" w:color="auto" w:fill="FFFFFF"/>
          <w:lang w:val="en-US" w:eastAsia="zh-CN" w:bidi="ar-SA"/>
        </w:rPr>
      </w:pPr>
      <w:r>
        <w:rPr>
          <w:rFonts w:hint="eastAsia" w:ascii="方正楷体_GBK" w:hAnsi="方正楷体_GBK" w:eastAsia="方正楷体_GBK" w:cs="方正楷体_GBK"/>
          <w:kern w:val="0"/>
          <w:sz w:val="32"/>
          <w:szCs w:val="32"/>
          <w:shd w:val="clear" w:color="auto" w:fill="FFFFFF"/>
          <w:lang w:val="en-US" w:eastAsia="zh-CN" w:bidi="ar-SA"/>
        </w:rPr>
        <w:t>（5）做好采煤塌陷区修复利用规划</w:t>
      </w:r>
    </w:p>
    <w:p>
      <w:pPr>
        <w:pageBreakBefore w:val="0"/>
        <w:kinsoku/>
        <w:overflowPunct/>
        <w:topLinePunct w:val="0"/>
        <w:autoSpaceDE/>
        <w:autoSpaceDN/>
        <w:bidi w:val="0"/>
        <w:spacing w:line="590" w:lineRule="exact"/>
        <w:ind w:firstLine="640" w:firstLineChars="20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2015年采煤塌陷区面积达171km2,主要分布于凤台、潘集、谢家集，范围广，并呈逐年扩大趋势，塌陷区深度达20m以上，蓄水量较大，如何利用规划好这块资源，对淮南市来说是很有必要和紧迫的工作。摸清每个塌陷区的具体情况，有针对性的进行修复规划利用。根据塌陷区分布大部分在凤台县和潘集区，可以将较大的塌陷区进行修复治理，用于凤台和潘集应急备用水源，也可作为电厂与其它行业水源。目前蓄水量数据为估算值，为充分利用采煤塌陷区蓄水资源，必需算清水量，对塌陷区蓄水量进行勘测分析。</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right="0" w:rightChars="0" w:firstLine="640" w:firstLineChars="200"/>
        <w:textAlignment w:val="auto"/>
        <w:outlineLvl w:val="9"/>
        <w:rPr>
          <w:rFonts w:hint="eastAsia" w:ascii="方正楷体_GBK" w:hAnsi="方正楷体_GBK" w:eastAsia="方正楷体_GBK" w:cs="方正楷体_GBK"/>
          <w:kern w:val="0"/>
          <w:sz w:val="32"/>
          <w:szCs w:val="32"/>
          <w:shd w:val="clear" w:color="auto" w:fill="FFFFFF"/>
          <w:lang w:val="en-US" w:eastAsia="zh-CN" w:bidi="ar-SA"/>
        </w:rPr>
      </w:pPr>
      <w:r>
        <w:rPr>
          <w:rFonts w:hint="eastAsia" w:ascii="方正楷体_GBK" w:hAnsi="方正楷体_GBK" w:eastAsia="方正楷体_GBK" w:cs="方正楷体_GBK"/>
          <w:kern w:val="0"/>
          <w:sz w:val="32"/>
          <w:szCs w:val="32"/>
          <w:shd w:val="clear" w:color="auto" w:fill="FFFFFF"/>
          <w:lang w:val="en-US" w:eastAsia="zh-CN" w:bidi="ar-SA"/>
        </w:rPr>
        <w:t>（6）加强水资源在线监测及信息化建设</w:t>
      </w:r>
    </w:p>
    <w:p>
      <w:pPr>
        <w:pageBreakBefore w:val="0"/>
        <w:kinsoku/>
        <w:overflowPunct/>
        <w:topLinePunct w:val="0"/>
        <w:autoSpaceDE/>
        <w:autoSpaceDN/>
        <w:bidi w:val="0"/>
        <w:spacing w:line="590" w:lineRule="exact"/>
        <w:ind w:firstLine="640" w:firstLineChars="200"/>
        <w:textAlignment w:val="auto"/>
        <w:rPr>
          <w:rFonts w:hint="eastAsia" w:ascii="方正仿宋_GBK" w:hAnsi="方正仿宋_GBK" w:eastAsia="方正仿宋_GBK" w:cs="方正仿宋_GBK"/>
          <w:kern w:val="0"/>
          <w:sz w:val="32"/>
          <w:szCs w:val="32"/>
          <w:shd w:val="clear" w:color="auto" w:fill="FFFFFF"/>
          <w:lang w:val="en-US" w:eastAsia="zh-CN" w:bidi="ar-SA"/>
        </w:rPr>
      </w:pPr>
      <w:r>
        <w:rPr>
          <w:rFonts w:hint="eastAsia" w:ascii="方正仿宋_GBK" w:hAnsi="方正仿宋_GBK" w:eastAsia="方正仿宋_GBK" w:cs="方正仿宋_GBK"/>
          <w:kern w:val="0"/>
          <w:sz w:val="32"/>
          <w:szCs w:val="32"/>
          <w:shd w:val="clear" w:color="auto" w:fill="FFFFFF"/>
          <w:lang w:val="en-US" w:eastAsia="zh-CN" w:bidi="ar-SA"/>
        </w:rPr>
        <w:t>水资源监测是加强水资源管理的重要环节，监测要进行量与质同步，建立水资源量和水质在线监测的信息化平台，平台可以与安徽省水文遥测信息网进行共网，实现在线实时监控。对于超越红线进行预警。同时还要开展墒情监测系统建设。　</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right="0" w:rightChars="0" w:firstLine="640" w:firstLineChars="200"/>
        <w:textAlignment w:val="auto"/>
        <w:outlineLvl w:val="9"/>
        <w:rPr>
          <w:rFonts w:hint="eastAsia" w:ascii="方正楷体_GBK" w:hAnsi="方正楷体_GBK" w:eastAsia="方正楷体_GBK" w:cs="方正楷体_GBK"/>
          <w:kern w:val="0"/>
          <w:sz w:val="32"/>
          <w:szCs w:val="32"/>
          <w:shd w:val="clear" w:color="auto" w:fill="FFFFFF"/>
          <w:lang w:val="en-US" w:eastAsia="zh-CN" w:bidi="ar-SA"/>
        </w:rPr>
      </w:pPr>
      <w:r>
        <w:rPr>
          <w:rFonts w:hint="eastAsia" w:ascii="方正楷体_GBK" w:hAnsi="方正楷体_GBK" w:eastAsia="方正楷体_GBK" w:cs="方正楷体_GBK"/>
          <w:kern w:val="0"/>
          <w:sz w:val="32"/>
          <w:szCs w:val="32"/>
          <w:shd w:val="clear" w:color="auto" w:fill="FFFFFF"/>
          <w:lang w:val="en-US" w:eastAsia="zh-CN" w:bidi="ar-SA"/>
        </w:rPr>
        <w:t>（7）做好城市供水和应急备用水源规划</w:t>
      </w:r>
    </w:p>
    <w:p>
      <w:pPr>
        <w:pageBreakBefore w:val="0"/>
        <w:kinsoku/>
        <w:overflowPunct/>
        <w:topLinePunct w:val="0"/>
        <w:autoSpaceDE/>
        <w:autoSpaceDN/>
        <w:bidi w:val="0"/>
        <w:spacing w:line="590" w:lineRule="exact"/>
        <w:ind w:firstLine="640" w:firstLineChars="20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淮南市目前饮用水源主要为淮河水和瓦埠湖水源。一、二、三、四水厂取水水源为淮河水源，五水厂取水水源为瓦埠湖水源。瓦埠湖作为淮南饮用水第二水源兴建于1998年，取水能力为10万t/d。目前东西部通过DN1200的管网沟通，两种水源互为备用。山南水厂（第六水厂）目前也在建设之中，2017年完成设备安装调试，山南水厂水源地为瓦埠湖水，建设好后，淮南市瓦埠湖取水能力将达到20万吨/天，淮河水源取水能力达34万吨/天，基本满足淮南市城市供水需求，保障城市供水安全。</w:t>
      </w:r>
    </w:p>
    <w:p>
      <w:pPr>
        <w:pageBreakBefore w:val="0"/>
        <w:kinsoku/>
        <w:overflowPunct/>
        <w:topLinePunct w:val="0"/>
        <w:autoSpaceDE/>
        <w:autoSpaceDN/>
        <w:bidi w:val="0"/>
        <w:spacing w:line="590" w:lineRule="exact"/>
        <w:ind w:firstLine="640" w:firstLineChars="20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对淮南城市供水要统筹考虑：“利用淮干水、调度境内湖库水、配置好跨流域引进优质水”。在引江济淮工程实施后，将优质水置换到瓦埠湖、高塘湖、安丰塘等湖泊与水库中，再配置到淮南市各城区。</w:t>
      </w:r>
    </w:p>
    <w:p>
      <w:pPr>
        <w:pageBreakBefore w:val="0"/>
        <w:kinsoku/>
        <w:overflowPunct/>
        <w:topLinePunct w:val="0"/>
        <w:autoSpaceDE/>
        <w:autoSpaceDN/>
        <w:bidi w:val="0"/>
        <w:spacing w:line="590" w:lineRule="exact"/>
        <w:ind w:firstLine="643" w:firstLineChars="20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b/>
          <w:bCs/>
          <w:kern w:val="0"/>
          <w:sz w:val="32"/>
          <w:szCs w:val="32"/>
          <w:shd w:val="clear" w:color="auto" w:fill="FFFFFF"/>
          <w:lang w:val="en-US" w:eastAsia="zh-CN" w:bidi="ar-SA"/>
        </w:rPr>
        <w:t>①</w:t>
      </w:r>
      <w:r>
        <w:rPr>
          <w:rFonts w:hint="default" w:ascii="Times New Roman" w:hAnsi="Times New Roman" w:eastAsia="方正仿宋_GBK" w:cs="Times New Roman"/>
          <w:kern w:val="0"/>
          <w:sz w:val="32"/>
          <w:szCs w:val="32"/>
          <w:shd w:val="clear" w:color="auto" w:fill="FFFFFF"/>
          <w:lang w:val="en-US" w:eastAsia="zh-CN" w:bidi="ar-SA"/>
        </w:rPr>
        <w:t>淮南市主城区供水分三部分，一是取用淮河水，用于工农业、生态和人饮；二是取用瓦埠湖、高塘湖，主要用于人饮、高新技术产品生产、生态旅游等，山南新区主要取用瓦埠湖水和大别山引水，同时也可作为应急备用水源；三是利用市内污水处理厂的中水，主要用于一般工业和城市绿化；</w:t>
      </w:r>
    </w:p>
    <w:p>
      <w:pPr>
        <w:pageBreakBefore w:val="0"/>
        <w:kinsoku/>
        <w:overflowPunct/>
        <w:topLinePunct w:val="0"/>
        <w:autoSpaceDE/>
        <w:autoSpaceDN/>
        <w:bidi w:val="0"/>
        <w:spacing w:line="590" w:lineRule="exact"/>
        <w:ind w:firstLine="643" w:firstLineChars="20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b/>
          <w:bCs/>
          <w:kern w:val="0"/>
          <w:sz w:val="32"/>
          <w:szCs w:val="32"/>
          <w:shd w:val="clear" w:color="auto" w:fill="FFFFFF"/>
          <w:lang w:val="en-US" w:eastAsia="zh-CN" w:bidi="ar-SA"/>
        </w:rPr>
        <w:t>②</w:t>
      </w:r>
      <w:r>
        <w:rPr>
          <w:rFonts w:hint="default" w:ascii="Times New Roman" w:hAnsi="Times New Roman" w:eastAsia="方正仿宋_GBK" w:cs="Times New Roman"/>
          <w:kern w:val="0"/>
          <w:sz w:val="32"/>
          <w:szCs w:val="32"/>
          <w:shd w:val="clear" w:color="auto" w:fill="FFFFFF"/>
          <w:lang w:val="en-US" w:eastAsia="zh-CN" w:bidi="ar-SA"/>
        </w:rPr>
        <w:t>寿县城区供水一是取用淮河水，用于工农业、生态和人饮；二是取用瓦埠湖、安丰塘水库水，主要用于人饮、高新技术产品生产、生态旅游等，同时也可作为应急备用水源；三是利用城内污水处理厂的中水，主要用于一般工业和城市绿化；</w:t>
      </w:r>
    </w:p>
    <w:p>
      <w:pPr>
        <w:pageBreakBefore w:val="0"/>
        <w:kinsoku/>
        <w:overflowPunct/>
        <w:topLinePunct w:val="0"/>
        <w:autoSpaceDE/>
        <w:autoSpaceDN/>
        <w:bidi w:val="0"/>
        <w:spacing w:line="590" w:lineRule="exact"/>
        <w:ind w:firstLine="643" w:firstLineChars="20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b/>
          <w:bCs/>
          <w:kern w:val="0"/>
          <w:sz w:val="32"/>
          <w:szCs w:val="32"/>
          <w:shd w:val="clear" w:color="auto" w:fill="FFFFFF"/>
          <w:lang w:val="en-US" w:eastAsia="zh-CN" w:bidi="ar-SA"/>
        </w:rPr>
        <w:t>③</w:t>
      </w:r>
      <w:r>
        <w:rPr>
          <w:rFonts w:hint="default" w:ascii="Times New Roman" w:hAnsi="Times New Roman" w:eastAsia="方正仿宋_GBK" w:cs="Times New Roman"/>
          <w:kern w:val="0"/>
          <w:sz w:val="32"/>
          <w:szCs w:val="32"/>
          <w:shd w:val="clear" w:color="auto" w:fill="FFFFFF"/>
          <w:lang w:val="en-US" w:eastAsia="zh-CN" w:bidi="ar-SA"/>
        </w:rPr>
        <w:t>凤台县城区供水一是取用淮河水，用于工业、电厂、生态和人饮；二是取用焦岗湖、治理后的塌陷区水，主要用于电厂、煤炭业、生态旅游等，也可作为应急备用水源；三是利用境内污水处理厂的中水，主要用于一般工业和城市绿化、电厂；</w:t>
      </w:r>
    </w:p>
    <w:p>
      <w:pPr>
        <w:pageBreakBefore w:val="0"/>
        <w:kinsoku/>
        <w:overflowPunct/>
        <w:topLinePunct w:val="0"/>
        <w:autoSpaceDE/>
        <w:autoSpaceDN/>
        <w:bidi w:val="0"/>
        <w:spacing w:line="590" w:lineRule="exact"/>
        <w:ind w:firstLine="643" w:firstLineChars="20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b/>
          <w:bCs/>
          <w:kern w:val="0"/>
          <w:sz w:val="32"/>
          <w:szCs w:val="32"/>
          <w:shd w:val="clear" w:color="auto" w:fill="FFFFFF"/>
          <w:lang w:val="en-US" w:eastAsia="zh-CN" w:bidi="ar-SA"/>
        </w:rPr>
        <w:t>④</w:t>
      </w:r>
      <w:r>
        <w:rPr>
          <w:rFonts w:hint="default" w:ascii="Times New Roman" w:hAnsi="Times New Roman" w:eastAsia="方正仿宋_GBK" w:cs="Times New Roman"/>
          <w:kern w:val="0"/>
          <w:sz w:val="32"/>
          <w:szCs w:val="32"/>
          <w:shd w:val="clear" w:color="auto" w:fill="FFFFFF"/>
          <w:lang w:val="en-US" w:eastAsia="zh-CN" w:bidi="ar-SA"/>
        </w:rPr>
        <w:t>潘集城区供水一是取用淮河水，用于工业、电厂、生态和人饮；二是取用茨淮新河、泥河和治理后的塌陷区水，主要用于电厂、煤炭业、生态旅游等，也可作为应急备用水源；三是利用境内污水处理厂的中水，主要用于一般工业和城市绿化、电厂。</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right="0" w:rightChars="0" w:firstLine="640" w:firstLineChars="200"/>
        <w:textAlignment w:val="auto"/>
        <w:outlineLvl w:val="9"/>
        <w:rPr>
          <w:rFonts w:hint="eastAsia" w:ascii="方正楷体_GBK" w:hAnsi="方正楷体_GBK" w:eastAsia="方正楷体_GBK" w:cs="方正楷体_GBK"/>
          <w:kern w:val="0"/>
          <w:sz w:val="32"/>
          <w:szCs w:val="32"/>
          <w:shd w:val="clear" w:color="auto" w:fill="FFFFFF"/>
          <w:lang w:val="en-US" w:eastAsia="zh-CN" w:bidi="ar-SA"/>
        </w:rPr>
      </w:pPr>
      <w:r>
        <w:rPr>
          <w:rFonts w:hint="eastAsia" w:ascii="方正楷体_GBK" w:hAnsi="方正楷体_GBK" w:eastAsia="方正楷体_GBK" w:cs="方正楷体_GBK"/>
          <w:kern w:val="0"/>
          <w:sz w:val="32"/>
          <w:szCs w:val="32"/>
          <w:shd w:val="clear" w:color="auto" w:fill="FFFFFF"/>
          <w:lang w:val="en-US" w:eastAsia="zh-CN" w:bidi="ar-SA"/>
        </w:rPr>
        <w:t>（8）推进火电行业节水改造</w:t>
      </w:r>
    </w:p>
    <w:p>
      <w:pPr>
        <w:pageBreakBefore w:val="0"/>
        <w:kinsoku/>
        <w:overflowPunct/>
        <w:topLinePunct w:val="0"/>
        <w:autoSpaceDE/>
        <w:autoSpaceDN/>
        <w:bidi w:val="0"/>
        <w:spacing w:line="590" w:lineRule="exact"/>
        <w:ind w:firstLine="640" w:firstLineChars="20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淮南市近年来火电行业用水量占总用水量的25%左右，其中平圩一期直流冷却年取新水4～5亿m³,这给淮南市水资源使用分配带来很大压力，在“十三五规划”中要加强火电行业节水改造工程。</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right="0" w:rightChars="0" w:firstLine="640" w:firstLineChars="200"/>
        <w:textAlignment w:val="auto"/>
        <w:outlineLvl w:val="9"/>
        <w:rPr>
          <w:rFonts w:hint="eastAsia" w:ascii="方正楷体_GBK" w:hAnsi="方正楷体_GBK" w:eastAsia="方正楷体_GBK" w:cs="方正楷体_GBK"/>
          <w:kern w:val="0"/>
          <w:sz w:val="32"/>
          <w:szCs w:val="32"/>
          <w:shd w:val="clear" w:color="auto" w:fill="FFFFFF"/>
          <w:lang w:val="en-US" w:eastAsia="zh-CN" w:bidi="ar-SA"/>
        </w:rPr>
      </w:pPr>
      <w:r>
        <w:rPr>
          <w:rFonts w:hint="eastAsia" w:ascii="方正楷体_GBK" w:hAnsi="方正楷体_GBK" w:eastAsia="方正楷体_GBK" w:cs="方正楷体_GBK"/>
          <w:kern w:val="0"/>
          <w:sz w:val="32"/>
          <w:szCs w:val="32"/>
          <w:shd w:val="clear" w:color="auto" w:fill="FFFFFF"/>
          <w:lang w:val="en-US" w:eastAsia="zh-CN" w:bidi="ar-SA"/>
        </w:rPr>
        <w:t>（9）加快水利工程建设</w:t>
      </w:r>
    </w:p>
    <w:p>
      <w:pPr>
        <w:pageBreakBefore w:val="0"/>
        <w:kinsoku/>
        <w:overflowPunct/>
        <w:topLinePunct w:val="0"/>
        <w:autoSpaceDE/>
        <w:autoSpaceDN/>
        <w:bidi w:val="0"/>
        <w:spacing w:line="590" w:lineRule="exact"/>
        <w:ind w:firstLine="640" w:firstLineChars="20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对“十三五规划”的水利工程要加快实施，提高全市供水能力。新建寿县新桥水库，扩建小（二）型水库49座工程要尽快实施，工程运行可增加供水能力1181万m³。</w:t>
      </w:r>
    </w:p>
    <w:p>
      <w:pPr>
        <w:pStyle w:val="3"/>
        <w:pageBreakBefore w:val="0"/>
        <w:kinsoku/>
        <w:overflowPunct/>
        <w:topLinePunct w:val="0"/>
        <w:autoSpaceDE/>
        <w:autoSpaceDN/>
        <w:bidi w:val="0"/>
        <w:adjustRightInd w:val="0"/>
        <w:spacing w:before="156" w:beforeLines="50" w:after="156" w:afterLines="50" w:line="590" w:lineRule="exact"/>
        <w:jc w:val="center"/>
        <w:textAlignment w:val="auto"/>
        <w:rPr>
          <w:rFonts w:hint="eastAsia" w:ascii="方正小标宋_GBK" w:hAnsi="方正小标宋_GBK" w:eastAsia="方正小标宋_GBK" w:cs="方正小标宋_GBK"/>
          <w:b w:val="0"/>
          <w:kern w:val="0"/>
          <w:sz w:val="44"/>
          <w:szCs w:val="44"/>
          <w:shd w:val="clear" w:color="auto" w:fill="FFFFFF"/>
          <w:lang w:val="en-US" w:eastAsia="zh-CN" w:bidi="ar-SA"/>
        </w:rPr>
      </w:pPr>
      <w:bookmarkStart w:id="8" w:name="_Toc312309811"/>
      <w:r>
        <w:rPr>
          <w:rStyle w:val="16"/>
          <w:b/>
          <w:szCs w:val="36"/>
        </w:rPr>
        <w:br w:type="page"/>
      </w:r>
      <w:bookmarkStart w:id="9" w:name="_Toc30885"/>
      <w:r>
        <w:rPr>
          <w:rFonts w:hint="eastAsia" w:ascii="方正小标宋_GBK" w:hAnsi="方正小标宋_GBK" w:eastAsia="方正小标宋_GBK" w:cs="方正小标宋_GBK"/>
          <w:b w:val="0"/>
          <w:kern w:val="0"/>
          <w:sz w:val="44"/>
          <w:szCs w:val="44"/>
          <w:shd w:val="clear" w:color="auto" w:fill="FFFFFF"/>
          <w:lang w:val="en-US" w:eastAsia="zh-CN" w:bidi="ar-SA"/>
        </w:rPr>
        <w:t>第一章  概况</w:t>
      </w:r>
      <w:bookmarkEnd w:id="8"/>
      <w:bookmarkEnd w:id="9"/>
    </w:p>
    <w:p>
      <w:pPr>
        <w:pStyle w:val="4"/>
        <w:pageBreakBefore w:val="0"/>
        <w:kinsoku/>
        <w:overflowPunct/>
        <w:topLinePunct w:val="0"/>
        <w:autoSpaceDE/>
        <w:autoSpaceDN/>
        <w:bidi w:val="0"/>
        <w:adjustRightInd w:val="0"/>
        <w:snapToGrid w:val="0"/>
        <w:spacing w:before="159" w:beforeLines="50" w:after="159" w:afterLines="50" w:line="590" w:lineRule="exact"/>
        <w:textAlignment w:val="auto"/>
        <w:rPr>
          <w:rFonts w:hint="eastAsia" w:ascii="方正黑体_GBK" w:hAnsi="方正黑体_GBK" w:eastAsia="方正黑体_GBK" w:cs="方正黑体_GBK"/>
          <w:b w:val="0"/>
          <w:bCs w:val="0"/>
          <w:sz w:val="32"/>
          <w:szCs w:val="32"/>
          <w:lang w:val="en-US" w:eastAsia="zh-CN"/>
        </w:rPr>
      </w:pPr>
      <w:bookmarkStart w:id="10" w:name="_Toc312309812"/>
      <w:bookmarkStart w:id="11" w:name="_Toc17188"/>
      <w:r>
        <w:rPr>
          <w:rFonts w:hint="eastAsia" w:ascii="方正黑体_GBK" w:hAnsi="方正黑体_GBK" w:eastAsia="方正黑体_GBK" w:cs="方正黑体_GBK"/>
          <w:b w:val="0"/>
          <w:bCs w:val="0"/>
          <w:sz w:val="32"/>
          <w:szCs w:val="32"/>
          <w:lang w:val="en-US" w:eastAsia="zh-CN"/>
        </w:rPr>
        <w:t>第一节  自然及社会经济概况</w:t>
      </w:r>
      <w:bookmarkEnd w:id="10"/>
      <w:bookmarkEnd w:id="11"/>
    </w:p>
    <w:p>
      <w:pPr>
        <w:pStyle w:val="3"/>
        <w:pageBreakBefore w:val="0"/>
        <w:kinsoku/>
        <w:overflowPunct/>
        <w:topLinePunct w:val="0"/>
        <w:autoSpaceDE/>
        <w:autoSpaceDN/>
        <w:bidi w:val="0"/>
        <w:adjustRightInd w:val="0"/>
        <w:spacing w:before="156" w:beforeLines="50" w:after="156" w:afterLines="50" w:line="590" w:lineRule="exact"/>
        <w:jc w:val="left"/>
        <w:textAlignment w:val="auto"/>
        <w:rPr>
          <w:rFonts w:hint="eastAsia" w:ascii="方正楷体_GBK" w:hAnsi="方正楷体_GBK" w:eastAsia="方正楷体_GBK" w:cs="方正楷体_GBK"/>
          <w:b w:val="0"/>
          <w:kern w:val="0"/>
          <w:sz w:val="32"/>
          <w:szCs w:val="32"/>
          <w:shd w:val="clear" w:color="auto" w:fill="FFFFFF"/>
          <w:lang w:val="en-US" w:eastAsia="zh-CN" w:bidi="ar-SA"/>
        </w:rPr>
      </w:pPr>
      <w:bookmarkStart w:id="12" w:name="_Toc259173264"/>
      <w:bookmarkStart w:id="13" w:name="_Toc10337"/>
      <w:bookmarkStart w:id="14" w:name="_Toc312309813"/>
      <w:bookmarkStart w:id="15" w:name="_Toc203654974"/>
      <w:r>
        <w:rPr>
          <w:rFonts w:hint="eastAsia" w:ascii="方正楷体_GBK" w:hAnsi="方正楷体_GBK" w:eastAsia="方正楷体_GBK" w:cs="方正楷体_GBK"/>
          <w:b w:val="0"/>
          <w:kern w:val="0"/>
          <w:sz w:val="32"/>
          <w:szCs w:val="32"/>
          <w:shd w:val="clear" w:color="auto" w:fill="FFFFFF"/>
          <w:lang w:val="en-US" w:eastAsia="zh-CN" w:bidi="ar-SA"/>
        </w:rPr>
        <w:t>一、自然地理</w:t>
      </w:r>
      <w:bookmarkEnd w:id="12"/>
      <w:bookmarkEnd w:id="13"/>
      <w:bookmarkEnd w:id="14"/>
      <w:bookmarkEnd w:id="15"/>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3" w:firstLineChars="200"/>
        <w:textAlignment w:val="auto"/>
        <w:outlineLvl w:val="9"/>
        <w:rPr>
          <w:rFonts w:hint="eastAsia" w:ascii="方正仿宋_GBK" w:hAnsi="方正仿宋_GBK" w:eastAsia="方正仿宋_GBK" w:cs="方正仿宋_GBK"/>
          <w:b/>
          <w:bCs/>
          <w:kern w:val="0"/>
          <w:sz w:val="32"/>
          <w:szCs w:val="32"/>
          <w:shd w:val="clear" w:color="auto" w:fill="FFFFFF"/>
          <w:lang w:val="en-US" w:eastAsia="zh-CN" w:bidi="ar-SA"/>
        </w:rPr>
      </w:pPr>
      <w:r>
        <w:rPr>
          <w:rFonts w:hint="eastAsia" w:ascii="方正仿宋_GBK" w:hAnsi="方正仿宋_GBK" w:eastAsia="方正仿宋_GBK" w:cs="方正仿宋_GBK"/>
          <w:b/>
          <w:bCs/>
          <w:kern w:val="0"/>
          <w:sz w:val="32"/>
          <w:szCs w:val="32"/>
          <w:shd w:val="clear" w:color="auto" w:fill="FFFFFF"/>
          <w:lang w:val="en-US" w:eastAsia="zh-CN" w:bidi="ar-SA"/>
        </w:rPr>
        <w:t>（1）地理位置</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淮南市位于安徽省中北部，淮河中游，跨淮河两岸。地处东经116°21′～117°12′、北纬31°54′～33°00′。东邻凤阳、定远，西接霍邱，南与长丰县接壤，北与颍上、利辛、蒙城、怀远相毗邻。淮南市辖6区2县(田家庵区、谢家集区、八公山区、大通区、潘集区、毛集实验区、凤台县、寿县)，总面积5582.4km2，其中，平原区面积约2724km2，山丘区面积约2858.4km2。淮南市国土面积约占全省总面积的3.99%，约占安徽省淮河流域总面积的8.38%。</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3" w:firstLineChars="200"/>
        <w:textAlignment w:val="auto"/>
        <w:outlineLvl w:val="9"/>
        <w:rPr>
          <w:rFonts w:hint="eastAsia" w:ascii="方正仿宋_GBK" w:hAnsi="方正仿宋_GBK" w:eastAsia="方正仿宋_GBK" w:cs="方正仿宋_GBK"/>
          <w:b/>
          <w:bCs/>
          <w:kern w:val="0"/>
          <w:sz w:val="32"/>
          <w:szCs w:val="32"/>
          <w:shd w:val="clear" w:color="auto" w:fill="FFFFFF"/>
          <w:lang w:val="en-US" w:eastAsia="zh-CN" w:bidi="ar-SA"/>
        </w:rPr>
      </w:pPr>
      <w:r>
        <w:rPr>
          <w:rFonts w:hint="eastAsia" w:ascii="方正仿宋_GBK" w:hAnsi="方正仿宋_GBK" w:eastAsia="方正仿宋_GBK" w:cs="方正仿宋_GBK"/>
          <w:b/>
          <w:bCs/>
          <w:kern w:val="0"/>
          <w:sz w:val="32"/>
          <w:szCs w:val="32"/>
          <w:shd w:val="clear" w:color="auto" w:fill="FFFFFF"/>
          <w:lang w:val="en-US" w:eastAsia="zh-CN" w:bidi="ar-SA"/>
        </w:rPr>
        <w:t>（2）水文气象</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淮南市属暖温带半湿润大陆性季风气候区，四季分明，气候温和，光照充足，热量丰沛，雨量适中，无霜期长，季风显著，雨热同季。近五年平均气温16.3℃；历史极端最高气温41.2℃（1959年8月23日），历史极端最低气温-22.2℃（1955年1月6日）；昼夜与区域较差大。多年平均降水量900.1mm，降雨量年内分配不均，年际变化变化大；最大年降水量1991年1407.8mm，最小降水量1978年433.6mm；汛期5~9月份降水量占全年降水量的67.8%左右。</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3" w:firstLineChars="200"/>
        <w:textAlignment w:val="auto"/>
        <w:outlineLvl w:val="9"/>
        <w:rPr>
          <w:rFonts w:hint="eastAsia" w:ascii="方正仿宋_GBK" w:hAnsi="方正仿宋_GBK" w:eastAsia="方正仿宋_GBK" w:cs="方正仿宋_GBK"/>
          <w:b/>
          <w:bCs/>
          <w:kern w:val="0"/>
          <w:sz w:val="32"/>
          <w:szCs w:val="32"/>
          <w:shd w:val="clear" w:color="auto" w:fill="FFFFFF"/>
          <w:lang w:val="en-US" w:eastAsia="zh-CN" w:bidi="ar-SA"/>
        </w:rPr>
      </w:pPr>
      <w:r>
        <w:rPr>
          <w:rFonts w:hint="eastAsia" w:ascii="方正仿宋_GBK" w:hAnsi="方正仿宋_GBK" w:eastAsia="方正仿宋_GBK" w:cs="方正仿宋_GBK"/>
          <w:b/>
          <w:bCs/>
          <w:kern w:val="0"/>
          <w:sz w:val="32"/>
          <w:szCs w:val="32"/>
          <w:shd w:val="clear" w:color="auto" w:fill="FFFFFF"/>
          <w:lang w:val="en-US" w:eastAsia="zh-CN" w:bidi="ar-SA"/>
        </w:rPr>
        <w:t>（3）河（湖库）流水系</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3"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b/>
          <w:bCs/>
          <w:kern w:val="0"/>
          <w:sz w:val="32"/>
          <w:szCs w:val="32"/>
          <w:shd w:val="clear" w:color="auto" w:fill="FFFFFF"/>
          <w:lang w:val="en-US" w:eastAsia="zh-CN" w:bidi="ar-SA"/>
        </w:rPr>
        <w:t>①</w:t>
      </w:r>
      <w:r>
        <w:rPr>
          <w:rFonts w:hint="default" w:ascii="Times New Roman" w:hAnsi="Times New Roman" w:eastAsia="方正仿宋_GBK" w:cs="Times New Roman"/>
          <w:kern w:val="0"/>
          <w:sz w:val="32"/>
          <w:szCs w:val="32"/>
          <w:shd w:val="clear" w:color="auto" w:fill="FFFFFF"/>
          <w:lang w:val="en-US" w:eastAsia="zh-CN" w:bidi="ar-SA"/>
        </w:rPr>
        <w:t>淮南市属淮河水系，淮河干流至西向东穿越市境共长105km。距淮南市上游约101km处有临淮岗洪水控制工程，在距淮南市下游约51km处有蚌埠闸大型水利枢纽工程，闸上利用河槽、湖泊等蓄水调节</w:t>
      </w:r>
      <w:r>
        <w:rPr>
          <w:rFonts w:hint="default" w:ascii="Times New Roman" w:hAnsi="Times New Roman" w:eastAsia="方正仿宋_GBK" w:cs="Times New Roman"/>
          <w:kern w:val="0"/>
          <w:sz w:val="32"/>
          <w:szCs w:val="32"/>
          <w:shd w:val="clear" w:color="auto" w:fill="FFFFFF"/>
          <w:lang w:val="en-US" w:eastAsia="zh-CN" w:bidi="ar-SA"/>
        </w:rPr>
        <w:fldChar w:fldCharType="begin"/>
      </w:r>
      <w:r>
        <w:rPr>
          <w:rFonts w:hint="default" w:ascii="Times New Roman" w:hAnsi="Times New Roman" w:eastAsia="方正仿宋_GBK" w:cs="Times New Roman"/>
          <w:kern w:val="0"/>
          <w:sz w:val="32"/>
          <w:szCs w:val="32"/>
          <w:shd w:val="clear" w:color="auto" w:fill="FFFFFF"/>
          <w:lang w:val="en-US" w:eastAsia="zh-CN" w:bidi="ar-SA"/>
        </w:rPr>
        <w:instrText xml:space="preserve"> HYPERLINK "http://baike.so.com/doc/5336803-5572242.html" \t "http://baike.so.com/doc/_blank" </w:instrText>
      </w:r>
      <w:r>
        <w:rPr>
          <w:rFonts w:hint="default" w:ascii="Times New Roman" w:hAnsi="Times New Roman" w:eastAsia="方正仿宋_GBK" w:cs="Times New Roman"/>
          <w:kern w:val="0"/>
          <w:sz w:val="32"/>
          <w:szCs w:val="32"/>
          <w:shd w:val="clear" w:color="auto" w:fill="FFFFFF"/>
          <w:lang w:val="en-US" w:eastAsia="zh-CN" w:bidi="ar-SA"/>
        </w:rPr>
        <w:fldChar w:fldCharType="separate"/>
      </w:r>
      <w:r>
        <w:rPr>
          <w:rFonts w:hint="default" w:ascii="Times New Roman" w:hAnsi="Times New Roman" w:eastAsia="方正仿宋_GBK" w:cs="Times New Roman"/>
          <w:kern w:val="0"/>
          <w:sz w:val="32"/>
          <w:szCs w:val="32"/>
          <w:shd w:val="clear" w:color="auto" w:fill="FFFFFF"/>
          <w:lang w:val="en-US" w:eastAsia="zh-CN" w:bidi="ar-SA"/>
        </w:rPr>
        <w:t>淮河</w:t>
      </w:r>
      <w:r>
        <w:rPr>
          <w:rFonts w:hint="default" w:ascii="Times New Roman" w:hAnsi="Times New Roman" w:eastAsia="方正仿宋_GBK" w:cs="Times New Roman"/>
          <w:kern w:val="0"/>
          <w:sz w:val="32"/>
          <w:szCs w:val="32"/>
          <w:shd w:val="clear" w:color="auto" w:fill="FFFFFF"/>
          <w:lang w:val="en-US" w:eastAsia="zh-CN" w:bidi="ar-SA"/>
        </w:rPr>
        <w:fldChar w:fldCharType="end"/>
      </w:r>
      <w:r>
        <w:rPr>
          <w:rFonts w:hint="default" w:ascii="Times New Roman" w:hAnsi="Times New Roman" w:eastAsia="方正仿宋_GBK" w:cs="Times New Roman"/>
          <w:kern w:val="0"/>
          <w:sz w:val="32"/>
          <w:szCs w:val="32"/>
          <w:shd w:val="clear" w:color="auto" w:fill="FFFFFF"/>
          <w:lang w:val="en-US" w:eastAsia="zh-CN" w:bidi="ar-SA"/>
        </w:rPr>
        <w:t>水量。</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3"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b/>
          <w:bCs/>
          <w:kern w:val="0"/>
          <w:sz w:val="32"/>
          <w:szCs w:val="32"/>
          <w:shd w:val="clear" w:color="auto" w:fill="FFFFFF"/>
          <w:lang w:val="en-US" w:eastAsia="zh-CN" w:bidi="ar-SA"/>
        </w:rPr>
        <w:t>②</w:t>
      </w:r>
      <w:r>
        <w:rPr>
          <w:rFonts w:hint="default" w:ascii="Times New Roman" w:hAnsi="Times New Roman" w:eastAsia="方正仿宋_GBK" w:cs="Times New Roman"/>
          <w:kern w:val="0"/>
          <w:sz w:val="32"/>
          <w:szCs w:val="32"/>
          <w:shd w:val="clear" w:color="auto" w:fill="FFFFFF"/>
          <w:lang w:val="en-US" w:eastAsia="zh-CN" w:bidi="ar-SA"/>
        </w:rPr>
        <w:t>市境内主要支流有：淠河河长57.7km、流域面积1368km2；茨淮新河河长39.2km、流域面积112km2；西淝河河长31km、流域面积120km2；东淝河河长3.2km、流域面积4km2；泥河河长60km、流域面积611km2；架河河长27km、流域面积180km2；黑河境内河长30km、流域面积120km2；窑河境内河长7.5km、流域面积15km2；永幸河河长42km、流域面积75km2。</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3"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b/>
          <w:bCs/>
          <w:kern w:val="0"/>
          <w:sz w:val="32"/>
          <w:szCs w:val="32"/>
          <w:shd w:val="clear" w:color="auto" w:fill="FFFFFF"/>
          <w:lang w:val="en-US" w:eastAsia="zh-CN" w:bidi="ar-SA"/>
        </w:rPr>
        <w:t>③</w:t>
      </w:r>
      <w:r>
        <w:rPr>
          <w:rFonts w:hint="default" w:ascii="Times New Roman" w:hAnsi="Times New Roman" w:eastAsia="方正仿宋_GBK" w:cs="Times New Roman"/>
          <w:kern w:val="0"/>
          <w:sz w:val="32"/>
          <w:szCs w:val="32"/>
          <w:shd w:val="clear" w:color="auto" w:fill="FFFFFF"/>
          <w:lang w:val="en-US" w:eastAsia="zh-CN" w:bidi="ar-SA"/>
        </w:rPr>
        <w:t>主要湖泊有：焦岗湖，水面面积37.5km2（境内水面积约26.5km2），正常蓄水位18.00m，蓄水量0.42亿m³；瓦埠湖，水位保持在18.0m时，其相应的湖区水面达156km2，蓄水量为3.0亿m³；高塘湖，水位18.50m，长20.0km，最大宽3.0km，平均宽2.45km，水面面积49.0km2(滁州境内约15.9km2)，最大水深3.5m，平均水深2.73m，蓄水量1.40亿m³；十涧湖，流域面积10.1km2，其中水面及湿地5.47km2，正常蓄水位19.00m，蓄水量0.03亿m³；肖严湖，正常蓄水位19.50m，蓄水量0.0307亿m³。</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3"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b/>
          <w:bCs/>
          <w:kern w:val="0"/>
          <w:sz w:val="32"/>
          <w:szCs w:val="32"/>
          <w:shd w:val="clear" w:color="auto" w:fill="FFFFFF"/>
          <w:lang w:val="en-US" w:eastAsia="zh-CN" w:bidi="ar-SA"/>
        </w:rPr>
        <w:t>④</w:t>
      </w:r>
      <w:r>
        <w:rPr>
          <w:rFonts w:hint="default" w:ascii="Times New Roman" w:hAnsi="Times New Roman" w:eastAsia="方正仿宋_GBK" w:cs="Times New Roman"/>
          <w:kern w:val="0"/>
          <w:sz w:val="32"/>
          <w:szCs w:val="32"/>
          <w:shd w:val="clear" w:color="auto" w:fill="FFFFFF"/>
          <w:lang w:val="en-US" w:eastAsia="zh-CN" w:bidi="ar-SA"/>
        </w:rPr>
        <w:t>全市共有中小型水库184座，总库容21378万m³，总汇水面积1037km²。其中：中型水库3座，总库容14000万m³，总汇水面积429.8km²，分别为寿县境内的安丰塘水库（总库容8400万m³，汇水面积390.0km²）、大井水库（总库容4660万m³，汇水面积33.6km²）、花果水库（总库容940万m³，汇水面积6.2km²）；小（一）型水库20座，总库容3392万m³；小（二）型水库161座，总库容3986万m³。</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3"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b/>
          <w:bCs/>
          <w:kern w:val="0"/>
          <w:sz w:val="32"/>
          <w:szCs w:val="32"/>
          <w:shd w:val="clear" w:color="auto" w:fill="FFFFFF"/>
          <w:lang w:val="en-US" w:eastAsia="zh-CN" w:bidi="ar-SA"/>
        </w:rPr>
        <w:t>⑤</w:t>
      </w:r>
      <w:r>
        <w:rPr>
          <w:rFonts w:hint="default" w:ascii="Times New Roman" w:hAnsi="Times New Roman" w:eastAsia="方正仿宋_GBK" w:cs="Times New Roman"/>
          <w:kern w:val="0"/>
          <w:sz w:val="32"/>
          <w:szCs w:val="32"/>
          <w:shd w:val="clear" w:color="auto" w:fill="FFFFFF"/>
          <w:lang w:val="en-US" w:eastAsia="zh-CN" w:bidi="ar-SA"/>
        </w:rPr>
        <w:t>淮南市因采煤而形成的沉陷区较多，2015年底采煤沉陷区面积约171.02km²，水面面积约70.91km²，蓄水量约1.375亿km²。</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境内河流湖库具体情况见表1.1-1、1.1-2、1.1-3，主要河流水系图见图1.1-2，水利工程及“十三五”规划见附图1。</w:t>
      </w:r>
    </w:p>
    <w:p>
      <w:pPr>
        <w:pageBreakBefore w:val="0"/>
        <w:kinsoku/>
        <w:overflowPunct/>
        <w:topLinePunct w:val="0"/>
        <w:autoSpaceDE/>
        <w:autoSpaceDN/>
        <w:bidi w:val="0"/>
        <w:spacing w:line="590" w:lineRule="exact"/>
        <w:jc w:val="center"/>
        <w:textAlignment w:val="auto"/>
        <w:rPr>
          <w:b/>
          <w:bCs/>
          <w:sz w:val="24"/>
        </w:rPr>
      </w:pPr>
    </w:p>
    <w:p>
      <w:pPr>
        <w:spacing w:line="360" w:lineRule="auto"/>
        <w:jc w:val="center"/>
        <w:rPr>
          <w:b/>
          <w:bCs/>
          <w:sz w:val="24"/>
        </w:rPr>
        <w:sectPr>
          <w:headerReference r:id="rId3" w:type="default"/>
          <w:footerReference r:id="rId4" w:type="default"/>
          <w:footerReference r:id="rId5" w:type="even"/>
          <w:pgSz w:w="11906" w:h="16838"/>
          <w:pgMar w:top="1440" w:right="1800" w:bottom="1440" w:left="1800" w:header="851" w:footer="992" w:gutter="0"/>
          <w:pgNumType w:fmt="numberInDash" w:start="1"/>
          <w:cols w:space="720" w:num="1"/>
          <w:docGrid w:type="lines" w:linePitch="312" w:charSpace="0"/>
        </w:sectPr>
      </w:pPr>
    </w:p>
    <w:p>
      <w:pPr>
        <w:adjustRightInd w:val="0"/>
        <w:snapToGrid w:val="0"/>
        <w:jc w:val="center"/>
        <w:rPr>
          <w:b/>
          <w:bCs/>
          <w:sz w:val="24"/>
        </w:rPr>
      </w:pPr>
      <w:r>
        <w:rPr>
          <w:rFonts w:hint="eastAsia" w:ascii="方正黑体_GBK" w:hAnsi="方正黑体_GBK" w:eastAsia="方正黑体_GBK" w:cs="方正黑体_GBK"/>
          <w:b/>
          <w:bCs/>
          <w:sz w:val="24"/>
        </w:rPr>
        <w:drawing>
          <wp:anchor distT="0" distB="0" distL="114300" distR="114300" simplePos="0" relativeHeight="251659264" behindDoc="1" locked="0" layoutInCell="1" allowOverlap="1">
            <wp:simplePos x="0" y="0"/>
            <wp:positionH relativeFrom="page">
              <wp:posOffset>1120140</wp:posOffset>
            </wp:positionH>
            <wp:positionV relativeFrom="page">
              <wp:posOffset>1292860</wp:posOffset>
            </wp:positionV>
            <wp:extent cx="5666105" cy="7305040"/>
            <wp:effectExtent l="0" t="0" r="10795" b="10160"/>
            <wp:wrapTight wrapText="bothSides">
              <wp:wrapPolygon>
                <wp:start x="0" y="0"/>
                <wp:lineTo x="0" y="21517"/>
                <wp:lineTo x="21496" y="21517"/>
                <wp:lineTo x="21496" y="0"/>
                <wp:lineTo x="0" y="0"/>
              </wp:wrapPolygon>
            </wp:wrapTight>
            <wp:docPr id="73" name="图片 37" descr="QQ图片2016122111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7" descr="QQ图片20161221112126"/>
                    <pic:cNvPicPr>
                      <a:picLocks noChangeAspect="1"/>
                    </pic:cNvPicPr>
                  </pic:nvPicPr>
                  <pic:blipFill>
                    <a:blip r:embed="rId29"/>
                    <a:srcRect b="2840"/>
                    <a:stretch>
                      <a:fillRect/>
                    </a:stretch>
                  </pic:blipFill>
                  <pic:spPr>
                    <a:xfrm>
                      <a:off x="0" y="0"/>
                      <a:ext cx="5666105" cy="7305040"/>
                    </a:xfrm>
                    <a:prstGeom prst="rect">
                      <a:avLst/>
                    </a:prstGeom>
                    <a:noFill/>
                    <a:ln>
                      <a:noFill/>
                    </a:ln>
                  </pic:spPr>
                </pic:pic>
              </a:graphicData>
            </a:graphic>
          </wp:anchor>
        </w:drawing>
      </w:r>
      <w:r>
        <w:rPr>
          <w:rFonts w:hint="eastAsia" w:ascii="方正黑体_GBK" w:hAnsi="方正黑体_GBK" w:eastAsia="方正黑体_GBK" w:cs="方正黑体_GBK"/>
          <w:b/>
          <w:bCs/>
          <w:sz w:val="24"/>
        </w:rPr>
        <w:t>图1.1-1 淮南市行政</w:t>
      </w:r>
      <w:r>
        <w:rPr>
          <w:b/>
          <w:bCs/>
          <w:sz w:val="24"/>
        </w:rPr>
        <w:drawing>
          <wp:inline distT="0" distB="0" distL="114300" distR="114300">
            <wp:extent cx="5476240" cy="7338060"/>
            <wp:effectExtent l="0" t="0" r="10160" b="15240"/>
            <wp:docPr id="80" name="图片 32" descr="QQ图片2016122111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descr="QQ图片20161221112136"/>
                    <pic:cNvPicPr>
                      <a:picLocks noChangeAspect="1"/>
                    </pic:cNvPicPr>
                  </pic:nvPicPr>
                  <pic:blipFill>
                    <a:blip r:embed="rId30"/>
                    <a:srcRect b="2899"/>
                    <a:stretch>
                      <a:fillRect/>
                    </a:stretch>
                  </pic:blipFill>
                  <pic:spPr>
                    <a:xfrm>
                      <a:off x="0" y="0"/>
                      <a:ext cx="5476240" cy="7338060"/>
                    </a:xfrm>
                    <a:prstGeom prst="rect">
                      <a:avLst/>
                    </a:prstGeom>
                    <a:noFill/>
                    <a:ln>
                      <a:noFill/>
                    </a:ln>
                  </pic:spPr>
                </pic:pic>
              </a:graphicData>
            </a:graphic>
          </wp:inline>
        </w:drawing>
      </w:r>
    </w:p>
    <w:p>
      <w:pPr>
        <w:adjustRightInd w:val="0"/>
        <w:snapToGrid w:val="0"/>
        <w:jc w:val="center"/>
        <w:rPr>
          <w:rFonts w:hint="eastAsia" w:ascii="方正黑体_GBK" w:hAnsi="方正黑体_GBK" w:eastAsia="方正黑体_GBK" w:cs="方正黑体_GBK"/>
          <w:b/>
          <w:bCs/>
          <w:sz w:val="24"/>
        </w:rPr>
        <w:sectPr>
          <w:pgSz w:w="11906" w:h="16838"/>
          <w:pgMar w:top="1440" w:right="1800" w:bottom="1440" w:left="1800" w:header="851" w:footer="992" w:gutter="0"/>
          <w:pgNumType w:fmt="numberInDash"/>
          <w:cols w:space="720" w:num="1"/>
          <w:docGrid w:type="lines" w:linePitch="312" w:charSpace="0"/>
        </w:sectPr>
      </w:pPr>
      <w:r>
        <w:rPr>
          <w:rFonts w:hint="eastAsia" w:ascii="方正黑体_GBK" w:hAnsi="方正黑体_GBK" w:eastAsia="方正黑体_GBK" w:cs="方正黑体_GBK"/>
          <w:b/>
          <w:bCs/>
          <w:sz w:val="24"/>
        </w:rPr>
        <w:t>图1.1-2  淮南市河流水系图</w:t>
      </w:r>
    </w:p>
    <w:p>
      <w:pPr>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表1.1-1 淮南市主要河流一览表</w:t>
      </w:r>
    </w:p>
    <w:tbl>
      <w:tblPr>
        <w:tblStyle w:val="12"/>
        <w:tblW w:w="0" w:type="auto"/>
        <w:jc w:val="center"/>
        <w:tblLayout w:type="fixed"/>
        <w:tblCellMar>
          <w:top w:w="15" w:type="dxa"/>
          <w:left w:w="15" w:type="dxa"/>
          <w:bottom w:w="15" w:type="dxa"/>
          <w:right w:w="15" w:type="dxa"/>
        </w:tblCellMar>
      </w:tblPr>
      <w:tblGrid>
        <w:gridCol w:w="638"/>
        <w:gridCol w:w="1860"/>
        <w:gridCol w:w="1069"/>
        <w:gridCol w:w="1559"/>
        <w:gridCol w:w="1487"/>
        <w:gridCol w:w="2064"/>
        <w:gridCol w:w="1263"/>
      </w:tblGrid>
      <w:tr>
        <w:tblPrEx>
          <w:tblCellMar>
            <w:top w:w="15" w:type="dxa"/>
            <w:left w:w="15" w:type="dxa"/>
            <w:bottom w:w="15" w:type="dxa"/>
            <w:right w:w="15" w:type="dxa"/>
          </w:tblCellMar>
        </w:tblPrEx>
        <w:trPr>
          <w:trHeight w:val="359" w:hRule="atLeast"/>
          <w:jc w:val="center"/>
        </w:trPr>
        <w:tc>
          <w:tcPr>
            <w:tcW w:w="63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序号</w:t>
            </w:r>
          </w:p>
        </w:tc>
        <w:tc>
          <w:tcPr>
            <w:tcW w:w="186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河流名称</w:t>
            </w:r>
          </w:p>
        </w:tc>
        <w:tc>
          <w:tcPr>
            <w:tcW w:w="1069"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水  系</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境内河长</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境内流域面积</w:t>
            </w:r>
          </w:p>
        </w:tc>
        <w:tc>
          <w:tcPr>
            <w:tcW w:w="206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流经县、区</w:t>
            </w:r>
          </w:p>
        </w:tc>
        <w:tc>
          <w:tcPr>
            <w:tcW w:w="126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备  注</w:t>
            </w:r>
          </w:p>
        </w:tc>
      </w:tr>
      <w:tr>
        <w:tblPrEx>
          <w:tblCellMar>
            <w:top w:w="15" w:type="dxa"/>
            <w:left w:w="15" w:type="dxa"/>
            <w:bottom w:w="15" w:type="dxa"/>
            <w:right w:w="15" w:type="dxa"/>
          </w:tblCellMar>
        </w:tblPrEx>
        <w:trPr>
          <w:trHeight w:val="306" w:hRule="atLeast"/>
          <w:jc w:val="center"/>
        </w:trPr>
        <w:tc>
          <w:tcPr>
            <w:tcW w:w="63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86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069"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（km）</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（km</w:t>
            </w:r>
            <w:r>
              <w:rPr>
                <w:rStyle w:val="17"/>
                <w:rFonts w:hint="default" w:ascii="Times New Roman" w:hAnsi="Times New Roman" w:eastAsia="方正仿宋_GBK" w:cs="Times New Roman"/>
                <w:color w:val="auto"/>
                <w:sz w:val="21"/>
                <w:szCs w:val="21"/>
                <w:lang w:bidi="ar"/>
              </w:rPr>
              <w:t>2</w:t>
            </w:r>
            <w:r>
              <w:rPr>
                <w:rStyle w:val="18"/>
                <w:rFonts w:hint="default" w:ascii="Times New Roman" w:hAnsi="Times New Roman" w:eastAsia="方正仿宋_GBK" w:cs="Times New Roman"/>
                <w:color w:val="auto"/>
                <w:sz w:val="21"/>
                <w:szCs w:val="21"/>
                <w:lang w:bidi="ar"/>
              </w:rPr>
              <w:t>）</w:t>
            </w:r>
          </w:p>
        </w:tc>
        <w:tc>
          <w:tcPr>
            <w:tcW w:w="2064"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26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r>
      <w:tr>
        <w:tblPrEx>
          <w:tblCellMar>
            <w:top w:w="15" w:type="dxa"/>
            <w:left w:w="15" w:type="dxa"/>
            <w:bottom w:w="15" w:type="dxa"/>
            <w:right w:w="15" w:type="dxa"/>
          </w:tblCellMar>
        </w:tblPrEx>
        <w:trPr>
          <w:trHeight w:val="306" w:hRule="atLeast"/>
          <w:jc w:val="center"/>
        </w:trPr>
        <w:tc>
          <w:tcPr>
            <w:tcW w:w="63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105</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5582.4</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淮南市、凤台县</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跨省干流</w:t>
            </w:r>
          </w:p>
        </w:tc>
      </w:tr>
      <w:tr>
        <w:tblPrEx>
          <w:tblCellMar>
            <w:top w:w="15" w:type="dxa"/>
            <w:left w:w="15" w:type="dxa"/>
            <w:bottom w:w="15" w:type="dxa"/>
            <w:right w:w="15" w:type="dxa"/>
          </w:tblCellMar>
        </w:tblPrEx>
        <w:trPr>
          <w:trHeight w:val="306" w:hRule="atLeast"/>
          <w:jc w:val="center"/>
        </w:trPr>
        <w:tc>
          <w:tcPr>
            <w:tcW w:w="63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西淝河</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31</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120</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凤台县、毛集实验区</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一级支流</w:t>
            </w:r>
          </w:p>
        </w:tc>
      </w:tr>
      <w:tr>
        <w:tblPrEx>
          <w:tblCellMar>
            <w:top w:w="15" w:type="dxa"/>
            <w:left w:w="15" w:type="dxa"/>
            <w:bottom w:w="15" w:type="dxa"/>
            <w:right w:w="15" w:type="dxa"/>
          </w:tblCellMar>
        </w:tblPrEx>
        <w:trPr>
          <w:trHeight w:val="306" w:hRule="atLeast"/>
          <w:jc w:val="center"/>
        </w:trPr>
        <w:tc>
          <w:tcPr>
            <w:tcW w:w="63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济河</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西淝河</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4.2</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二级支流</w:t>
            </w:r>
          </w:p>
        </w:tc>
      </w:tr>
      <w:tr>
        <w:tblPrEx>
          <w:tblCellMar>
            <w:top w:w="15" w:type="dxa"/>
            <w:left w:w="15" w:type="dxa"/>
            <w:bottom w:w="15" w:type="dxa"/>
            <w:right w:w="15" w:type="dxa"/>
          </w:tblCellMar>
        </w:tblPrEx>
        <w:trPr>
          <w:trHeight w:val="306" w:hRule="atLeast"/>
          <w:jc w:val="center"/>
        </w:trPr>
        <w:tc>
          <w:tcPr>
            <w:tcW w:w="63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港河</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西淝河</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7.3</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17.3</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二级支流</w:t>
            </w:r>
          </w:p>
        </w:tc>
      </w:tr>
      <w:tr>
        <w:tblPrEx>
          <w:tblCellMar>
            <w:top w:w="15" w:type="dxa"/>
            <w:left w:w="15" w:type="dxa"/>
            <w:bottom w:w="15" w:type="dxa"/>
            <w:right w:w="15" w:type="dxa"/>
          </w:tblCellMar>
        </w:tblPrEx>
        <w:trPr>
          <w:trHeight w:val="306" w:hRule="atLeast"/>
          <w:jc w:val="center"/>
        </w:trPr>
        <w:tc>
          <w:tcPr>
            <w:tcW w:w="63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永幸河</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永幸河</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42</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75</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一级支流</w:t>
            </w:r>
          </w:p>
        </w:tc>
      </w:tr>
      <w:tr>
        <w:tblPrEx>
          <w:tblCellMar>
            <w:top w:w="15" w:type="dxa"/>
            <w:left w:w="15" w:type="dxa"/>
            <w:bottom w:w="15" w:type="dxa"/>
            <w:right w:w="15" w:type="dxa"/>
          </w:tblCellMar>
        </w:tblPrEx>
        <w:trPr>
          <w:trHeight w:val="306" w:hRule="atLeast"/>
          <w:jc w:val="center"/>
        </w:trPr>
        <w:tc>
          <w:tcPr>
            <w:tcW w:w="63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架河</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架河</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27</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180</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凤台县、潘集区</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一级支流</w:t>
            </w:r>
          </w:p>
        </w:tc>
      </w:tr>
      <w:tr>
        <w:tblPrEx>
          <w:tblCellMar>
            <w:top w:w="15" w:type="dxa"/>
            <w:left w:w="15" w:type="dxa"/>
            <w:bottom w:w="15" w:type="dxa"/>
            <w:right w:w="15" w:type="dxa"/>
          </w:tblCellMar>
        </w:tblPrEx>
        <w:trPr>
          <w:trHeight w:val="306" w:hRule="atLeast"/>
          <w:jc w:val="center"/>
        </w:trPr>
        <w:tc>
          <w:tcPr>
            <w:tcW w:w="63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泥河</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泥河</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60</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611</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凤台县、潘集区</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一级支流</w:t>
            </w:r>
          </w:p>
        </w:tc>
      </w:tr>
      <w:tr>
        <w:tblPrEx>
          <w:tblCellMar>
            <w:top w:w="15" w:type="dxa"/>
            <w:left w:w="15" w:type="dxa"/>
            <w:bottom w:w="15" w:type="dxa"/>
            <w:right w:w="15" w:type="dxa"/>
          </w:tblCellMar>
        </w:tblPrEx>
        <w:trPr>
          <w:trHeight w:val="306" w:hRule="atLeast"/>
          <w:jc w:val="center"/>
        </w:trPr>
        <w:tc>
          <w:tcPr>
            <w:tcW w:w="63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黑河</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泥河</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30</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120</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潘集区</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二级支流</w:t>
            </w:r>
          </w:p>
        </w:tc>
      </w:tr>
      <w:tr>
        <w:tblPrEx>
          <w:tblCellMar>
            <w:top w:w="15" w:type="dxa"/>
            <w:left w:w="15" w:type="dxa"/>
            <w:bottom w:w="15" w:type="dxa"/>
            <w:right w:w="15" w:type="dxa"/>
          </w:tblCellMar>
        </w:tblPrEx>
        <w:trPr>
          <w:trHeight w:val="306" w:hRule="atLeast"/>
          <w:jc w:val="center"/>
        </w:trPr>
        <w:tc>
          <w:tcPr>
            <w:tcW w:w="63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茨淮新河</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茨淮新河</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39.2</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112</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凤台县、潘集区</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一级支流</w:t>
            </w:r>
          </w:p>
        </w:tc>
      </w:tr>
      <w:tr>
        <w:tblPrEx>
          <w:tblCellMar>
            <w:top w:w="15" w:type="dxa"/>
            <w:left w:w="15" w:type="dxa"/>
            <w:bottom w:w="15" w:type="dxa"/>
            <w:right w:w="15" w:type="dxa"/>
          </w:tblCellMar>
        </w:tblPrEx>
        <w:trPr>
          <w:trHeight w:val="306" w:hRule="atLeast"/>
          <w:jc w:val="center"/>
        </w:trPr>
        <w:tc>
          <w:tcPr>
            <w:tcW w:w="63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10</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窑河</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窑河</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7.5</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大通区</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一级支流</w:t>
            </w:r>
          </w:p>
        </w:tc>
      </w:tr>
      <w:tr>
        <w:tblPrEx>
          <w:tblCellMar>
            <w:top w:w="15" w:type="dxa"/>
            <w:left w:w="15" w:type="dxa"/>
            <w:bottom w:w="15" w:type="dxa"/>
            <w:right w:w="15" w:type="dxa"/>
          </w:tblCellMar>
        </w:tblPrEx>
        <w:trPr>
          <w:trHeight w:val="306" w:hRule="atLeast"/>
          <w:jc w:val="center"/>
        </w:trPr>
        <w:tc>
          <w:tcPr>
            <w:tcW w:w="63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淠河</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淠河</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57.7</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1368</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一级支流</w:t>
            </w:r>
          </w:p>
        </w:tc>
      </w:tr>
      <w:tr>
        <w:tblPrEx>
          <w:tblCellMar>
            <w:top w:w="15" w:type="dxa"/>
            <w:left w:w="15" w:type="dxa"/>
            <w:bottom w:w="15" w:type="dxa"/>
            <w:right w:w="15" w:type="dxa"/>
          </w:tblCellMar>
        </w:tblPrEx>
        <w:trPr>
          <w:trHeight w:val="306" w:hRule="atLeast"/>
          <w:jc w:val="center"/>
        </w:trPr>
        <w:tc>
          <w:tcPr>
            <w:tcW w:w="63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梁家湖排涝渠</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淠河</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31</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247</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二级支流</w:t>
            </w:r>
          </w:p>
        </w:tc>
      </w:tr>
      <w:tr>
        <w:tblPrEx>
          <w:tblCellMar>
            <w:top w:w="15" w:type="dxa"/>
            <w:left w:w="15" w:type="dxa"/>
            <w:bottom w:w="15" w:type="dxa"/>
            <w:right w:w="15" w:type="dxa"/>
          </w:tblCellMar>
        </w:tblPrEx>
        <w:trPr>
          <w:trHeight w:val="306" w:hRule="atLeast"/>
          <w:jc w:val="center"/>
        </w:trPr>
        <w:tc>
          <w:tcPr>
            <w:tcW w:w="63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13</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肖严湖正南排水渠</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淠河</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32.4</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344</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二级支流</w:t>
            </w:r>
          </w:p>
        </w:tc>
      </w:tr>
      <w:tr>
        <w:tblPrEx>
          <w:tblCellMar>
            <w:top w:w="15" w:type="dxa"/>
            <w:left w:w="15" w:type="dxa"/>
            <w:bottom w:w="15" w:type="dxa"/>
            <w:right w:w="15" w:type="dxa"/>
          </w:tblCellMar>
        </w:tblPrEx>
        <w:trPr>
          <w:trHeight w:val="573" w:hRule="atLeast"/>
          <w:jc w:val="center"/>
        </w:trPr>
        <w:tc>
          <w:tcPr>
            <w:tcW w:w="63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14</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东淝河 </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东淝河</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51.8</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1347</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八公山区、谢家集区</w:t>
            </w:r>
          </w:p>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一级支流  </w:t>
            </w:r>
          </w:p>
        </w:tc>
      </w:tr>
      <w:tr>
        <w:tblPrEx>
          <w:tblCellMar>
            <w:top w:w="15" w:type="dxa"/>
            <w:left w:w="15" w:type="dxa"/>
            <w:bottom w:w="15" w:type="dxa"/>
            <w:right w:w="15" w:type="dxa"/>
          </w:tblCellMar>
        </w:tblPrEx>
        <w:trPr>
          <w:trHeight w:val="331" w:hRule="atLeast"/>
          <w:jc w:val="center"/>
        </w:trPr>
        <w:tc>
          <w:tcPr>
            <w:tcW w:w="63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东淝河西源</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东淝河</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20.5</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110</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二级支流</w:t>
            </w:r>
          </w:p>
        </w:tc>
      </w:tr>
      <w:tr>
        <w:tblPrEx>
          <w:tblCellMar>
            <w:top w:w="15" w:type="dxa"/>
            <w:left w:w="15" w:type="dxa"/>
            <w:bottom w:w="15" w:type="dxa"/>
            <w:right w:w="15" w:type="dxa"/>
          </w:tblCellMar>
        </w:tblPrEx>
        <w:trPr>
          <w:trHeight w:val="306" w:hRule="atLeast"/>
          <w:jc w:val="center"/>
        </w:trPr>
        <w:tc>
          <w:tcPr>
            <w:tcW w:w="63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16</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陡涧河</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24</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292</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二级支流</w:t>
            </w:r>
          </w:p>
        </w:tc>
      </w:tr>
      <w:tr>
        <w:tblPrEx>
          <w:tblCellMar>
            <w:top w:w="15" w:type="dxa"/>
            <w:left w:w="15" w:type="dxa"/>
            <w:bottom w:w="15" w:type="dxa"/>
            <w:right w:w="15" w:type="dxa"/>
          </w:tblCellMar>
        </w:tblPrEx>
        <w:trPr>
          <w:trHeight w:val="306" w:hRule="atLeast"/>
          <w:jc w:val="center"/>
        </w:trPr>
        <w:tc>
          <w:tcPr>
            <w:tcW w:w="63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17</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红旗沟</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14.48</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413.6</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二级支流</w:t>
            </w:r>
          </w:p>
        </w:tc>
      </w:tr>
      <w:tr>
        <w:tblPrEx>
          <w:tblCellMar>
            <w:top w:w="15" w:type="dxa"/>
            <w:left w:w="15" w:type="dxa"/>
            <w:bottom w:w="15" w:type="dxa"/>
            <w:right w:w="15" w:type="dxa"/>
          </w:tblCellMar>
        </w:tblPrEx>
        <w:trPr>
          <w:trHeight w:val="306" w:hRule="atLeast"/>
          <w:jc w:val="center"/>
        </w:trPr>
        <w:tc>
          <w:tcPr>
            <w:tcW w:w="63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18</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南小河</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28.38</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206</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二级支流</w:t>
            </w:r>
          </w:p>
        </w:tc>
      </w:tr>
      <w:tr>
        <w:tblPrEx>
          <w:tblCellMar>
            <w:top w:w="15" w:type="dxa"/>
            <w:left w:w="15" w:type="dxa"/>
            <w:bottom w:w="15" w:type="dxa"/>
            <w:right w:w="15" w:type="dxa"/>
          </w:tblCellMar>
        </w:tblPrEx>
        <w:trPr>
          <w:trHeight w:val="306" w:hRule="atLeast"/>
          <w:jc w:val="center"/>
        </w:trPr>
        <w:tc>
          <w:tcPr>
            <w:tcW w:w="63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19</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山源河</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36</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390</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金安区、寿县</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二级支流</w:t>
            </w:r>
          </w:p>
        </w:tc>
      </w:tr>
      <w:tr>
        <w:tblPrEx>
          <w:tblCellMar>
            <w:top w:w="15" w:type="dxa"/>
            <w:left w:w="15" w:type="dxa"/>
            <w:bottom w:w="15" w:type="dxa"/>
            <w:right w:w="15" w:type="dxa"/>
          </w:tblCellMar>
        </w:tblPrEx>
        <w:trPr>
          <w:trHeight w:val="306" w:hRule="atLeast"/>
          <w:jc w:val="center"/>
        </w:trPr>
        <w:tc>
          <w:tcPr>
            <w:tcW w:w="63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金小堰</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27.53</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211</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二级支流</w:t>
            </w:r>
          </w:p>
        </w:tc>
      </w:tr>
      <w:tr>
        <w:tblPrEx>
          <w:tblCellMar>
            <w:top w:w="15" w:type="dxa"/>
            <w:left w:w="15" w:type="dxa"/>
            <w:bottom w:w="15" w:type="dxa"/>
            <w:right w:w="15" w:type="dxa"/>
          </w:tblCellMar>
        </w:tblPrEx>
        <w:trPr>
          <w:trHeight w:val="306" w:hRule="atLeast"/>
          <w:jc w:val="center"/>
        </w:trPr>
        <w:tc>
          <w:tcPr>
            <w:tcW w:w="63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21</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中心沟</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40.71</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251.1</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二级支流</w:t>
            </w:r>
          </w:p>
        </w:tc>
      </w:tr>
      <w:tr>
        <w:tblPrEx>
          <w:tblCellMar>
            <w:top w:w="15" w:type="dxa"/>
            <w:left w:w="15" w:type="dxa"/>
            <w:bottom w:w="15" w:type="dxa"/>
            <w:right w:w="15" w:type="dxa"/>
          </w:tblCellMar>
        </w:tblPrEx>
        <w:trPr>
          <w:trHeight w:val="306" w:hRule="atLeast"/>
          <w:jc w:val="center"/>
        </w:trPr>
        <w:tc>
          <w:tcPr>
            <w:tcW w:w="63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22</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万小河</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29.6</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217</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二级支流</w:t>
            </w:r>
          </w:p>
        </w:tc>
      </w:tr>
      <w:tr>
        <w:tblPrEx>
          <w:tblCellMar>
            <w:top w:w="15" w:type="dxa"/>
            <w:left w:w="15" w:type="dxa"/>
            <w:bottom w:w="15" w:type="dxa"/>
            <w:right w:w="15" w:type="dxa"/>
          </w:tblCellMar>
        </w:tblPrEx>
        <w:trPr>
          <w:trHeight w:val="583" w:hRule="atLeast"/>
          <w:jc w:val="center"/>
        </w:trPr>
        <w:tc>
          <w:tcPr>
            <w:tcW w:w="63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23</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寿西湖截涝沟</w:t>
            </w:r>
          </w:p>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(护城河)</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28.12</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200</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二级支流</w:t>
            </w:r>
          </w:p>
        </w:tc>
      </w:tr>
    </w:tbl>
    <w:p>
      <w:pPr>
        <w:spacing w:line="360" w:lineRule="auto"/>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表1.1-2 淮南市主要湖泊及水闸一览表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80"/>
        <w:gridCol w:w="1080"/>
        <w:gridCol w:w="1080"/>
        <w:gridCol w:w="1080"/>
        <w:gridCol w:w="1080"/>
        <w:gridCol w:w="1080"/>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080" w:type="dxa"/>
            <w:vMerge w:val="restart"/>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序号</w:t>
            </w:r>
          </w:p>
        </w:tc>
        <w:tc>
          <w:tcPr>
            <w:tcW w:w="1080" w:type="dxa"/>
            <w:vMerge w:val="restart"/>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名  称</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正常蓄水位</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正常蓄水量</w:t>
            </w:r>
          </w:p>
        </w:tc>
        <w:tc>
          <w:tcPr>
            <w:tcW w:w="1080" w:type="dxa"/>
            <w:vMerge w:val="restart"/>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序号</w:t>
            </w:r>
          </w:p>
        </w:tc>
        <w:tc>
          <w:tcPr>
            <w:tcW w:w="1080" w:type="dxa"/>
            <w:vMerge w:val="restart"/>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名  称</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正常蓄水位</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正常蓄水量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080" w:type="dxa"/>
            <w:vMerge w:val="continue"/>
            <w:noWrap w:val="0"/>
            <w:vAlign w:val="center"/>
          </w:tcPr>
          <w:p>
            <w:pPr>
              <w:jc w:val="center"/>
              <w:rPr>
                <w:rFonts w:hint="default" w:ascii="Times New Roman" w:hAnsi="Times New Roman" w:eastAsia="方正仿宋_GBK" w:cs="Times New Roman"/>
                <w:sz w:val="20"/>
                <w:szCs w:val="20"/>
              </w:rPr>
            </w:pPr>
          </w:p>
        </w:tc>
        <w:tc>
          <w:tcPr>
            <w:tcW w:w="1080" w:type="dxa"/>
            <w:vMerge w:val="continue"/>
            <w:noWrap w:val="0"/>
            <w:vAlign w:val="center"/>
          </w:tcPr>
          <w:p>
            <w:pPr>
              <w:jc w:val="center"/>
              <w:rPr>
                <w:rFonts w:hint="default" w:ascii="Times New Roman" w:hAnsi="Times New Roman" w:eastAsia="方正仿宋_GBK" w:cs="Times New Roman"/>
                <w:sz w:val="20"/>
                <w:szCs w:val="20"/>
              </w:rPr>
            </w:pP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（m）</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（亿</w:t>
            </w:r>
            <w:r>
              <w:rPr>
                <w:rFonts w:hint="default" w:ascii="Times New Roman" w:hAnsi="Times New Roman" w:eastAsia="方正仿宋_GBK" w:cs="Times New Roman"/>
                <w:kern w:val="0"/>
                <w:sz w:val="20"/>
                <w:szCs w:val="20"/>
                <w:lang w:eastAsia="zh-CN" w:bidi="ar"/>
              </w:rPr>
              <w:t>m³</w:t>
            </w:r>
            <w:r>
              <w:rPr>
                <w:rFonts w:hint="default" w:ascii="Times New Roman" w:hAnsi="Times New Roman" w:eastAsia="方正仿宋_GBK" w:cs="Times New Roman"/>
                <w:kern w:val="0"/>
                <w:sz w:val="20"/>
                <w:szCs w:val="20"/>
                <w:lang w:bidi="ar"/>
              </w:rPr>
              <w:t>）</w:t>
            </w:r>
          </w:p>
        </w:tc>
        <w:tc>
          <w:tcPr>
            <w:tcW w:w="1080" w:type="dxa"/>
            <w:vMerge w:val="continue"/>
            <w:noWrap w:val="0"/>
            <w:vAlign w:val="center"/>
          </w:tcPr>
          <w:p>
            <w:pPr>
              <w:jc w:val="center"/>
              <w:rPr>
                <w:rFonts w:hint="default" w:ascii="Times New Roman" w:hAnsi="Times New Roman" w:eastAsia="方正仿宋_GBK" w:cs="Times New Roman"/>
                <w:sz w:val="20"/>
                <w:szCs w:val="20"/>
              </w:rPr>
            </w:pPr>
          </w:p>
        </w:tc>
        <w:tc>
          <w:tcPr>
            <w:tcW w:w="1080" w:type="dxa"/>
            <w:vMerge w:val="continue"/>
            <w:noWrap w:val="0"/>
            <w:vAlign w:val="center"/>
          </w:tcPr>
          <w:p>
            <w:pPr>
              <w:jc w:val="center"/>
              <w:rPr>
                <w:rFonts w:hint="default" w:ascii="Times New Roman" w:hAnsi="Times New Roman" w:eastAsia="方正仿宋_GBK" w:cs="Times New Roman"/>
                <w:sz w:val="20"/>
                <w:szCs w:val="20"/>
              </w:rPr>
            </w:pP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（m）</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（亿</w:t>
            </w:r>
            <w:r>
              <w:rPr>
                <w:rFonts w:hint="default" w:ascii="Times New Roman" w:hAnsi="Times New Roman" w:eastAsia="方正仿宋_GBK" w:cs="Times New Roman"/>
                <w:kern w:val="0"/>
                <w:sz w:val="20"/>
                <w:szCs w:val="20"/>
                <w:lang w:eastAsia="zh-CN" w:bidi="ar"/>
              </w:rPr>
              <w:t>m³</w:t>
            </w:r>
            <w:r>
              <w:rPr>
                <w:rFonts w:hint="default" w:ascii="Times New Roman" w:hAnsi="Times New Roman" w:eastAsia="方正仿宋_GBK" w:cs="Times New Roman"/>
                <w:kern w:val="0"/>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焦岗湖</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18.00</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0.42</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9</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孔集湾</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19.00</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2</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瓦埠湖</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18.50</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3.00</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10</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西淝河闸</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18.50</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0.600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3</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高塘湖</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18.50</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1.40</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11</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架河闸</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18.50</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4</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龙湖</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20.00</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0.005</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12</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青年闸</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18.50</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0.392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5</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十涧湖</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19.00</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0.030</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13</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尹沟闸</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18.50</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6</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新谢汇水区</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18.50</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0.009</w:t>
            </w:r>
          </w:p>
        </w:tc>
        <w:tc>
          <w:tcPr>
            <w:tcW w:w="1080" w:type="dxa"/>
            <w:noWrap w:val="0"/>
            <w:vAlign w:val="center"/>
          </w:tcPr>
          <w:p>
            <w:pPr>
              <w:jc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sz w:val="20"/>
                <w:szCs w:val="20"/>
              </w:rPr>
              <w:t>14</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大涧沟</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20.00</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7</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钱家湖</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18.50</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0.005</w:t>
            </w:r>
          </w:p>
        </w:tc>
        <w:tc>
          <w:tcPr>
            <w:tcW w:w="1080" w:type="dxa"/>
            <w:noWrap w:val="0"/>
            <w:vAlign w:val="center"/>
          </w:tcPr>
          <w:p>
            <w:pPr>
              <w:jc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sz w:val="20"/>
                <w:szCs w:val="20"/>
              </w:rPr>
              <w:t>15</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东淝河闸</w:t>
            </w:r>
          </w:p>
        </w:tc>
        <w:tc>
          <w:tcPr>
            <w:tcW w:w="1080" w:type="dxa"/>
            <w:noWrap w:val="0"/>
            <w:vAlign w:val="center"/>
          </w:tcPr>
          <w:p>
            <w:pPr>
              <w:jc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sz w:val="20"/>
                <w:szCs w:val="20"/>
              </w:rPr>
              <w:t>18.50</w:t>
            </w: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sz w:val="20"/>
                <w:szCs w:val="2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080" w:type="dxa"/>
            <w:noWrap w:val="0"/>
            <w:vAlign w:val="center"/>
          </w:tcPr>
          <w:p>
            <w:pPr>
              <w:widowControl/>
              <w:jc w:val="center"/>
              <w:textAlignment w:val="center"/>
              <w:rPr>
                <w:rFonts w:hint="default" w:ascii="Times New Roman" w:hAnsi="Times New Roman" w:eastAsia="方正仿宋_GBK" w:cs="Times New Roman"/>
                <w:kern w:val="0"/>
                <w:sz w:val="20"/>
                <w:szCs w:val="20"/>
                <w:lang w:bidi="ar"/>
              </w:rPr>
            </w:pPr>
            <w:r>
              <w:rPr>
                <w:rFonts w:hint="default" w:ascii="Times New Roman" w:hAnsi="Times New Roman" w:eastAsia="方正仿宋_GBK" w:cs="Times New Roman"/>
                <w:kern w:val="0"/>
                <w:sz w:val="20"/>
                <w:szCs w:val="20"/>
                <w:lang w:bidi="ar"/>
              </w:rPr>
              <w:t>8</w:t>
            </w:r>
          </w:p>
        </w:tc>
        <w:tc>
          <w:tcPr>
            <w:tcW w:w="1080" w:type="dxa"/>
            <w:noWrap w:val="0"/>
            <w:vAlign w:val="center"/>
          </w:tcPr>
          <w:p>
            <w:pPr>
              <w:widowControl/>
              <w:jc w:val="center"/>
              <w:textAlignment w:val="center"/>
              <w:rPr>
                <w:rFonts w:hint="default" w:ascii="Times New Roman" w:hAnsi="Times New Roman" w:eastAsia="方正仿宋_GBK" w:cs="Times New Roman"/>
                <w:kern w:val="0"/>
                <w:sz w:val="20"/>
                <w:szCs w:val="20"/>
                <w:lang w:bidi="ar"/>
              </w:rPr>
            </w:pPr>
            <w:r>
              <w:rPr>
                <w:rFonts w:hint="default" w:ascii="Times New Roman" w:hAnsi="Times New Roman" w:eastAsia="方正仿宋_GBK" w:cs="Times New Roman"/>
                <w:kern w:val="0"/>
                <w:sz w:val="20"/>
                <w:szCs w:val="20"/>
                <w:lang w:bidi="ar"/>
              </w:rPr>
              <w:t>肖严湖</w:t>
            </w:r>
          </w:p>
        </w:tc>
        <w:tc>
          <w:tcPr>
            <w:tcW w:w="1080" w:type="dxa"/>
            <w:noWrap w:val="0"/>
            <w:vAlign w:val="center"/>
          </w:tcPr>
          <w:p>
            <w:pPr>
              <w:widowControl/>
              <w:jc w:val="center"/>
              <w:textAlignment w:val="center"/>
              <w:rPr>
                <w:rFonts w:hint="default" w:ascii="Times New Roman" w:hAnsi="Times New Roman" w:eastAsia="方正仿宋_GBK" w:cs="Times New Roman"/>
                <w:kern w:val="0"/>
                <w:sz w:val="20"/>
                <w:szCs w:val="20"/>
                <w:lang w:bidi="ar"/>
              </w:rPr>
            </w:pPr>
            <w:r>
              <w:rPr>
                <w:rFonts w:hint="default" w:ascii="Times New Roman" w:hAnsi="Times New Roman" w:eastAsia="方正仿宋_GBK" w:cs="Times New Roman"/>
                <w:kern w:val="0"/>
                <w:sz w:val="20"/>
                <w:szCs w:val="20"/>
                <w:lang w:bidi="ar"/>
              </w:rPr>
              <w:t>19.50</w:t>
            </w:r>
          </w:p>
        </w:tc>
        <w:tc>
          <w:tcPr>
            <w:tcW w:w="1080" w:type="dxa"/>
            <w:noWrap w:val="0"/>
            <w:vAlign w:val="center"/>
          </w:tcPr>
          <w:p>
            <w:pPr>
              <w:widowControl/>
              <w:jc w:val="center"/>
              <w:textAlignment w:val="center"/>
              <w:rPr>
                <w:rFonts w:hint="default" w:ascii="Times New Roman" w:hAnsi="Times New Roman" w:eastAsia="方正仿宋_GBK" w:cs="Times New Roman"/>
                <w:kern w:val="0"/>
                <w:sz w:val="20"/>
                <w:szCs w:val="20"/>
                <w:lang w:bidi="ar"/>
              </w:rPr>
            </w:pPr>
            <w:r>
              <w:rPr>
                <w:rFonts w:hint="default" w:ascii="Times New Roman" w:hAnsi="Times New Roman" w:eastAsia="方正仿宋_GBK" w:cs="Times New Roman"/>
                <w:kern w:val="0"/>
                <w:sz w:val="20"/>
                <w:szCs w:val="20"/>
                <w:lang w:bidi="ar"/>
              </w:rPr>
              <w:t>0.0307</w:t>
            </w:r>
          </w:p>
        </w:tc>
        <w:tc>
          <w:tcPr>
            <w:tcW w:w="1080" w:type="dxa"/>
            <w:noWrap w:val="0"/>
            <w:vAlign w:val="center"/>
          </w:tcPr>
          <w:p>
            <w:pPr>
              <w:jc w:val="center"/>
              <w:rPr>
                <w:rFonts w:hint="default" w:ascii="Times New Roman" w:hAnsi="Times New Roman" w:eastAsia="方正仿宋_GBK" w:cs="Times New Roman"/>
                <w:sz w:val="20"/>
                <w:szCs w:val="20"/>
              </w:rPr>
            </w:pPr>
          </w:p>
        </w:tc>
        <w:tc>
          <w:tcPr>
            <w:tcW w:w="1080" w:type="dxa"/>
            <w:noWrap w:val="0"/>
            <w:vAlign w:val="center"/>
          </w:tcPr>
          <w:p>
            <w:pPr>
              <w:widowControl/>
              <w:jc w:val="center"/>
              <w:textAlignment w:val="center"/>
              <w:rPr>
                <w:rFonts w:hint="default" w:ascii="Times New Roman" w:hAnsi="Times New Roman" w:eastAsia="方正仿宋_GBK" w:cs="Times New Roman"/>
                <w:kern w:val="0"/>
                <w:sz w:val="20"/>
                <w:szCs w:val="20"/>
                <w:lang w:bidi="ar"/>
              </w:rPr>
            </w:pPr>
          </w:p>
        </w:tc>
        <w:tc>
          <w:tcPr>
            <w:tcW w:w="1080" w:type="dxa"/>
            <w:noWrap w:val="0"/>
            <w:vAlign w:val="center"/>
          </w:tcPr>
          <w:p>
            <w:pPr>
              <w:jc w:val="center"/>
              <w:rPr>
                <w:rFonts w:hint="default" w:ascii="Times New Roman" w:hAnsi="Times New Roman" w:eastAsia="方正仿宋_GBK" w:cs="Times New Roman"/>
                <w:sz w:val="20"/>
                <w:szCs w:val="20"/>
              </w:rPr>
            </w:pPr>
          </w:p>
        </w:tc>
        <w:tc>
          <w:tcPr>
            <w:tcW w:w="1080" w:type="dxa"/>
            <w:noWrap w:val="0"/>
            <w:vAlign w:val="center"/>
          </w:tcPr>
          <w:p>
            <w:pPr>
              <w:widowControl/>
              <w:jc w:val="center"/>
              <w:textAlignment w:val="center"/>
              <w:rPr>
                <w:rFonts w:hint="default" w:ascii="Times New Roman" w:hAnsi="Times New Roman" w:eastAsia="方正仿宋_GBK" w:cs="Times New Roman"/>
                <w:sz w:val="20"/>
                <w:szCs w:val="20"/>
              </w:rPr>
            </w:pPr>
          </w:p>
        </w:tc>
      </w:tr>
    </w:tbl>
    <w:p>
      <w:pPr>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表1.1-3 淮南市主要塌陷区一览表</w:t>
      </w:r>
    </w:p>
    <w:tbl>
      <w:tblPr>
        <w:tblStyle w:val="12"/>
        <w:tblW w:w="0" w:type="auto"/>
        <w:jc w:val="center"/>
        <w:tblLayout w:type="fixed"/>
        <w:tblCellMar>
          <w:top w:w="15" w:type="dxa"/>
          <w:left w:w="15" w:type="dxa"/>
          <w:bottom w:w="15" w:type="dxa"/>
          <w:right w:w="15" w:type="dxa"/>
        </w:tblCellMar>
      </w:tblPr>
      <w:tblGrid>
        <w:gridCol w:w="463"/>
        <w:gridCol w:w="1321"/>
        <w:gridCol w:w="670"/>
        <w:gridCol w:w="942"/>
        <w:gridCol w:w="1115"/>
        <w:gridCol w:w="1082"/>
        <w:gridCol w:w="1010"/>
        <w:gridCol w:w="1116"/>
        <w:gridCol w:w="1441"/>
      </w:tblGrid>
      <w:tr>
        <w:tblPrEx>
          <w:tblCellMar>
            <w:top w:w="15" w:type="dxa"/>
            <w:left w:w="15" w:type="dxa"/>
            <w:bottom w:w="15" w:type="dxa"/>
            <w:right w:w="15" w:type="dxa"/>
          </w:tblCellMar>
        </w:tblPrEx>
        <w:trPr>
          <w:trHeight w:val="586" w:hRule="atLeast"/>
          <w:jc w:val="center"/>
        </w:trPr>
        <w:tc>
          <w:tcPr>
            <w:tcW w:w="4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序号</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塌陷区名称</w:t>
            </w:r>
          </w:p>
        </w:tc>
        <w:tc>
          <w:tcPr>
            <w:tcW w:w="6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水系</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河名</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塌陷区面积（km</w:t>
            </w:r>
            <w:r>
              <w:rPr>
                <w:rFonts w:hint="default" w:ascii="Times New Roman" w:hAnsi="Times New Roman" w:eastAsia="方正仿宋_GBK" w:cs="Times New Roman"/>
                <w:kern w:val="0"/>
                <w:szCs w:val="21"/>
                <w:vertAlign w:val="superscript"/>
                <w:lang w:bidi="ar"/>
              </w:rPr>
              <w:t>2</w:t>
            </w:r>
            <w:r>
              <w:rPr>
                <w:rFonts w:hint="default" w:ascii="Times New Roman" w:hAnsi="Times New Roman" w:eastAsia="方正仿宋_GBK" w:cs="Times New Roman"/>
                <w:kern w:val="0"/>
                <w:szCs w:val="21"/>
                <w:lang w:bidi="ar"/>
              </w:rPr>
              <w:t>）</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水面面积（km</w:t>
            </w:r>
            <w:r>
              <w:rPr>
                <w:rFonts w:hint="default" w:ascii="Times New Roman" w:hAnsi="Times New Roman" w:eastAsia="方正仿宋_GBK" w:cs="Times New Roman"/>
                <w:kern w:val="0"/>
                <w:szCs w:val="21"/>
                <w:vertAlign w:val="superscript"/>
                <w:lang w:bidi="ar"/>
              </w:rPr>
              <w:t>2</w:t>
            </w:r>
            <w:r>
              <w:rPr>
                <w:rFonts w:hint="default" w:ascii="Times New Roman" w:hAnsi="Times New Roman" w:eastAsia="方正仿宋_GBK" w:cs="Times New Roman"/>
                <w:kern w:val="0"/>
                <w:szCs w:val="21"/>
                <w:lang w:bidi="ar"/>
              </w:rPr>
              <w:t>）</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水深（m）</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容积</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（亿</w:t>
            </w:r>
            <w:r>
              <w:rPr>
                <w:rFonts w:hint="default" w:ascii="Times New Roman" w:hAnsi="Times New Roman" w:eastAsia="方正仿宋_GBK" w:cs="Times New Roman"/>
                <w:kern w:val="0"/>
                <w:szCs w:val="21"/>
                <w:lang w:eastAsia="zh-CN" w:bidi="ar"/>
              </w:rPr>
              <w:t>m³</w:t>
            </w:r>
            <w:r>
              <w:rPr>
                <w:rFonts w:hint="default" w:ascii="Times New Roman" w:hAnsi="Times New Roman" w:eastAsia="方正仿宋_GBK" w:cs="Times New Roman"/>
                <w:kern w:val="0"/>
                <w:szCs w:val="21"/>
                <w:lang w:bidi="ar"/>
              </w:rPr>
              <w:t>）</w:t>
            </w:r>
          </w:p>
        </w:tc>
        <w:tc>
          <w:tcPr>
            <w:tcW w:w="144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所在行政区</w:t>
            </w:r>
          </w:p>
        </w:tc>
      </w:tr>
      <w:tr>
        <w:tblPrEx>
          <w:tblCellMar>
            <w:top w:w="15" w:type="dxa"/>
            <w:left w:w="15" w:type="dxa"/>
            <w:bottom w:w="15" w:type="dxa"/>
            <w:right w:w="15" w:type="dxa"/>
          </w:tblCellMar>
        </w:tblPrEx>
        <w:trPr>
          <w:trHeight w:val="311" w:hRule="atLeast"/>
          <w:jc w:val="center"/>
        </w:trPr>
        <w:tc>
          <w:tcPr>
            <w:tcW w:w="4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 </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谢一矿</w:t>
            </w:r>
          </w:p>
        </w:tc>
        <w:tc>
          <w:tcPr>
            <w:tcW w:w="67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w:t>
            </w:r>
          </w:p>
        </w:tc>
        <w:tc>
          <w:tcPr>
            <w:tcW w:w="94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10.52</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4.51</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2～20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0.112</w:t>
            </w:r>
          </w:p>
        </w:tc>
        <w:tc>
          <w:tcPr>
            <w:tcW w:w="144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谢家集</w:t>
            </w:r>
          </w:p>
        </w:tc>
      </w:tr>
      <w:tr>
        <w:tblPrEx>
          <w:tblCellMar>
            <w:top w:w="15" w:type="dxa"/>
            <w:left w:w="15" w:type="dxa"/>
            <w:bottom w:w="15" w:type="dxa"/>
            <w:right w:w="15" w:type="dxa"/>
          </w:tblCellMar>
        </w:tblPrEx>
        <w:trPr>
          <w:trHeight w:val="311" w:hRule="atLeast"/>
          <w:jc w:val="center"/>
        </w:trPr>
        <w:tc>
          <w:tcPr>
            <w:tcW w:w="4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 </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新庄孜矿</w:t>
            </w:r>
          </w:p>
        </w:tc>
        <w:tc>
          <w:tcPr>
            <w:tcW w:w="6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94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14</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4.36</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2～15</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0.134</w:t>
            </w:r>
          </w:p>
        </w:tc>
        <w:tc>
          <w:tcPr>
            <w:tcW w:w="144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八公山</w:t>
            </w:r>
          </w:p>
        </w:tc>
      </w:tr>
      <w:tr>
        <w:tblPrEx>
          <w:tblCellMar>
            <w:top w:w="15" w:type="dxa"/>
            <w:left w:w="15" w:type="dxa"/>
            <w:bottom w:w="15" w:type="dxa"/>
            <w:right w:w="15" w:type="dxa"/>
          </w:tblCellMar>
        </w:tblPrEx>
        <w:trPr>
          <w:trHeight w:val="311" w:hRule="atLeast"/>
          <w:jc w:val="center"/>
        </w:trPr>
        <w:tc>
          <w:tcPr>
            <w:tcW w:w="4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3 </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岳张集</w:t>
            </w:r>
          </w:p>
        </w:tc>
        <w:tc>
          <w:tcPr>
            <w:tcW w:w="6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94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西淝河</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31.1</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20.04</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3～18</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0.21</w:t>
            </w:r>
          </w:p>
        </w:tc>
        <w:tc>
          <w:tcPr>
            <w:tcW w:w="144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w:t>
            </w:r>
          </w:p>
        </w:tc>
      </w:tr>
      <w:tr>
        <w:tblPrEx>
          <w:tblCellMar>
            <w:top w:w="15" w:type="dxa"/>
            <w:left w:w="15" w:type="dxa"/>
            <w:bottom w:w="15" w:type="dxa"/>
            <w:right w:w="15" w:type="dxa"/>
          </w:tblCellMar>
        </w:tblPrEx>
        <w:trPr>
          <w:trHeight w:val="311" w:hRule="atLeast"/>
          <w:jc w:val="center"/>
        </w:trPr>
        <w:tc>
          <w:tcPr>
            <w:tcW w:w="4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4 </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顾北矿</w:t>
            </w:r>
          </w:p>
        </w:tc>
        <w:tc>
          <w:tcPr>
            <w:tcW w:w="6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94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8.19</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4.89</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2～5</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0.12</w:t>
            </w:r>
          </w:p>
        </w:tc>
        <w:tc>
          <w:tcPr>
            <w:tcW w:w="144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r>
      <w:tr>
        <w:tblPrEx>
          <w:tblCellMar>
            <w:top w:w="15" w:type="dxa"/>
            <w:left w:w="15" w:type="dxa"/>
            <w:bottom w:w="15" w:type="dxa"/>
            <w:right w:w="15" w:type="dxa"/>
          </w:tblCellMar>
        </w:tblPrEx>
        <w:trPr>
          <w:trHeight w:val="311" w:hRule="atLeast"/>
          <w:jc w:val="center"/>
        </w:trPr>
        <w:tc>
          <w:tcPr>
            <w:tcW w:w="4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5 </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顾桥</w:t>
            </w:r>
          </w:p>
        </w:tc>
        <w:tc>
          <w:tcPr>
            <w:tcW w:w="6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94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18.29</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7.59</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2～20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0.15</w:t>
            </w:r>
          </w:p>
        </w:tc>
        <w:tc>
          <w:tcPr>
            <w:tcW w:w="144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r>
      <w:tr>
        <w:tblPrEx>
          <w:tblCellMar>
            <w:top w:w="15" w:type="dxa"/>
            <w:left w:w="15" w:type="dxa"/>
            <w:bottom w:w="15" w:type="dxa"/>
            <w:right w:w="15" w:type="dxa"/>
          </w:tblCellMar>
        </w:tblPrEx>
        <w:trPr>
          <w:trHeight w:val="311" w:hRule="atLeast"/>
          <w:jc w:val="center"/>
        </w:trPr>
        <w:tc>
          <w:tcPr>
            <w:tcW w:w="4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6 </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丁集矿</w:t>
            </w:r>
          </w:p>
        </w:tc>
        <w:tc>
          <w:tcPr>
            <w:tcW w:w="6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94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泥河</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14.11</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2.57</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2～6</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0.048</w:t>
            </w:r>
          </w:p>
        </w:tc>
        <w:tc>
          <w:tcPr>
            <w:tcW w:w="144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r>
      <w:tr>
        <w:tblPrEx>
          <w:tblCellMar>
            <w:top w:w="15" w:type="dxa"/>
            <w:left w:w="15" w:type="dxa"/>
            <w:bottom w:w="15" w:type="dxa"/>
            <w:right w:w="15" w:type="dxa"/>
          </w:tblCellMar>
        </w:tblPrEx>
        <w:trPr>
          <w:trHeight w:val="311" w:hRule="atLeast"/>
          <w:jc w:val="center"/>
        </w:trPr>
        <w:tc>
          <w:tcPr>
            <w:tcW w:w="4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7 </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潘一矿</w:t>
            </w:r>
          </w:p>
        </w:tc>
        <w:tc>
          <w:tcPr>
            <w:tcW w:w="6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94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26.57</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11.7</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2～18</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0.214</w:t>
            </w:r>
          </w:p>
        </w:tc>
        <w:tc>
          <w:tcPr>
            <w:tcW w:w="144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潘集区</w:t>
            </w:r>
          </w:p>
        </w:tc>
      </w:tr>
      <w:tr>
        <w:tblPrEx>
          <w:tblCellMar>
            <w:top w:w="15" w:type="dxa"/>
            <w:left w:w="15" w:type="dxa"/>
            <w:bottom w:w="15" w:type="dxa"/>
            <w:right w:w="15" w:type="dxa"/>
          </w:tblCellMar>
        </w:tblPrEx>
        <w:trPr>
          <w:trHeight w:val="311" w:hRule="atLeast"/>
          <w:jc w:val="center"/>
        </w:trPr>
        <w:tc>
          <w:tcPr>
            <w:tcW w:w="4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8 </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潘二矿</w:t>
            </w:r>
          </w:p>
        </w:tc>
        <w:tc>
          <w:tcPr>
            <w:tcW w:w="6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94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10.12</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4.66</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2～20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0.132</w:t>
            </w:r>
          </w:p>
        </w:tc>
        <w:tc>
          <w:tcPr>
            <w:tcW w:w="144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r>
      <w:tr>
        <w:tblPrEx>
          <w:tblCellMar>
            <w:top w:w="15" w:type="dxa"/>
            <w:left w:w="15" w:type="dxa"/>
            <w:bottom w:w="15" w:type="dxa"/>
            <w:right w:w="15" w:type="dxa"/>
          </w:tblCellMar>
        </w:tblPrEx>
        <w:trPr>
          <w:trHeight w:val="311" w:hRule="atLeast"/>
          <w:jc w:val="center"/>
        </w:trPr>
        <w:tc>
          <w:tcPr>
            <w:tcW w:w="4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9 </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潘三矿</w:t>
            </w:r>
          </w:p>
        </w:tc>
        <w:tc>
          <w:tcPr>
            <w:tcW w:w="6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94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25.94</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7.89</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2～20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0.201</w:t>
            </w:r>
          </w:p>
        </w:tc>
        <w:tc>
          <w:tcPr>
            <w:tcW w:w="144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r>
      <w:tr>
        <w:tblPrEx>
          <w:tblCellMar>
            <w:top w:w="15" w:type="dxa"/>
            <w:left w:w="15" w:type="dxa"/>
            <w:bottom w:w="15" w:type="dxa"/>
            <w:right w:w="15" w:type="dxa"/>
          </w:tblCellMar>
        </w:tblPrEx>
        <w:trPr>
          <w:trHeight w:val="311" w:hRule="atLeast"/>
          <w:jc w:val="center"/>
        </w:trPr>
        <w:tc>
          <w:tcPr>
            <w:tcW w:w="4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10 </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潘四东矿</w:t>
            </w:r>
          </w:p>
        </w:tc>
        <w:tc>
          <w:tcPr>
            <w:tcW w:w="6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94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5.11</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1.46</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1.5～8</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0.029</w:t>
            </w:r>
          </w:p>
        </w:tc>
        <w:tc>
          <w:tcPr>
            <w:tcW w:w="144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r>
      <w:tr>
        <w:tblPrEx>
          <w:tblCellMar>
            <w:top w:w="15" w:type="dxa"/>
            <w:left w:w="15" w:type="dxa"/>
            <w:bottom w:w="15" w:type="dxa"/>
            <w:right w:w="15" w:type="dxa"/>
          </w:tblCellMar>
        </w:tblPrEx>
        <w:trPr>
          <w:trHeight w:val="311" w:hRule="atLeast"/>
          <w:jc w:val="center"/>
        </w:trPr>
        <w:tc>
          <w:tcPr>
            <w:tcW w:w="4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11 </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朱集东矿</w:t>
            </w:r>
          </w:p>
        </w:tc>
        <w:tc>
          <w:tcPr>
            <w:tcW w:w="6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94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7.07</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1.24</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1～6</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0.025</w:t>
            </w:r>
          </w:p>
        </w:tc>
        <w:tc>
          <w:tcPr>
            <w:tcW w:w="144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r>
      <w:tr>
        <w:tblPrEx>
          <w:tblCellMar>
            <w:top w:w="15" w:type="dxa"/>
            <w:left w:w="15" w:type="dxa"/>
            <w:bottom w:w="15" w:type="dxa"/>
            <w:right w:w="15" w:type="dxa"/>
          </w:tblCellMar>
        </w:tblPrEx>
        <w:trPr>
          <w:trHeight w:val="320" w:hRule="atLeast"/>
          <w:jc w:val="center"/>
        </w:trPr>
        <w:tc>
          <w:tcPr>
            <w:tcW w:w="1784"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合计</w:t>
            </w:r>
          </w:p>
        </w:tc>
        <w:tc>
          <w:tcPr>
            <w:tcW w:w="67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b/>
                <w:bCs/>
                <w:szCs w:val="21"/>
              </w:rPr>
            </w:pP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b/>
                <w:bCs/>
                <w:szCs w:val="21"/>
              </w:rPr>
            </w:pP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171.02</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70.91</w:t>
            </w:r>
          </w:p>
        </w:tc>
        <w:tc>
          <w:tcPr>
            <w:tcW w:w="1010"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imes New Roman" w:hAnsi="Times New Roman" w:eastAsia="方正仿宋_GBK" w:cs="Times New Roman"/>
                <w:b/>
                <w:bCs/>
                <w:szCs w:val="21"/>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1.375</w:t>
            </w:r>
          </w:p>
        </w:tc>
        <w:tc>
          <w:tcPr>
            <w:tcW w:w="144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b/>
                <w:bCs/>
                <w:szCs w:val="21"/>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楷体_GBK" w:hAnsi="方正楷体_GBK" w:eastAsia="方正楷体_GBK" w:cs="方正楷体_GBK"/>
          <w:kern w:val="0"/>
          <w:sz w:val="32"/>
          <w:szCs w:val="32"/>
          <w:shd w:val="clear" w:color="auto" w:fill="FFFFFF"/>
          <w:lang w:val="en-US" w:eastAsia="zh-CN" w:bidi="ar-SA"/>
        </w:rPr>
      </w:pPr>
      <w:bookmarkStart w:id="16" w:name="_Toc312309814"/>
      <w:bookmarkStart w:id="17" w:name="_Toc11435"/>
      <w:r>
        <w:rPr>
          <w:rFonts w:hint="eastAsia" w:ascii="方正楷体_GBK" w:hAnsi="方正楷体_GBK" w:eastAsia="方正楷体_GBK" w:cs="方正楷体_GBK"/>
          <w:kern w:val="0"/>
          <w:sz w:val="32"/>
          <w:szCs w:val="32"/>
          <w:shd w:val="clear" w:color="auto" w:fill="FFFFFF"/>
          <w:lang w:val="en-US" w:eastAsia="zh-CN" w:bidi="ar-SA"/>
        </w:rPr>
        <w:t>二、经济社会</w:t>
      </w:r>
      <w:bookmarkEnd w:id="16"/>
      <w:bookmarkEnd w:id="17"/>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bookmarkStart w:id="18" w:name="_Toc161450687"/>
      <w:bookmarkStart w:id="19" w:name="_Toc156477771"/>
      <w:bookmarkStart w:id="20" w:name="_Toc133718258"/>
      <w:r>
        <w:rPr>
          <w:rFonts w:hint="default" w:ascii="Times New Roman" w:hAnsi="Times New Roman" w:eastAsia="方正仿宋_GBK" w:cs="Times New Roman"/>
          <w:kern w:val="0"/>
          <w:sz w:val="32"/>
          <w:szCs w:val="32"/>
          <w:shd w:val="clear" w:color="auto" w:fill="FFFFFF"/>
          <w:lang w:val="en-US" w:eastAsia="zh-CN" w:bidi="ar-SA"/>
        </w:rPr>
        <w:t>淮南市下辖六区二县。2015年淮南市户籍人口349.6万；常</w:t>
      </w:r>
      <w:r>
        <w:rPr>
          <w:rFonts w:hint="eastAsia" w:ascii="Times New Roman" w:hAnsi="Times New Roman" w:eastAsia="方正仿宋_GBK" w:cs="Times New Roman"/>
          <w:kern w:val="0"/>
          <w:sz w:val="32"/>
          <w:szCs w:val="32"/>
          <w:shd w:val="clear" w:color="auto" w:fill="FFFFFF"/>
          <w:lang w:val="en-US" w:eastAsia="zh-CN" w:bidi="ar-SA"/>
        </w:rPr>
        <w:t>住</w:t>
      </w:r>
      <w:r>
        <w:rPr>
          <w:rFonts w:hint="default" w:ascii="Times New Roman" w:hAnsi="Times New Roman" w:eastAsia="方正仿宋_GBK" w:cs="Times New Roman"/>
          <w:kern w:val="0"/>
          <w:sz w:val="32"/>
          <w:szCs w:val="32"/>
          <w:shd w:val="clear" w:color="auto" w:fill="FFFFFF"/>
          <w:lang w:val="en-US" w:eastAsia="zh-CN" w:bidi="ar-SA"/>
        </w:rPr>
        <w:t>人口343.1万，其中城镇人口人口202.1万，城镇化率58.9%</w:t>
      </w:r>
      <w:bookmarkEnd w:id="18"/>
      <w:bookmarkEnd w:id="19"/>
      <w:bookmarkEnd w:id="20"/>
      <w:r>
        <w:rPr>
          <w:rFonts w:hint="default" w:ascii="Times New Roman" w:hAnsi="Times New Roman" w:eastAsia="方正仿宋_GBK" w:cs="Times New Roman"/>
          <w:kern w:val="0"/>
          <w:sz w:val="32"/>
          <w:szCs w:val="32"/>
          <w:shd w:val="clear" w:color="auto" w:fill="FFFFFF"/>
          <w:lang w:val="en-US" w:eastAsia="zh-CN" w:bidi="ar-SA"/>
        </w:rPr>
        <w:t>，占安徽省常住人口（6143.6万人）的5.59%。</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2015年全市实现GDP（国民生产总值）901.3亿元（当年价），其中，一产111.5亿元，二产434.3亿元，三产355.5亿元；一产、二产、三产比重分别为12.4%、48.2%、39.4%。全市人均GDP 26266元/人，低于全省人均（35997元/人）水平。</w:t>
      </w:r>
    </w:p>
    <w:p>
      <w:pPr>
        <w:pStyle w:val="4"/>
        <w:pageBreakBefore w:val="0"/>
        <w:widowControl w:val="0"/>
        <w:kinsoku/>
        <w:wordWrap/>
        <w:overflowPunct/>
        <w:topLinePunct w:val="0"/>
        <w:autoSpaceDE/>
        <w:autoSpaceDN/>
        <w:bidi w:val="0"/>
        <w:adjustRightInd w:val="0"/>
        <w:snapToGrid w:val="0"/>
        <w:spacing w:before="159" w:beforeLines="50" w:after="159" w:afterLines="50" w:line="590" w:lineRule="exact"/>
        <w:textAlignment w:val="auto"/>
        <w:rPr>
          <w:rFonts w:hint="eastAsia" w:ascii="方正黑体_GBK" w:hAnsi="方正黑体_GBK" w:eastAsia="方正黑体_GBK" w:cs="方正黑体_GBK"/>
          <w:b w:val="0"/>
          <w:bCs w:val="0"/>
          <w:sz w:val="32"/>
          <w:szCs w:val="32"/>
          <w:lang w:val="en-US" w:eastAsia="zh-CN"/>
        </w:rPr>
      </w:pPr>
      <w:bookmarkStart w:id="21" w:name="_Toc15677"/>
      <w:bookmarkStart w:id="22" w:name="_Toc312309815"/>
      <w:r>
        <w:rPr>
          <w:rFonts w:hint="eastAsia" w:ascii="方正黑体_GBK" w:hAnsi="方正黑体_GBK" w:eastAsia="方正黑体_GBK" w:cs="方正黑体_GBK"/>
          <w:b w:val="0"/>
          <w:bCs w:val="0"/>
          <w:sz w:val="32"/>
          <w:szCs w:val="32"/>
          <w:lang w:val="en-US" w:eastAsia="zh-CN"/>
        </w:rPr>
        <w:t>第二节  水资源分区</w:t>
      </w:r>
      <w:bookmarkEnd w:id="21"/>
      <w:bookmarkEnd w:id="22"/>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楷体_GBK" w:hAnsi="方正楷体_GBK" w:eastAsia="方正楷体_GBK" w:cs="方正楷体_GBK"/>
          <w:kern w:val="0"/>
          <w:sz w:val="32"/>
          <w:szCs w:val="32"/>
          <w:shd w:val="clear" w:color="auto" w:fill="FFFFFF"/>
          <w:lang w:val="en-US" w:eastAsia="zh-CN" w:bidi="ar-SA"/>
        </w:rPr>
      </w:pPr>
      <w:bookmarkStart w:id="23" w:name="_Toc312309816"/>
      <w:bookmarkStart w:id="24" w:name="_Toc18148"/>
      <w:r>
        <w:rPr>
          <w:rFonts w:hint="eastAsia" w:ascii="方正楷体_GBK" w:hAnsi="方正楷体_GBK" w:eastAsia="方正楷体_GBK" w:cs="方正楷体_GBK"/>
          <w:kern w:val="0"/>
          <w:sz w:val="32"/>
          <w:szCs w:val="32"/>
          <w:shd w:val="clear" w:color="auto" w:fill="FFFFFF"/>
          <w:lang w:val="en-US" w:eastAsia="zh-CN" w:bidi="ar-SA"/>
        </w:rPr>
        <w:t>一、水资源分区</w:t>
      </w:r>
      <w:bookmarkEnd w:id="23"/>
      <w:bookmarkEnd w:id="24"/>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按照《全国水资源分区》的统一要求，根据安徽省水资源分区成果，淮南市地处淮河流域，境内河、湖、库全部处于淮河中游水资源二级区，以淮河为界，南北分属王蚌区间北岸、王蚌区间南岸2个水资源三级区，共有3个水资源四级区。淮南市水资源分区详见表1.2-1，水资源分析计算图见图1.2-1。</w:t>
      </w:r>
    </w:p>
    <w:p>
      <w:pPr>
        <w:adjustRightInd w:val="0"/>
        <w:snapToGrid w:val="0"/>
        <w:spacing w:line="360" w:lineRule="auto"/>
        <w:rPr>
          <w:sz w:val="24"/>
        </w:rPr>
        <w:sectPr>
          <w:pgSz w:w="11906" w:h="16838"/>
          <w:pgMar w:top="1440" w:right="1800" w:bottom="1440" w:left="1800" w:header="851" w:footer="992" w:gutter="0"/>
          <w:pgNumType w:fmt="numberInDash"/>
          <w:cols w:space="720" w:num="1"/>
          <w:docGrid w:type="lines" w:linePitch="312" w:charSpace="0"/>
        </w:sectPr>
      </w:pPr>
    </w:p>
    <w:p>
      <w:pPr>
        <w:adjustRightInd w:val="0"/>
        <w:snapToGrid w:val="0"/>
        <w:spacing w:line="360" w:lineRule="auto"/>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sz w:val="24"/>
        </w:rPr>
        <w:drawing>
          <wp:anchor distT="0" distB="0" distL="114300" distR="114300" simplePos="0" relativeHeight="251658240" behindDoc="0" locked="0" layoutInCell="1" allowOverlap="1">
            <wp:simplePos x="0" y="0"/>
            <wp:positionH relativeFrom="column">
              <wp:posOffset>-281305</wp:posOffset>
            </wp:positionH>
            <wp:positionV relativeFrom="page">
              <wp:posOffset>1290955</wp:posOffset>
            </wp:positionV>
            <wp:extent cx="6132830" cy="7190105"/>
            <wp:effectExtent l="0" t="0" r="1270" b="10795"/>
            <wp:wrapSquare wrapText="bothSides"/>
            <wp:docPr id="79" name="图片 10" descr="QQ图片2016122111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0" descr="QQ图片20161221113549"/>
                    <pic:cNvPicPr>
                      <a:picLocks noChangeAspect="1"/>
                    </pic:cNvPicPr>
                  </pic:nvPicPr>
                  <pic:blipFill>
                    <a:blip r:embed="rId31"/>
                    <a:srcRect b="2159"/>
                    <a:stretch>
                      <a:fillRect/>
                    </a:stretch>
                  </pic:blipFill>
                  <pic:spPr>
                    <a:xfrm>
                      <a:off x="0" y="0"/>
                      <a:ext cx="6132830" cy="7190105"/>
                    </a:xfrm>
                    <a:prstGeom prst="rect">
                      <a:avLst/>
                    </a:prstGeom>
                    <a:noFill/>
                    <a:ln>
                      <a:noFill/>
                    </a:ln>
                  </pic:spPr>
                </pic:pic>
              </a:graphicData>
            </a:graphic>
          </wp:anchor>
        </w:drawing>
      </w:r>
      <w:r>
        <w:rPr>
          <w:rFonts w:hint="eastAsia" w:ascii="方正黑体_GBK" w:hAnsi="方正黑体_GBK" w:eastAsia="方正黑体_GBK" w:cs="方正黑体_GBK"/>
          <w:b/>
          <w:bCs/>
          <w:sz w:val="24"/>
        </w:rPr>
        <w:t>图1.2-1  淮南市水资源计算分区图</w:t>
      </w:r>
    </w:p>
    <w:p>
      <w:pPr>
        <w:adjustRightInd w:val="0"/>
        <w:snapToGrid w:val="0"/>
        <w:spacing w:line="360" w:lineRule="auto"/>
        <w:rPr>
          <w:sz w:val="24"/>
        </w:rPr>
      </w:pP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eastAsia" w:ascii="方正楷体_GBK" w:hAnsi="方正楷体_GBK" w:eastAsia="方正楷体_GBK" w:cs="方正楷体_GBK"/>
          <w:kern w:val="0"/>
          <w:sz w:val="32"/>
          <w:szCs w:val="32"/>
          <w:shd w:val="clear" w:color="auto" w:fill="FFFFFF"/>
          <w:lang w:val="en-US" w:eastAsia="zh-CN" w:bidi="ar-SA"/>
        </w:rPr>
      </w:pPr>
      <w:bookmarkStart w:id="25" w:name="_Toc31946"/>
      <w:bookmarkStart w:id="26" w:name="_Toc312309817"/>
      <w:r>
        <w:rPr>
          <w:rFonts w:hint="eastAsia" w:ascii="方正楷体_GBK" w:hAnsi="方正楷体_GBK" w:eastAsia="方正楷体_GBK" w:cs="方正楷体_GBK"/>
          <w:kern w:val="0"/>
          <w:sz w:val="32"/>
          <w:szCs w:val="32"/>
          <w:shd w:val="clear" w:color="auto" w:fill="FFFFFF"/>
          <w:lang w:val="en-US" w:eastAsia="zh-CN" w:bidi="ar-SA"/>
        </w:rPr>
        <w:t>二、分区概况</w:t>
      </w:r>
      <w:bookmarkEnd w:id="25"/>
      <w:bookmarkEnd w:id="26"/>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3" w:firstLineChars="200"/>
        <w:textAlignment w:val="auto"/>
        <w:outlineLvl w:val="9"/>
        <w:rPr>
          <w:rFonts w:hint="eastAsia" w:ascii="方正仿宋_GBK" w:hAnsi="方正仿宋_GBK" w:eastAsia="方正仿宋_GBK" w:cs="方正仿宋_GBK"/>
          <w:b/>
          <w:bCs/>
          <w:kern w:val="0"/>
          <w:sz w:val="32"/>
          <w:szCs w:val="32"/>
          <w:shd w:val="clear" w:color="auto" w:fill="FFFFFF"/>
          <w:lang w:val="en-US" w:eastAsia="zh-CN" w:bidi="ar-SA"/>
        </w:rPr>
      </w:pPr>
      <w:r>
        <w:rPr>
          <w:rFonts w:hint="eastAsia" w:ascii="方正仿宋_GBK" w:hAnsi="方正仿宋_GBK" w:eastAsia="方正仿宋_GBK" w:cs="方正仿宋_GBK"/>
          <w:b/>
          <w:bCs/>
          <w:kern w:val="0"/>
          <w:sz w:val="32"/>
          <w:szCs w:val="32"/>
          <w:shd w:val="clear" w:color="auto" w:fill="FFFFFF"/>
          <w:lang w:val="en-US" w:eastAsia="zh-CN" w:bidi="ar-SA"/>
        </w:rPr>
        <w:t>（1）王蚌区间北岸</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王蚌区间北岸包括焦岗湖、西淝河（下段）、架河、泥河、茨淮新河，其上划分为西淝河下段区、茨淮新河区两个水资源四级区，涉及凤台县、潘集区、毛集实验区三个县级行政区，区域面积1652km2，常住人口106.5万。</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3" w:firstLineChars="200"/>
        <w:textAlignment w:val="auto"/>
        <w:outlineLvl w:val="9"/>
        <w:rPr>
          <w:rFonts w:hint="eastAsia" w:ascii="方正仿宋_GBK" w:hAnsi="方正仿宋_GBK" w:eastAsia="方正仿宋_GBK" w:cs="方正仿宋_GBK"/>
          <w:b/>
          <w:bCs/>
          <w:kern w:val="0"/>
          <w:sz w:val="32"/>
          <w:szCs w:val="32"/>
          <w:shd w:val="clear" w:color="auto" w:fill="FFFFFF"/>
          <w:lang w:val="en-US" w:eastAsia="zh-CN" w:bidi="ar-SA"/>
        </w:rPr>
      </w:pPr>
      <w:r>
        <w:rPr>
          <w:rFonts w:hint="eastAsia" w:ascii="方正仿宋_GBK" w:hAnsi="方正仿宋_GBK" w:eastAsia="方正仿宋_GBK" w:cs="方正仿宋_GBK"/>
          <w:b/>
          <w:bCs/>
          <w:kern w:val="0"/>
          <w:sz w:val="32"/>
          <w:szCs w:val="32"/>
          <w:shd w:val="clear" w:color="auto" w:fill="FFFFFF"/>
          <w:lang w:val="en-US" w:eastAsia="zh-CN" w:bidi="ar-SA"/>
        </w:rPr>
        <w:t>（2）王蚌区间南岸</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outlineLvl w:val="9"/>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王蚌区间北岸包括瓦埠湖、高塘湖、十涧湖、东淝河、窑河等，其上划分1个水资源四级区为王蚌南岸沿淮区，涉及凤台县、寿县、八公山区、谢家集区、田家庵区、大通区2县4区，区域面积3930.4km2，常住人口236.6万。</w:t>
      </w:r>
    </w:p>
    <w:p>
      <w:pPr>
        <w:adjustRightInd w:val="0"/>
        <w:snapToGrid w:val="0"/>
        <w:ind w:firstLine="482" w:firstLineChars="200"/>
        <w:jc w:val="center"/>
        <w:rPr>
          <w:b/>
          <w:bCs/>
          <w:sz w:val="24"/>
        </w:rPr>
      </w:pPr>
      <w:r>
        <w:rPr>
          <w:rFonts w:hint="eastAsia" w:ascii="方正黑体_GBK" w:hAnsi="方正黑体_GBK" w:eastAsia="方正黑体_GBK" w:cs="方正黑体_GBK"/>
          <w:b/>
          <w:bCs/>
          <w:sz w:val="24"/>
        </w:rPr>
        <w:t>表1.2-1 淮南市水资源分区表</w:t>
      </w:r>
    </w:p>
    <w:tbl>
      <w:tblPr>
        <w:tblStyle w:val="12"/>
        <w:tblW w:w="0" w:type="auto"/>
        <w:jc w:val="center"/>
        <w:tblLayout w:type="fixed"/>
        <w:tblCellMar>
          <w:top w:w="0" w:type="dxa"/>
          <w:left w:w="108" w:type="dxa"/>
          <w:bottom w:w="0" w:type="dxa"/>
          <w:right w:w="108" w:type="dxa"/>
        </w:tblCellMar>
      </w:tblPr>
      <w:tblGrid>
        <w:gridCol w:w="702"/>
        <w:gridCol w:w="729"/>
        <w:gridCol w:w="1157"/>
        <w:gridCol w:w="1589"/>
        <w:gridCol w:w="2891"/>
        <w:gridCol w:w="1154"/>
      </w:tblGrid>
      <w:tr>
        <w:tblPrEx>
          <w:tblCellMar>
            <w:top w:w="0" w:type="dxa"/>
            <w:left w:w="108" w:type="dxa"/>
            <w:bottom w:w="0" w:type="dxa"/>
            <w:right w:w="108" w:type="dxa"/>
          </w:tblCellMar>
        </w:tblPrEx>
        <w:trPr>
          <w:trHeight w:val="324" w:hRule="atLeast"/>
          <w:jc w:val="center"/>
        </w:trPr>
        <w:tc>
          <w:tcPr>
            <w:tcW w:w="4177" w:type="dxa"/>
            <w:gridSpan w:val="4"/>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2891" w:type="dxa"/>
            <w:vMerge w:val="restart"/>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154" w:type="dxa"/>
            <w:tcBorders>
              <w:top w:val="single" w:color="auto" w:sz="4" w:space="0"/>
              <w:left w:val="nil"/>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面积</w:t>
            </w:r>
          </w:p>
        </w:tc>
      </w:tr>
      <w:tr>
        <w:tblPrEx>
          <w:tblCellMar>
            <w:top w:w="0" w:type="dxa"/>
            <w:left w:w="108" w:type="dxa"/>
            <w:bottom w:w="0" w:type="dxa"/>
            <w:right w:w="108" w:type="dxa"/>
          </w:tblCellMar>
        </w:tblPrEx>
        <w:trPr>
          <w:trHeight w:val="324" w:hRule="atLeast"/>
          <w:jc w:val="center"/>
        </w:trPr>
        <w:tc>
          <w:tcPr>
            <w:tcW w:w="702" w:type="dxa"/>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一级区</w:t>
            </w:r>
          </w:p>
        </w:tc>
        <w:tc>
          <w:tcPr>
            <w:tcW w:w="729" w:type="dxa"/>
            <w:tcBorders>
              <w:top w:val="nil"/>
              <w:left w:val="nil"/>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二级区</w:t>
            </w:r>
          </w:p>
        </w:tc>
        <w:tc>
          <w:tcPr>
            <w:tcW w:w="1157" w:type="dxa"/>
            <w:tcBorders>
              <w:top w:val="nil"/>
              <w:left w:val="nil"/>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三级区</w:t>
            </w:r>
          </w:p>
        </w:tc>
        <w:tc>
          <w:tcPr>
            <w:tcW w:w="1589" w:type="dxa"/>
            <w:tcBorders>
              <w:top w:val="nil"/>
              <w:left w:val="nil"/>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四级区</w:t>
            </w:r>
          </w:p>
        </w:tc>
        <w:tc>
          <w:tcPr>
            <w:tcW w:w="2891" w:type="dxa"/>
            <w:vMerge w:val="continue"/>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1154" w:type="dxa"/>
            <w:tcBorders>
              <w:top w:val="nil"/>
              <w:left w:val="nil"/>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(km</w:t>
            </w:r>
            <w:r>
              <w:rPr>
                <w:rFonts w:hint="default" w:ascii="Times New Roman" w:hAnsi="Times New Roman" w:eastAsia="方正仿宋_GBK" w:cs="Times New Roman"/>
                <w:kern w:val="0"/>
                <w:szCs w:val="21"/>
                <w:vertAlign w:val="superscript"/>
              </w:rPr>
              <w:t>2</w:t>
            </w:r>
            <w:r>
              <w:rPr>
                <w:rFonts w:hint="default" w:ascii="Times New Roman" w:hAnsi="Times New Roman" w:eastAsia="方正仿宋_GBK" w:cs="Times New Roman"/>
                <w:kern w:val="0"/>
                <w:szCs w:val="21"/>
              </w:rPr>
              <w:t>)</w:t>
            </w:r>
          </w:p>
        </w:tc>
      </w:tr>
      <w:tr>
        <w:tblPrEx>
          <w:tblCellMar>
            <w:top w:w="0" w:type="dxa"/>
            <w:left w:w="108" w:type="dxa"/>
            <w:bottom w:w="0" w:type="dxa"/>
            <w:right w:w="108" w:type="dxa"/>
          </w:tblCellMar>
        </w:tblPrEx>
        <w:trPr>
          <w:trHeight w:val="324" w:hRule="atLeast"/>
          <w:jc w:val="center"/>
        </w:trPr>
        <w:tc>
          <w:tcPr>
            <w:tcW w:w="702" w:type="dxa"/>
            <w:vMerge w:val="restart"/>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淮河</w:t>
            </w:r>
          </w:p>
        </w:tc>
        <w:tc>
          <w:tcPr>
            <w:tcW w:w="729" w:type="dxa"/>
            <w:vMerge w:val="restart"/>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淮河中游</w:t>
            </w:r>
          </w:p>
        </w:tc>
        <w:tc>
          <w:tcPr>
            <w:tcW w:w="1157" w:type="dxa"/>
            <w:vMerge w:val="restart"/>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w:t>
            </w:r>
          </w:p>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北岸</w:t>
            </w:r>
          </w:p>
        </w:tc>
        <w:tc>
          <w:tcPr>
            <w:tcW w:w="1589" w:type="dxa"/>
            <w:vMerge w:val="restart"/>
            <w:tcBorders>
              <w:top w:val="nil"/>
              <w:left w:val="single" w:color="auto" w:sz="4" w:space="0"/>
              <w:bottom w:val="single" w:color="000000"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西淝河下段区</w:t>
            </w:r>
          </w:p>
        </w:tc>
        <w:tc>
          <w:tcPr>
            <w:tcW w:w="2891" w:type="dxa"/>
            <w:tcBorders>
              <w:top w:val="nil"/>
              <w:left w:val="nil"/>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154" w:type="dxa"/>
            <w:tcBorders>
              <w:top w:val="nil"/>
              <w:left w:val="nil"/>
              <w:bottom w:val="single" w:color="auto" w:sz="4" w:space="0"/>
              <w:right w:val="single" w:color="auto" w:sz="4" w:space="0"/>
            </w:tcBorders>
            <w:noWrap w:val="0"/>
            <w:tcMar>
              <w:left w:w="0" w:type="dxa"/>
              <w:right w:w="0" w:type="dxa"/>
            </w:tcMar>
            <w:vAlign w:val="center"/>
          </w:tcPr>
          <w:p>
            <w:pPr>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600</w:t>
            </w:r>
          </w:p>
        </w:tc>
      </w:tr>
      <w:tr>
        <w:tblPrEx>
          <w:tblCellMar>
            <w:top w:w="0" w:type="dxa"/>
            <w:left w:w="108" w:type="dxa"/>
            <w:bottom w:w="0" w:type="dxa"/>
            <w:right w:w="108" w:type="dxa"/>
          </w:tblCellMar>
        </w:tblPrEx>
        <w:trPr>
          <w:trHeight w:val="324" w:hRule="atLeast"/>
          <w:jc w:val="center"/>
        </w:trPr>
        <w:tc>
          <w:tcPr>
            <w:tcW w:w="702"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729"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1157"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1589" w:type="dxa"/>
            <w:vMerge w:val="continue"/>
            <w:tcBorders>
              <w:top w:val="nil"/>
              <w:left w:val="single" w:color="auto" w:sz="4" w:space="0"/>
              <w:bottom w:val="single" w:color="000000"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2891" w:type="dxa"/>
            <w:tcBorders>
              <w:top w:val="nil"/>
              <w:left w:val="nil"/>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154" w:type="dxa"/>
            <w:tcBorders>
              <w:top w:val="nil"/>
              <w:left w:val="nil"/>
              <w:bottom w:val="single" w:color="auto" w:sz="4" w:space="0"/>
              <w:right w:val="single" w:color="auto" w:sz="4" w:space="0"/>
            </w:tcBorders>
            <w:noWrap w:val="0"/>
            <w:tcMar>
              <w:left w:w="0" w:type="dxa"/>
              <w:right w:w="0" w:type="dxa"/>
            </w:tcMar>
            <w:vAlign w:val="center"/>
          </w:tcPr>
          <w:p>
            <w:pPr>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990</w:t>
            </w:r>
          </w:p>
        </w:tc>
      </w:tr>
      <w:tr>
        <w:tblPrEx>
          <w:tblCellMar>
            <w:top w:w="0" w:type="dxa"/>
            <w:left w:w="108" w:type="dxa"/>
            <w:bottom w:w="0" w:type="dxa"/>
            <w:right w:w="108" w:type="dxa"/>
          </w:tblCellMar>
        </w:tblPrEx>
        <w:trPr>
          <w:trHeight w:val="324" w:hRule="atLeast"/>
          <w:jc w:val="center"/>
        </w:trPr>
        <w:tc>
          <w:tcPr>
            <w:tcW w:w="702"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729"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1157"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1589" w:type="dxa"/>
            <w:vMerge w:val="continue"/>
            <w:tcBorders>
              <w:top w:val="nil"/>
              <w:left w:val="single" w:color="auto" w:sz="4" w:space="0"/>
              <w:bottom w:val="single" w:color="000000"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2891" w:type="dxa"/>
            <w:tcBorders>
              <w:top w:val="nil"/>
              <w:left w:val="nil"/>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
                <w:kern w:val="0"/>
                <w:szCs w:val="21"/>
              </w:rPr>
            </w:pPr>
            <w:r>
              <w:rPr>
                <w:rFonts w:hint="default" w:ascii="Times New Roman" w:hAnsi="Times New Roman" w:eastAsia="方正仿宋_GBK" w:cs="Times New Roman"/>
                <w:b/>
                <w:kern w:val="0"/>
                <w:szCs w:val="21"/>
              </w:rPr>
              <w:t>小计</w:t>
            </w:r>
          </w:p>
        </w:tc>
        <w:tc>
          <w:tcPr>
            <w:tcW w:w="1154" w:type="dxa"/>
            <w:tcBorders>
              <w:top w:val="nil"/>
              <w:left w:val="nil"/>
              <w:bottom w:val="single" w:color="auto" w:sz="4" w:space="0"/>
              <w:right w:val="single" w:color="auto" w:sz="4" w:space="0"/>
            </w:tcBorders>
            <w:noWrap w:val="0"/>
            <w:tcMar>
              <w:left w:w="0" w:type="dxa"/>
              <w:right w:w="0" w:type="dxa"/>
            </w:tcMar>
            <w:vAlign w:val="center"/>
          </w:tcPr>
          <w:p>
            <w:pPr>
              <w:adjustRightInd w:val="0"/>
              <w:snapToGrid w:val="0"/>
              <w:jc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szCs w:val="21"/>
              </w:rPr>
              <w:t>1590</w:t>
            </w:r>
          </w:p>
        </w:tc>
      </w:tr>
      <w:tr>
        <w:tblPrEx>
          <w:tblCellMar>
            <w:top w:w="0" w:type="dxa"/>
            <w:left w:w="108" w:type="dxa"/>
            <w:bottom w:w="0" w:type="dxa"/>
            <w:right w:w="108" w:type="dxa"/>
          </w:tblCellMar>
        </w:tblPrEx>
        <w:trPr>
          <w:trHeight w:val="324" w:hRule="atLeast"/>
          <w:jc w:val="center"/>
        </w:trPr>
        <w:tc>
          <w:tcPr>
            <w:tcW w:w="702"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729"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1157"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1589" w:type="dxa"/>
            <w:vMerge w:val="restart"/>
            <w:tcBorders>
              <w:top w:val="nil"/>
              <w:left w:val="single" w:color="auto" w:sz="4" w:space="0"/>
              <w:bottom w:val="single" w:color="000000"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茨淮新河区</w:t>
            </w:r>
          </w:p>
        </w:tc>
        <w:tc>
          <w:tcPr>
            <w:tcW w:w="2891" w:type="dxa"/>
            <w:tcBorders>
              <w:top w:val="nil"/>
              <w:left w:val="nil"/>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154" w:type="dxa"/>
            <w:tcBorders>
              <w:top w:val="nil"/>
              <w:left w:val="nil"/>
              <w:bottom w:val="single" w:color="auto" w:sz="4" w:space="0"/>
              <w:right w:val="single" w:color="auto" w:sz="4" w:space="0"/>
            </w:tcBorders>
            <w:noWrap w:val="0"/>
            <w:tcMar>
              <w:left w:w="0" w:type="dxa"/>
              <w:right w:w="0" w:type="dxa"/>
            </w:tcMar>
            <w:vAlign w:val="center"/>
          </w:tcPr>
          <w:p>
            <w:pPr>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12</w:t>
            </w:r>
          </w:p>
        </w:tc>
      </w:tr>
      <w:tr>
        <w:tblPrEx>
          <w:tblCellMar>
            <w:top w:w="0" w:type="dxa"/>
            <w:left w:w="108" w:type="dxa"/>
            <w:bottom w:w="0" w:type="dxa"/>
            <w:right w:w="108" w:type="dxa"/>
          </w:tblCellMar>
        </w:tblPrEx>
        <w:trPr>
          <w:trHeight w:val="324" w:hRule="atLeast"/>
          <w:jc w:val="center"/>
        </w:trPr>
        <w:tc>
          <w:tcPr>
            <w:tcW w:w="702"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729"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1157"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1589" w:type="dxa"/>
            <w:vMerge w:val="continue"/>
            <w:tcBorders>
              <w:top w:val="nil"/>
              <w:left w:val="single" w:color="auto" w:sz="4" w:space="0"/>
              <w:bottom w:val="single" w:color="000000"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2891" w:type="dxa"/>
            <w:tcBorders>
              <w:top w:val="nil"/>
              <w:left w:val="nil"/>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w:t>
            </w:r>
          </w:p>
        </w:tc>
        <w:tc>
          <w:tcPr>
            <w:tcW w:w="1154" w:type="dxa"/>
            <w:tcBorders>
              <w:top w:val="nil"/>
              <w:left w:val="nil"/>
              <w:bottom w:val="single" w:color="auto" w:sz="4" w:space="0"/>
              <w:right w:val="single" w:color="auto" w:sz="4" w:space="0"/>
            </w:tcBorders>
            <w:noWrap w:val="0"/>
            <w:tcMar>
              <w:left w:w="0" w:type="dxa"/>
              <w:right w:w="0" w:type="dxa"/>
            </w:tcMar>
            <w:vAlign w:val="center"/>
          </w:tcPr>
          <w:p>
            <w:pPr>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50</w:t>
            </w:r>
          </w:p>
        </w:tc>
      </w:tr>
      <w:tr>
        <w:tblPrEx>
          <w:tblCellMar>
            <w:top w:w="0" w:type="dxa"/>
            <w:left w:w="108" w:type="dxa"/>
            <w:bottom w:w="0" w:type="dxa"/>
            <w:right w:w="108" w:type="dxa"/>
          </w:tblCellMar>
        </w:tblPrEx>
        <w:trPr>
          <w:trHeight w:val="324" w:hRule="atLeast"/>
          <w:jc w:val="center"/>
        </w:trPr>
        <w:tc>
          <w:tcPr>
            <w:tcW w:w="702"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729"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1157"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1589" w:type="dxa"/>
            <w:vMerge w:val="continue"/>
            <w:tcBorders>
              <w:top w:val="nil"/>
              <w:left w:val="single" w:color="auto" w:sz="4" w:space="0"/>
              <w:bottom w:val="single" w:color="000000"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2891" w:type="dxa"/>
            <w:tcBorders>
              <w:top w:val="nil"/>
              <w:left w:val="nil"/>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小计</w:t>
            </w:r>
          </w:p>
        </w:tc>
        <w:tc>
          <w:tcPr>
            <w:tcW w:w="1154" w:type="dxa"/>
            <w:tcBorders>
              <w:top w:val="nil"/>
              <w:left w:val="nil"/>
              <w:bottom w:val="single" w:color="auto" w:sz="4" w:space="0"/>
              <w:right w:val="single" w:color="auto" w:sz="4" w:space="0"/>
            </w:tcBorders>
            <w:noWrap w:val="0"/>
            <w:tcMar>
              <w:left w:w="0" w:type="dxa"/>
              <w:right w:w="0" w:type="dxa"/>
            </w:tcMar>
            <w:vAlign w:val="center"/>
          </w:tcPr>
          <w:p>
            <w:pPr>
              <w:adjustRightInd w:val="0"/>
              <w:snapToGrid w:val="0"/>
              <w:jc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szCs w:val="21"/>
              </w:rPr>
              <w:t>62</w:t>
            </w:r>
          </w:p>
        </w:tc>
      </w:tr>
      <w:tr>
        <w:tblPrEx>
          <w:tblCellMar>
            <w:top w:w="0" w:type="dxa"/>
            <w:left w:w="108" w:type="dxa"/>
            <w:bottom w:w="0" w:type="dxa"/>
            <w:right w:w="108" w:type="dxa"/>
          </w:tblCellMar>
        </w:tblPrEx>
        <w:trPr>
          <w:trHeight w:val="324" w:hRule="atLeast"/>
          <w:jc w:val="center"/>
        </w:trPr>
        <w:tc>
          <w:tcPr>
            <w:tcW w:w="702"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729"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1157"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4480" w:type="dxa"/>
            <w:gridSpan w:val="2"/>
            <w:tcBorders>
              <w:top w:val="single" w:color="auto" w:sz="4" w:space="0"/>
              <w:left w:val="nil"/>
              <w:bottom w:val="single" w:color="auto" w:sz="4" w:space="0"/>
              <w:right w:val="single" w:color="000000"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
                <w:kern w:val="0"/>
                <w:szCs w:val="21"/>
              </w:rPr>
            </w:pPr>
            <w:r>
              <w:rPr>
                <w:rFonts w:hint="default" w:ascii="Times New Roman" w:hAnsi="Times New Roman" w:eastAsia="方正仿宋_GBK" w:cs="Times New Roman"/>
                <w:b/>
                <w:kern w:val="0"/>
                <w:szCs w:val="21"/>
              </w:rPr>
              <w:t>合计</w:t>
            </w:r>
          </w:p>
        </w:tc>
        <w:tc>
          <w:tcPr>
            <w:tcW w:w="1154" w:type="dxa"/>
            <w:tcBorders>
              <w:top w:val="nil"/>
              <w:left w:val="nil"/>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
                <w:kern w:val="0"/>
                <w:szCs w:val="21"/>
              </w:rPr>
            </w:pPr>
            <w:r>
              <w:rPr>
                <w:rFonts w:hint="default" w:ascii="Times New Roman" w:hAnsi="Times New Roman" w:eastAsia="方正仿宋_GBK" w:cs="Times New Roman"/>
                <w:b/>
                <w:kern w:val="0"/>
                <w:szCs w:val="21"/>
              </w:rPr>
              <w:t>1652</w:t>
            </w:r>
          </w:p>
        </w:tc>
      </w:tr>
      <w:tr>
        <w:tblPrEx>
          <w:tblCellMar>
            <w:top w:w="0" w:type="dxa"/>
            <w:left w:w="108" w:type="dxa"/>
            <w:bottom w:w="0" w:type="dxa"/>
            <w:right w:w="108" w:type="dxa"/>
          </w:tblCellMar>
        </w:tblPrEx>
        <w:trPr>
          <w:trHeight w:val="324" w:hRule="atLeast"/>
          <w:jc w:val="center"/>
        </w:trPr>
        <w:tc>
          <w:tcPr>
            <w:tcW w:w="702"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729"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1157" w:type="dxa"/>
            <w:vMerge w:val="restart"/>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w:t>
            </w:r>
          </w:p>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南岸</w:t>
            </w:r>
          </w:p>
        </w:tc>
        <w:tc>
          <w:tcPr>
            <w:tcW w:w="1589" w:type="dxa"/>
            <w:vMerge w:val="restart"/>
            <w:tcBorders>
              <w:top w:val="nil"/>
              <w:left w:val="single" w:color="auto" w:sz="4" w:space="0"/>
              <w:bottom w:val="single" w:color="000000"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王蚌南岸沿淮区</w:t>
            </w:r>
          </w:p>
        </w:tc>
        <w:tc>
          <w:tcPr>
            <w:tcW w:w="2891" w:type="dxa"/>
            <w:tcBorders>
              <w:top w:val="nil"/>
              <w:left w:val="nil"/>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淮河以南市区</w:t>
            </w:r>
          </w:p>
        </w:tc>
        <w:tc>
          <w:tcPr>
            <w:tcW w:w="1154" w:type="dxa"/>
            <w:tcBorders>
              <w:top w:val="nil"/>
              <w:left w:val="nil"/>
              <w:bottom w:val="single" w:color="auto" w:sz="4" w:space="0"/>
              <w:right w:val="single" w:color="auto" w:sz="4" w:space="0"/>
            </w:tcBorders>
            <w:noWrap w:val="0"/>
            <w:tcMar>
              <w:left w:w="0" w:type="dxa"/>
              <w:right w:w="0" w:type="dxa"/>
            </w:tcMar>
            <w:vAlign w:val="center"/>
          </w:tcPr>
          <w:p>
            <w:pPr>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884.4</w:t>
            </w:r>
          </w:p>
        </w:tc>
      </w:tr>
      <w:tr>
        <w:tblPrEx>
          <w:tblCellMar>
            <w:top w:w="0" w:type="dxa"/>
            <w:left w:w="108" w:type="dxa"/>
            <w:bottom w:w="0" w:type="dxa"/>
            <w:right w:w="108" w:type="dxa"/>
          </w:tblCellMar>
        </w:tblPrEx>
        <w:trPr>
          <w:trHeight w:val="324" w:hRule="atLeast"/>
          <w:jc w:val="center"/>
        </w:trPr>
        <w:tc>
          <w:tcPr>
            <w:tcW w:w="702"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729"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1157"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1589" w:type="dxa"/>
            <w:vMerge w:val="continue"/>
            <w:tcBorders>
              <w:top w:val="nil"/>
              <w:left w:val="single" w:color="auto" w:sz="4" w:space="0"/>
              <w:bottom w:val="single" w:color="000000"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2891" w:type="dxa"/>
            <w:tcBorders>
              <w:top w:val="nil"/>
              <w:left w:val="nil"/>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w:t>
            </w:r>
          </w:p>
        </w:tc>
        <w:tc>
          <w:tcPr>
            <w:tcW w:w="1154" w:type="dxa"/>
            <w:tcBorders>
              <w:top w:val="nil"/>
              <w:left w:val="nil"/>
              <w:bottom w:val="single" w:color="auto" w:sz="4" w:space="0"/>
              <w:right w:val="single" w:color="auto" w:sz="4" w:space="0"/>
            </w:tcBorders>
            <w:noWrap w:val="0"/>
            <w:tcMar>
              <w:left w:w="0" w:type="dxa"/>
              <w:right w:w="0" w:type="dxa"/>
            </w:tcMar>
            <w:vAlign w:val="center"/>
          </w:tcPr>
          <w:p>
            <w:pPr>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60</w:t>
            </w:r>
          </w:p>
        </w:tc>
      </w:tr>
      <w:tr>
        <w:tblPrEx>
          <w:tblCellMar>
            <w:top w:w="0" w:type="dxa"/>
            <w:left w:w="108" w:type="dxa"/>
            <w:bottom w:w="0" w:type="dxa"/>
            <w:right w:w="108" w:type="dxa"/>
          </w:tblCellMar>
        </w:tblPrEx>
        <w:trPr>
          <w:trHeight w:val="324" w:hRule="atLeast"/>
          <w:jc w:val="center"/>
        </w:trPr>
        <w:tc>
          <w:tcPr>
            <w:tcW w:w="702"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729"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1157"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1589" w:type="dxa"/>
            <w:vMerge w:val="continue"/>
            <w:tcBorders>
              <w:top w:val="nil"/>
              <w:left w:val="single" w:color="auto" w:sz="4" w:space="0"/>
              <w:bottom w:val="single" w:color="000000"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2891" w:type="dxa"/>
            <w:tcBorders>
              <w:top w:val="nil"/>
              <w:left w:val="nil"/>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154" w:type="dxa"/>
            <w:tcBorders>
              <w:top w:val="nil"/>
              <w:left w:val="nil"/>
              <w:bottom w:val="single" w:color="auto" w:sz="4" w:space="0"/>
              <w:right w:val="single" w:color="auto" w:sz="4" w:space="0"/>
            </w:tcBorders>
            <w:noWrap w:val="0"/>
            <w:tcMar>
              <w:left w:w="0" w:type="dxa"/>
              <w:right w:w="0" w:type="dxa"/>
            </w:tcMar>
            <w:vAlign w:val="center"/>
          </w:tcPr>
          <w:p>
            <w:pPr>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2986</w:t>
            </w:r>
          </w:p>
        </w:tc>
      </w:tr>
      <w:tr>
        <w:tblPrEx>
          <w:tblCellMar>
            <w:top w:w="0" w:type="dxa"/>
            <w:left w:w="108" w:type="dxa"/>
            <w:bottom w:w="0" w:type="dxa"/>
            <w:right w:w="108" w:type="dxa"/>
          </w:tblCellMar>
        </w:tblPrEx>
        <w:trPr>
          <w:trHeight w:val="324" w:hRule="atLeast"/>
          <w:jc w:val="center"/>
        </w:trPr>
        <w:tc>
          <w:tcPr>
            <w:tcW w:w="702"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729"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1157"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1589" w:type="dxa"/>
            <w:vMerge w:val="continue"/>
            <w:tcBorders>
              <w:top w:val="nil"/>
              <w:left w:val="single" w:color="auto" w:sz="4" w:space="0"/>
              <w:bottom w:val="single" w:color="000000"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2891" w:type="dxa"/>
            <w:tcBorders>
              <w:top w:val="nil"/>
              <w:left w:val="nil"/>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小计</w:t>
            </w:r>
          </w:p>
        </w:tc>
        <w:tc>
          <w:tcPr>
            <w:tcW w:w="1154" w:type="dxa"/>
            <w:tcBorders>
              <w:top w:val="nil"/>
              <w:left w:val="nil"/>
              <w:bottom w:val="single" w:color="auto" w:sz="4" w:space="0"/>
              <w:right w:val="single" w:color="auto" w:sz="4" w:space="0"/>
            </w:tcBorders>
            <w:noWrap w:val="0"/>
            <w:tcMar>
              <w:left w:w="0" w:type="dxa"/>
              <w:right w:w="0" w:type="dxa"/>
            </w:tcMar>
            <w:vAlign w:val="center"/>
          </w:tcPr>
          <w:p>
            <w:pPr>
              <w:adjustRightInd w:val="0"/>
              <w:snapToGrid w:val="0"/>
              <w:jc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szCs w:val="21"/>
              </w:rPr>
              <w:t>3930.4</w:t>
            </w:r>
          </w:p>
        </w:tc>
      </w:tr>
      <w:tr>
        <w:tblPrEx>
          <w:tblCellMar>
            <w:top w:w="0" w:type="dxa"/>
            <w:left w:w="108" w:type="dxa"/>
            <w:bottom w:w="0" w:type="dxa"/>
            <w:right w:w="108" w:type="dxa"/>
          </w:tblCellMar>
        </w:tblPrEx>
        <w:trPr>
          <w:trHeight w:val="346" w:hRule="atLeast"/>
          <w:jc w:val="center"/>
        </w:trPr>
        <w:tc>
          <w:tcPr>
            <w:tcW w:w="702"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729" w:type="dxa"/>
            <w:vMerge w:val="continue"/>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5637" w:type="dxa"/>
            <w:gridSpan w:val="3"/>
            <w:tcBorders>
              <w:top w:val="single" w:color="auto" w:sz="4" w:space="0"/>
              <w:left w:val="nil"/>
              <w:bottom w:val="single" w:color="auto" w:sz="4" w:space="0"/>
              <w:right w:val="single" w:color="000000"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
                <w:kern w:val="0"/>
                <w:szCs w:val="21"/>
              </w:rPr>
            </w:pPr>
            <w:r>
              <w:rPr>
                <w:rFonts w:hint="default" w:ascii="Times New Roman" w:hAnsi="Times New Roman" w:eastAsia="方正仿宋_GBK" w:cs="Times New Roman"/>
                <w:b/>
                <w:kern w:val="0"/>
                <w:szCs w:val="21"/>
              </w:rPr>
              <w:t>总计</w:t>
            </w:r>
          </w:p>
        </w:tc>
        <w:tc>
          <w:tcPr>
            <w:tcW w:w="1154" w:type="dxa"/>
            <w:tcBorders>
              <w:top w:val="nil"/>
              <w:left w:val="nil"/>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
                <w:kern w:val="0"/>
                <w:szCs w:val="21"/>
              </w:rPr>
            </w:pPr>
            <w:r>
              <w:rPr>
                <w:rFonts w:hint="default" w:ascii="Times New Roman" w:hAnsi="Times New Roman" w:eastAsia="方正仿宋_GBK" w:cs="Times New Roman"/>
                <w:b/>
                <w:kern w:val="0"/>
                <w:szCs w:val="21"/>
              </w:rPr>
              <w:t>5582.4</w:t>
            </w:r>
          </w:p>
        </w:tc>
      </w:tr>
    </w:tbl>
    <w:p>
      <w:pPr>
        <w:pStyle w:val="2"/>
        <w:ind w:firstLine="480"/>
        <w:rPr>
          <w:rFonts w:ascii="Times New Roman" w:hAnsi="Times New Roman"/>
        </w:rPr>
        <w:sectPr>
          <w:pgSz w:w="11906" w:h="16838"/>
          <w:pgMar w:top="1440" w:right="1800" w:bottom="1440" w:left="1800" w:header="851" w:footer="992" w:gutter="0"/>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880" w:firstLineChars="200"/>
        <w:textAlignment w:val="auto"/>
        <w:outlineLvl w:val="9"/>
        <w:rPr>
          <w:rFonts w:hint="eastAsia" w:ascii="方正小标宋_GBK" w:hAnsi="方正小标宋_GBK" w:eastAsia="方正小标宋_GBK" w:cs="方正小标宋_GBK"/>
          <w:kern w:val="0"/>
          <w:sz w:val="44"/>
          <w:szCs w:val="44"/>
          <w:shd w:val="clear" w:color="auto" w:fill="FFFFFF"/>
          <w:lang w:val="en-US" w:eastAsia="zh-CN" w:bidi="ar-SA"/>
        </w:rPr>
      </w:pPr>
      <w:bookmarkStart w:id="27" w:name="_Toc312309818"/>
      <w:bookmarkStart w:id="28" w:name="_Toc5049"/>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880" w:firstLineChars="200"/>
        <w:textAlignment w:val="auto"/>
        <w:outlineLvl w:val="9"/>
        <w:rPr>
          <w:rFonts w:hint="eastAsia" w:ascii="方正小标宋_GBK" w:hAnsi="方正小标宋_GBK" w:eastAsia="方正小标宋_GBK" w:cs="方正小标宋_GBK"/>
          <w:kern w:val="0"/>
          <w:sz w:val="44"/>
          <w:szCs w:val="44"/>
          <w:shd w:val="clear" w:color="auto" w:fill="FFFFFF"/>
          <w:lang w:val="en-US" w:eastAsia="zh-CN" w:bidi="ar-SA"/>
        </w:rPr>
      </w:pPr>
      <w:r>
        <w:rPr>
          <w:rFonts w:hint="eastAsia" w:ascii="方正小标宋_GBK" w:hAnsi="方正小标宋_GBK" w:eastAsia="方正小标宋_GBK" w:cs="方正小标宋_GBK"/>
          <w:kern w:val="0"/>
          <w:sz w:val="44"/>
          <w:szCs w:val="44"/>
          <w:shd w:val="clear" w:color="auto" w:fill="FFFFFF"/>
          <w:lang w:val="en-US" w:eastAsia="zh-CN" w:bidi="ar-SA"/>
        </w:rPr>
        <w:t>第二章  指导思想原则与目标任务</w:t>
      </w:r>
      <w:bookmarkEnd w:id="27"/>
      <w:bookmarkEnd w:id="28"/>
    </w:p>
    <w:p>
      <w:pPr>
        <w:pStyle w:val="4"/>
        <w:pageBreakBefore w:val="0"/>
        <w:widowControl w:val="0"/>
        <w:kinsoku/>
        <w:wordWrap/>
        <w:overflowPunct/>
        <w:autoSpaceDE/>
        <w:autoSpaceDN/>
        <w:bidi w:val="0"/>
        <w:adjustRightInd w:val="0"/>
        <w:snapToGrid w:val="0"/>
        <w:spacing w:before="159" w:beforeLines="50" w:after="159" w:afterLines="50" w:line="590" w:lineRule="exact"/>
        <w:rPr>
          <w:rFonts w:hint="eastAsia" w:ascii="方正黑体_GBK" w:hAnsi="方正黑体_GBK" w:eastAsia="方正黑体_GBK" w:cs="方正黑体_GBK"/>
          <w:b w:val="0"/>
          <w:bCs w:val="0"/>
          <w:sz w:val="32"/>
          <w:szCs w:val="32"/>
        </w:rPr>
      </w:pPr>
      <w:bookmarkStart w:id="29" w:name="_Toc20857"/>
      <w:bookmarkStart w:id="30" w:name="_Toc312309819"/>
      <w:r>
        <w:rPr>
          <w:rFonts w:hint="eastAsia" w:ascii="方正黑体_GBK" w:hAnsi="方正黑体_GBK" w:eastAsia="方正黑体_GBK" w:cs="方正黑体_GBK"/>
          <w:b w:val="0"/>
          <w:bCs w:val="0"/>
          <w:sz w:val="32"/>
          <w:szCs w:val="32"/>
        </w:rPr>
        <w:t>第一节  指导思想和基本原则</w:t>
      </w:r>
      <w:bookmarkEnd w:id="29"/>
      <w:bookmarkEnd w:id="30"/>
    </w:p>
    <w:p>
      <w:pPr>
        <w:pStyle w:val="5"/>
        <w:pageBreakBefore w:val="0"/>
        <w:widowControl w:val="0"/>
        <w:kinsoku/>
        <w:wordWrap/>
        <w:overflowPunct/>
        <w:autoSpaceDE/>
        <w:autoSpaceDN/>
        <w:bidi w:val="0"/>
        <w:spacing w:before="95" w:beforeLines="30" w:after="95" w:afterLines="30" w:line="590" w:lineRule="exact"/>
        <w:ind w:firstLine="562"/>
        <w:rPr>
          <w:rFonts w:hint="eastAsia" w:ascii="方正楷体_GBK" w:hAnsi="方正楷体_GBK" w:eastAsia="方正楷体_GBK" w:cs="方正楷体_GBK"/>
          <w:b w:val="0"/>
          <w:bCs/>
          <w:sz w:val="32"/>
          <w:szCs w:val="32"/>
        </w:rPr>
      </w:pPr>
      <w:bookmarkStart w:id="31" w:name="_Toc312309820"/>
      <w:bookmarkStart w:id="32" w:name="_Toc19260"/>
      <w:r>
        <w:rPr>
          <w:rFonts w:hint="eastAsia" w:ascii="方正楷体_GBK" w:hAnsi="方正楷体_GBK" w:eastAsia="方正楷体_GBK" w:cs="方正楷体_GBK"/>
          <w:b w:val="0"/>
          <w:bCs/>
          <w:sz w:val="32"/>
          <w:szCs w:val="32"/>
        </w:rPr>
        <w:t>一、指导思想</w:t>
      </w:r>
      <w:bookmarkEnd w:id="31"/>
      <w:bookmarkEnd w:id="32"/>
    </w:p>
    <w:p>
      <w:pPr>
        <w:pageBreakBefore w:val="0"/>
        <w:widowControl w:val="0"/>
        <w:kinsoku/>
        <w:wordWrap/>
        <w:overflowPunct/>
        <w:autoSpaceDE/>
        <w:autoSpaceDN/>
        <w:bidi w:val="0"/>
        <w:adjustRightInd w:val="0"/>
        <w:snapToGrid w:val="0"/>
        <w:spacing w:line="590" w:lineRule="exact"/>
        <w:ind w:firstLine="640" w:firstLineChars="200"/>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全面贯彻国家新时期的治水方针，落实习近平总书记“节水优先、空间均衡、系统治理、两手发力”的治水新思路和最严格的水资源管理制度。在充分分析区域水资源条件和水环境承载能力的基础上，立足淮南市基本情况和国民经济发展总体布局，以淮南市城市发展规划确定的城市范围为重点配置区域，以城市集中供水用水户为重点配置对象，持续开展农业种植结构调整，强化农业节水，合理抑制需求、有效增加供水、积极保护生态环境，对不同区域、不同水源进行水资源优化配置，寻求和增加地表水的调蓄空间，提高供用水保证率，确定水资源可持续利用的目标和方向、任务和重点、模式和步骤、对策和措施，统筹水资源的开发、利用、治理、配置、节约和保护，通过水资源的合理开发、科学调蓄、优化配置、高效利用、全面节约、有效保护和科学管理，促进人口、资源、环境和经济的协调发展。</w:t>
      </w:r>
    </w:p>
    <w:p>
      <w:pPr>
        <w:pageBreakBefore w:val="0"/>
        <w:widowControl w:val="0"/>
        <w:kinsoku/>
        <w:wordWrap/>
        <w:overflowPunct/>
        <w:autoSpaceDE/>
        <w:autoSpaceDN/>
        <w:bidi w:val="0"/>
        <w:adjustRightInd w:val="0"/>
        <w:snapToGrid w:val="0"/>
        <w:spacing w:line="590" w:lineRule="exact"/>
        <w:ind w:firstLine="640" w:firstLineChars="200"/>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绿色发展　以“环境就是民生”“绿水青山就是金山银山”“在生态环境保护上一定要算大账、算长远账、算整体账、算综合账”等绿色发展观，把生态文明建设纳入淮南市现代化建设总体布局中，坚持绿色发展理念，实施绿色发展战略，走生态文明发展新路。</w:t>
      </w:r>
    </w:p>
    <w:p>
      <w:pPr>
        <w:pStyle w:val="5"/>
        <w:pageBreakBefore w:val="0"/>
        <w:widowControl w:val="0"/>
        <w:kinsoku/>
        <w:wordWrap/>
        <w:overflowPunct/>
        <w:autoSpaceDE/>
        <w:autoSpaceDN/>
        <w:bidi w:val="0"/>
        <w:spacing w:before="95" w:beforeLines="30" w:after="95" w:afterLines="30" w:line="590" w:lineRule="exact"/>
        <w:ind w:firstLine="562"/>
        <w:rPr>
          <w:rFonts w:hint="eastAsia" w:ascii="方正楷体_GBK" w:hAnsi="方正楷体_GBK" w:eastAsia="方正楷体_GBK" w:cs="方正楷体_GBK"/>
          <w:b w:val="0"/>
          <w:bCs/>
          <w:sz w:val="32"/>
          <w:szCs w:val="32"/>
        </w:rPr>
      </w:pPr>
      <w:bookmarkStart w:id="33" w:name="_Toc21721"/>
      <w:bookmarkStart w:id="34" w:name="_Toc312309821"/>
      <w:r>
        <w:rPr>
          <w:rFonts w:hint="eastAsia" w:ascii="方正楷体_GBK" w:hAnsi="方正楷体_GBK" w:eastAsia="方正楷体_GBK" w:cs="方正楷体_GBK"/>
          <w:b w:val="0"/>
          <w:bCs/>
          <w:sz w:val="32"/>
          <w:szCs w:val="32"/>
        </w:rPr>
        <w:t>二、基本原则</w:t>
      </w:r>
      <w:bookmarkEnd w:id="33"/>
      <w:bookmarkEnd w:id="34"/>
    </w:p>
    <w:p>
      <w:pPr>
        <w:pageBreakBefore w:val="0"/>
        <w:widowControl w:val="0"/>
        <w:kinsoku/>
        <w:wordWrap/>
        <w:overflowPunct/>
        <w:autoSpaceDE/>
        <w:autoSpaceDN/>
        <w:bidi w:val="0"/>
        <w:adjustRightInd w:val="0"/>
        <w:snapToGrid w:val="0"/>
        <w:spacing w:line="590" w:lineRule="exact"/>
        <w:ind w:firstLine="643"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bCs/>
          <w:sz w:val="32"/>
          <w:szCs w:val="32"/>
        </w:rPr>
        <w:t xml:space="preserve">因地制宜 协调发展 </w:t>
      </w:r>
      <w:r>
        <w:rPr>
          <w:rFonts w:hint="eastAsia" w:ascii="方正仿宋_GBK" w:hAnsi="方正仿宋_GBK" w:eastAsia="方正仿宋_GBK" w:cs="方正仿宋_GBK"/>
          <w:sz w:val="32"/>
          <w:szCs w:val="32"/>
        </w:rPr>
        <w:t xml:space="preserve"> 以水资源可持续利用支持经济社会可持续发展，着力建设与经济社会发展目标、规模、水平和速度相适应的水资源配置工程体系与管理体系；根据所在区域的水资源条件和水环境承载能力，合理安排和调整城市规模、产业布局、产业结构。</w:t>
      </w:r>
    </w:p>
    <w:p>
      <w:pPr>
        <w:pageBreakBefore w:val="0"/>
        <w:widowControl w:val="0"/>
        <w:kinsoku/>
        <w:wordWrap/>
        <w:overflowPunct/>
        <w:autoSpaceDE/>
        <w:autoSpaceDN/>
        <w:bidi w:val="0"/>
        <w:adjustRightInd w:val="0"/>
        <w:snapToGrid w:val="0"/>
        <w:spacing w:line="590" w:lineRule="exact"/>
        <w:ind w:firstLine="643"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bCs/>
          <w:sz w:val="32"/>
          <w:szCs w:val="32"/>
        </w:rPr>
        <w:t>民生优先 人水和谐</w:t>
      </w:r>
      <w:r>
        <w:rPr>
          <w:rFonts w:hint="eastAsia" w:ascii="方正仿宋_GBK" w:hAnsi="方正仿宋_GBK" w:eastAsia="方正仿宋_GBK" w:cs="方正仿宋_GBK"/>
          <w:sz w:val="32"/>
          <w:szCs w:val="32"/>
        </w:rPr>
        <w:t xml:space="preserve">  顺应自然规律和社会发展规律，着力解决淮南市人民群众最关心最直接最现实的水利问题，推进民生水利新发展，增强淮南水利支撑保障能力，构建人水和谐、人民安居、水资源可持续利用的新淮南。</w:t>
      </w:r>
    </w:p>
    <w:p>
      <w:pPr>
        <w:pageBreakBefore w:val="0"/>
        <w:widowControl w:val="0"/>
        <w:kinsoku/>
        <w:wordWrap/>
        <w:overflowPunct/>
        <w:autoSpaceDE/>
        <w:autoSpaceDN/>
        <w:bidi w:val="0"/>
        <w:adjustRightInd w:val="0"/>
        <w:snapToGrid w:val="0"/>
        <w:spacing w:line="590" w:lineRule="exact"/>
        <w:ind w:firstLine="643"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bCs/>
          <w:sz w:val="32"/>
          <w:szCs w:val="32"/>
        </w:rPr>
        <w:t>全面规划 统筹兼顾</w:t>
      </w:r>
      <w:r>
        <w:rPr>
          <w:rFonts w:hint="eastAsia" w:ascii="方正仿宋_GBK" w:hAnsi="方正仿宋_GBK" w:eastAsia="方正仿宋_GBK" w:cs="方正仿宋_GBK"/>
          <w:sz w:val="32"/>
          <w:szCs w:val="32"/>
        </w:rPr>
        <w:t xml:space="preserve">  兴利除害结合，防洪抗旱并举，节约保护并重，统筹协调区域水资源配置布局，妥善处理区域间、上下游、左右岸、近远期和水资源开发利用与防洪排涝、水生态环境等各方面的关系，全面发挥水资源配置工程体系的综合作用。</w:t>
      </w:r>
    </w:p>
    <w:p>
      <w:pPr>
        <w:pageBreakBefore w:val="0"/>
        <w:widowControl w:val="0"/>
        <w:kinsoku/>
        <w:wordWrap/>
        <w:overflowPunct/>
        <w:autoSpaceDE/>
        <w:autoSpaceDN/>
        <w:bidi w:val="0"/>
        <w:adjustRightInd w:val="0"/>
        <w:snapToGrid w:val="0"/>
        <w:spacing w:line="590" w:lineRule="exact"/>
        <w:ind w:firstLine="643"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bCs/>
          <w:sz w:val="32"/>
          <w:szCs w:val="32"/>
        </w:rPr>
        <w:t>合理配置 高效利用</w:t>
      </w:r>
      <w:r>
        <w:rPr>
          <w:rFonts w:hint="eastAsia" w:ascii="方正仿宋_GBK" w:hAnsi="方正仿宋_GBK" w:eastAsia="方正仿宋_GBK" w:cs="方正仿宋_GBK"/>
          <w:sz w:val="32"/>
          <w:szCs w:val="32"/>
        </w:rPr>
        <w:t xml:space="preserve">  积极推进节水防污型社会建设，抑制需水过快增长、减少废水超标排放，从源头上尽可能地减轻水资源开发和保护压力。根据区域水资源条件和水资源保护要求，合理配置地表水与地下水、当地水与外调水、常规水源与非常规水源等多种水源，合理开发、有效保护、高效利用。</w:t>
      </w:r>
    </w:p>
    <w:p>
      <w:pPr>
        <w:pageBreakBefore w:val="0"/>
        <w:widowControl w:val="0"/>
        <w:kinsoku/>
        <w:wordWrap/>
        <w:overflowPunct/>
        <w:autoSpaceDE/>
        <w:autoSpaceDN/>
        <w:bidi w:val="0"/>
        <w:adjustRightInd w:val="0"/>
        <w:snapToGrid w:val="0"/>
        <w:spacing w:line="590" w:lineRule="exact"/>
        <w:ind w:firstLine="643"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bCs/>
          <w:sz w:val="32"/>
          <w:szCs w:val="32"/>
        </w:rPr>
        <w:t>近远结合 保障重点</w:t>
      </w:r>
      <w:r>
        <w:rPr>
          <w:rFonts w:hint="eastAsia" w:ascii="方正仿宋_GBK" w:hAnsi="方正仿宋_GBK" w:eastAsia="方正仿宋_GBK" w:cs="方正仿宋_GBK"/>
          <w:sz w:val="32"/>
          <w:szCs w:val="32"/>
        </w:rPr>
        <w:t xml:space="preserve">  根据需要与可能，围绕饮水安全、粮食安全、生态安全和城市化、工业化进程等重点领域，明确水资源开发、利用、配置、节约、保护、治理的重点，有序规划水源工程建设规模与时机，根据淮南市未来用水需求，加快跨流域、跨区域调水、重要城市应急备用水源、主要河湖及采煤沉陷区水资源保护与修复等重点工程的建设。</w:t>
      </w:r>
    </w:p>
    <w:p>
      <w:pPr>
        <w:pageBreakBefore w:val="0"/>
        <w:widowControl w:val="0"/>
        <w:kinsoku/>
        <w:wordWrap/>
        <w:overflowPunct/>
        <w:autoSpaceDE/>
        <w:autoSpaceDN/>
        <w:bidi w:val="0"/>
        <w:adjustRightInd w:val="0"/>
        <w:snapToGrid w:val="0"/>
        <w:spacing w:line="590" w:lineRule="exact"/>
        <w:ind w:firstLine="643"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bCs/>
          <w:sz w:val="32"/>
          <w:szCs w:val="32"/>
        </w:rPr>
        <w:t>资源节约 严格管理</w:t>
      </w:r>
      <w:r>
        <w:rPr>
          <w:rFonts w:hint="eastAsia" w:ascii="方正仿宋_GBK" w:hAnsi="方正仿宋_GBK" w:eastAsia="方正仿宋_GBK" w:cs="方正仿宋_GBK"/>
          <w:sz w:val="32"/>
          <w:szCs w:val="32"/>
        </w:rPr>
        <w:t xml:space="preserve">  规范水资源开发利用行为，提高用水效率，限制水功能区污染物入河控制量，严格区域水资源管理。协调生活、生产、生态三者用水，确保重要区域、重要领域和重要水域用水安全，制定特殊干旱年、水污染突发事件下水资源调配应急对策，提高应急应变能力。</w:t>
      </w:r>
    </w:p>
    <w:p>
      <w:pPr>
        <w:pStyle w:val="4"/>
        <w:pageBreakBefore w:val="0"/>
        <w:widowControl w:val="0"/>
        <w:kinsoku/>
        <w:wordWrap/>
        <w:overflowPunct/>
        <w:autoSpaceDE/>
        <w:autoSpaceDN/>
        <w:bidi w:val="0"/>
        <w:adjustRightInd w:val="0"/>
        <w:snapToGrid w:val="0"/>
        <w:spacing w:before="159" w:beforeLines="50" w:after="159" w:afterLines="50" w:line="590" w:lineRule="exact"/>
        <w:rPr>
          <w:rFonts w:hint="eastAsia" w:ascii="方正黑体_GBK" w:hAnsi="方正黑体_GBK" w:eastAsia="方正黑体_GBK" w:cs="方正黑体_GBK"/>
          <w:b w:val="0"/>
          <w:bCs w:val="0"/>
          <w:sz w:val="32"/>
          <w:szCs w:val="32"/>
        </w:rPr>
      </w:pPr>
      <w:bookmarkStart w:id="35" w:name="_Toc25471"/>
      <w:bookmarkStart w:id="36" w:name="_Toc312309822"/>
      <w:bookmarkStart w:id="37" w:name="_Toc295891082"/>
      <w:r>
        <w:rPr>
          <w:rFonts w:hint="eastAsia" w:ascii="方正黑体_GBK" w:hAnsi="方正黑体_GBK" w:eastAsia="方正黑体_GBK" w:cs="方正黑体_GBK"/>
          <w:b w:val="0"/>
          <w:bCs w:val="0"/>
          <w:sz w:val="32"/>
          <w:szCs w:val="32"/>
        </w:rPr>
        <w:t>第二节  目标与主要任务</w:t>
      </w:r>
      <w:bookmarkEnd w:id="35"/>
      <w:bookmarkEnd w:id="36"/>
      <w:bookmarkEnd w:id="37"/>
    </w:p>
    <w:p>
      <w:pPr>
        <w:pStyle w:val="5"/>
        <w:pageBreakBefore w:val="0"/>
        <w:widowControl w:val="0"/>
        <w:kinsoku/>
        <w:wordWrap/>
        <w:overflowPunct/>
        <w:autoSpaceDE/>
        <w:autoSpaceDN/>
        <w:bidi w:val="0"/>
        <w:spacing w:before="95" w:beforeLines="30" w:after="95" w:afterLines="30" w:line="590" w:lineRule="exact"/>
        <w:ind w:firstLine="562"/>
        <w:rPr>
          <w:rFonts w:hint="eastAsia" w:ascii="方正黑体_GBK" w:hAnsi="方正黑体_GBK" w:eastAsia="方正黑体_GBK" w:cs="方正黑体_GBK"/>
          <w:b w:val="0"/>
          <w:bCs/>
          <w:sz w:val="32"/>
          <w:szCs w:val="32"/>
        </w:rPr>
      </w:pPr>
      <w:bookmarkStart w:id="38" w:name="_Toc12265964"/>
      <w:bookmarkStart w:id="39" w:name="_Toc295891083"/>
      <w:bookmarkStart w:id="40" w:name="_Toc11722498"/>
      <w:bookmarkStart w:id="41" w:name="_Toc17543"/>
      <w:bookmarkStart w:id="42" w:name="_Toc312309823"/>
      <w:bookmarkStart w:id="43" w:name="_Toc12267993"/>
      <w:bookmarkStart w:id="44" w:name="_Toc11724968"/>
      <w:bookmarkStart w:id="45" w:name="_Toc17191668"/>
      <w:r>
        <w:rPr>
          <w:rFonts w:hint="eastAsia" w:ascii="方正楷体_GBK" w:hAnsi="方正楷体_GBK" w:eastAsia="方正楷体_GBK" w:cs="方正楷体_GBK"/>
          <w:b w:val="0"/>
          <w:bCs/>
          <w:sz w:val="32"/>
          <w:szCs w:val="32"/>
        </w:rPr>
        <w:t>一、规划目标</w:t>
      </w:r>
      <w:bookmarkEnd w:id="38"/>
      <w:bookmarkEnd w:id="39"/>
      <w:bookmarkEnd w:id="40"/>
      <w:bookmarkEnd w:id="41"/>
      <w:bookmarkEnd w:id="42"/>
      <w:bookmarkEnd w:id="43"/>
      <w:bookmarkEnd w:id="44"/>
      <w:bookmarkEnd w:id="45"/>
    </w:p>
    <w:p>
      <w:pPr>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（1）总体目标</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淮南市水资源条件和经济社会发展对水资源、水环境安全保障的需求，以解决重点河湖、重要区域和重大领域水资源不足和改善重要河湖水生态环境等问题为核心，通过水资源的全面节约、有效保护、优化配置、合理开发、高效利用和科学管理等综合措施，提高水资源安全保障程度。构建水资源总量控制、高效利用、纳污总量控制为核心的水资源管理体系配置和保护的工程体系，建立合理的水价调控体系，努力满足合理用水需求，促进重点水功能区水质基本达标，水生态系统良性循环，全市人口、资源、环境和经济协调发展。</w:t>
      </w:r>
    </w:p>
    <w:p>
      <w:pPr>
        <w:pageBreakBefore w:val="0"/>
        <w:widowControl w:val="0"/>
        <w:tabs>
          <w:tab w:val="left" w:pos="525"/>
        </w:tabs>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b/>
          <w:bCs w:val="0"/>
          <w:sz w:val="32"/>
          <w:szCs w:val="32"/>
        </w:rPr>
        <w:t>（2）总量控制目标：</w:t>
      </w:r>
      <w:r>
        <w:rPr>
          <w:rFonts w:hint="default" w:ascii="Times New Roman" w:hAnsi="Times New Roman" w:eastAsia="方正仿宋_GBK" w:cs="Times New Roman"/>
          <w:sz w:val="32"/>
          <w:szCs w:val="32"/>
        </w:rPr>
        <w:t>严格实行用水总量控制，遏制不合理用水过快增长。2020年用水总量控制在20.58亿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，2030年用水总量控制在21.67亿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w:t>
      </w:r>
    </w:p>
    <w:p>
      <w:pPr>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b/>
          <w:bCs w:val="0"/>
          <w:sz w:val="32"/>
          <w:szCs w:val="32"/>
        </w:rPr>
        <w:t>（3）节约用水目标：</w:t>
      </w:r>
      <w:r>
        <w:rPr>
          <w:rFonts w:hint="default" w:ascii="Times New Roman" w:hAnsi="Times New Roman" w:eastAsia="方正仿宋_GBK" w:cs="Times New Roman"/>
          <w:sz w:val="32"/>
          <w:szCs w:val="32"/>
        </w:rPr>
        <w:t>全面加强节水型社会建设，着力提高水资源利用效率和效益。</w:t>
      </w:r>
      <w:r>
        <w:rPr>
          <w:rFonts w:hint="default" w:ascii="Times New Roman" w:hAnsi="Times New Roman" w:eastAsia="方正仿宋_GBK" w:cs="Times New Roman"/>
          <w:bCs/>
          <w:snapToGrid w:val="0"/>
          <w:sz w:val="32"/>
          <w:szCs w:val="32"/>
        </w:rPr>
        <w:t>至</w:t>
      </w:r>
      <w:r>
        <w:rPr>
          <w:rFonts w:hint="default" w:ascii="Times New Roman" w:hAnsi="Times New Roman" w:eastAsia="方正仿宋_GBK" w:cs="Times New Roman"/>
          <w:sz w:val="32"/>
          <w:szCs w:val="32"/>
        </w:rPr>
        <w:t>2020年，万元GDP用水量控制在140</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 xml:space="preserve">左右（不含直流冷却，下同），万元工业增加值用水量控制在57 </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，灌溉水有效利用系数提高至0.565，城镇供水管网漏损率控制在12%以下。</w:t>
      </w:r>
      <w:r>
        <w:rPr>
          <w:rFonts w:hint="default" w:ascii="Times New Roman" w:hAnsi="Times New Roman" w:eastAsia="方正仿宋_GBK" w:cs="Times New Roman"/>
          <w:bCs/>
          <w:snapToGrid w:val="0"/>
          <w:sz w:val="32"/>
          <w:szCs w:val="32"/>
        </w:rPr>
        <w:t>至</w:t>
      </w:r>
      <w:r>
        <w:rPr>
          <w:rFonts w:hint="default" w:ascii="Times New Roman" w:hAnsi="Times New Roman" w:eastAsia="方正仿宋_GBK" w:cs="Times New Roman"/>
          <w:sz w:val="32"/>
          <w:szCs w:val="32"/>
        </w:rPr>
        <w:t>2030年，万元GDP用水量降低到88</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以下，万元工业增加值用水量降低到40</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，灌溉水有效利用系数提高到0.60左右，城镇供水管网漏损率控制在8%。</w:t>
      </w:r>
    </w:p>
    <w:p>
      <w:pPr>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工业节水目标：通过全面推进节水型社会建设，转变用水方式，着力提高水资源利用效率和效益，工业万元增加值用水量2020年降至57m³/万元、2030年降至40 m³/万元。</w:t>
      </w:r>
    </w:p>
    <w:p>
      <w:pPr>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农业节水目标：通过农村产业结构调整、灌区节水改造及高效节水农业的实施，提高灌溉水利用效率，2020年灌溉水利用系数提高至0.565，2030年灌溉水利用系数提高至0.60。</w:t>
      </w:r>
    </w:p>
    <w:p>
      <w:pPr>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城市中水利用目标：2020年中水回用率达30%，2030年达50%。</w:t>
      </w:r>
    </w:p>
    <w:p>
      <w:pPr>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城市生活节水目标：2020年城市管网漏损率将至12%，节水器具普及率大于95%；规划2030年城市管网漏损率将至8%，节水器具普及率大于100%。</w:t>
      </w:r>
    </w:p>
    <w:p>
      <w:pPr>
        <w:pStyle w:val="19"/>
        <w:pageBreakBefore w:val="0"/>
        <w:widowControl w:val="0"/>
        <w:kinsoku/>
        <w:wordWrap/>
        <w:overflowPunct/>
        <w:autoSpaceDE/>
        <w:autoSpaceDN/>
        <w:bidi w:val="0"/>
        <w:snapToGrid w:val="0"/>
        <w:spacing w:line="590" w:lineRule="exact"/>
        <w:ind w:firstLine="482"/>
        <w:rPr>
          <w:rFonts w:hint="default" w:ascii="Times New Roman" w:hAnsi="Times New Roman" w:eastAsia="方正仿宋_GBK" w:cs="Times New Roman"/>
          <w:bCs w:val="0"/>
          <w:snapToGrid/>
          <w:sz w:val="32"/>
          <w:szCs w:val="32"/>
        </w:rPr>
      </w:pPr>
      <w:r>
        <w:rPr>
          <w:rFonts w:hint="default" w:ascii="Times New Roman" w:hAnsi="Times New Roman" w:eastAsia="方正仿宋_GBK" w:cs="Times New Roman"/>
          <w:b/>
          <w:bCs w:val="0"/>
          <w:snapToGrid/>
          <w:kern w:val="2"/>
          <w:sz w:val="32"/>
          <w:szCs w:val="32"/>
          <w:lang w:val="en-US" w:eastAsia="zh-CN" w:bidi="ar-SA"/>
        </w:rPr>
        <w:t>（4）水资源保护目标：</w:t>
      </w:r>
      <w:r>
        <w:rPr>
          <w:rFonts w:hint="default" w:ascii="Times New Roman" w:hAnsi="Times New Roman" w:eastAsia="方正仿宋_GBK" w:cs="Times New Roman"/>
          <w:bCs w:val="0"/>
          <w:snapToGrid/>
          <w:sz w:val="32"/>
          <w:szCs w:val="32"/>
        </w:rPr>
        <w:t>河湖水环境得到有效保护，水功能区水质目标逐步实现。至2020年，进入河流、湖泊等水域的污染负荷得到有效遏制，市内主要河流水质有所改善，饮用水源地和需要改善水质的保护区基本达到水功能区水质目标，重要江河湖泊水功能区水质达标率达87%；至2030年，污染物入河量控制在承纳水域的环境容量范围内，水功能区水质全面达标。瓦埠湖、高塘湖、焦岗湖、十涧湖，安丰塘、大井、花果三座中型水库等重要饮用水源地的水质优于Ⅲ类；重要河流：淮河、淠河、泥河、茨淮新河的水质达标率达95%。</w:t>
      </w:r>
    </w:p>
    <w:p>
      <w:pPr>
        <w:pStyle w:val="7"/>
        <w:pageBreakBefore w:val="0"/>
        <w:widowControl w:val="0"/>
        <w:kinsoku/>
        <w:wordWrap/>
        <w:overflowPunct/>
        <w:autoSpaceDE/>
        <w:autoSpaceDN/>
        <w:bidi w:val="0"/>
        <w:snapToGrid w:val="0"/>
        <w:spacing w:line="590" w:lineRule="exact"/>
        <w:ind w:firstLine="630" w:firstLineChars="196"/>
        <w:rPr>
          <w:rFonts w:hint="default" w:ascii="Times New Roman" w:hAnsi="Times New Roman" w:eastAsia="方正仿宋_GBK" w:cs="Times New Roman"/>
          <w:sz w:val="32"/>
          <w:szCs w:val="32"/>
        </w:rPr>
      </w:pPr>
      <w:r>
        <w:rPr>
          <w:rFonts w:hint="default" w:ascii="Times New Roman" w:hAnsi="Times New Roman" w:eastAsia="方正仿宋_GBK" w:cs="Times New Roman"/>
          <w:b/>
          <w:bCs w:val="0"/>
          <w:kern w:val="2"/>
          <w:sz w:val="32"/>
          <w:szCs w:val="32"/>
          <w:lang w:val="en-US" w:eastAsia="zh-CN" w:bidi="ar-SA"/>
        </w:rPr>
        <w:t>（5）水生态修复目标：</w:t>
      </w:r>
      <w:r>
        <w:rPr>
          <w:rFonts w:hint="default" w:ascii="Times New Roman" w:hAnsi="Times New Roman" w:eastAsia="方正仿宋_GBK" w:cs="Times New Roman"/>
          <w:sz w:val="32"/>
          <w:szCs w:val="32"/>
        </w:rPr>
        <w:t>建立河流、湖泊生态用水保障机制，逐步修复和保护河湖湿地及地下水的生态功能。</w:t>
      </w:r>
      <w:r>
        <w:rPr>
          <w:rFonts w:hint="default" w:ascii="Times New Roman" w:hAnsi="Times New Roman" w:eastAsia="方正仿宋_GBK" w:cs="Times New Roman"/>
          <w:bCs/>
          <w:snapToGrid w:val="0"/>
          <w:sz w:val="32"/>
          <w:szCs w:val="32"/>
        </w:rPr>
        <w:t>至</w:t>
      </w:r>
      <w:r>
        <w:rPr>
          <w:rFonts w:hint="default" w:ascii="Times New Roman" w:hAnsi="Times New Roman" w:eastAsia="方正仿宋_GBK" w:cs="Times New Roman"/>
          <w:sz w:val="32"/>
          <w:szCs w:val="32"/>
        </w:rPr>
        <w:t>2020年，挤占河道生态用水的现象基本遏制，</w:t>
      </w:r>
      <w:r>
        <w:rPr>
          <w:rFonts w:hint="default" w:ascii="Times New Roman" w:hAnsi="Times New Roman" w:eastAsia="方正仿宋_GBK" w:cs="Times New Roman"/>
          <w:bCs/>
          <w:snapToGrid w:val="0"/>
          <w:sz w:val="32"/>
          <w:szCs w:val="32"/>
        </w:rPr>
        <w:t>饮用水源地上游、</w:t>
      </w:r>
      <w:r>
        <w:rPr>
          <w:rFonts w:hint="default" w:ascii="Times New Roman" w:hAnsi="Times New Roman" w:eastAsia="方正仿宋_GBK" w:cs="Times New Roman"/>
          <w:sz w:val="32"/>
          <w:szCs w:val="32"/>
        </w:rPr>
        <w:t>重点湖泊入湖河道和重点城市河道的水生态环境得到初步修复。</w:t>
      </w:r>
      <w:r>
        <w:rPr>
          <w:rFonts w:hint="default" w:ascii="Times New Roman" w:hAnsi="Times New Roman" w:eastAsia="方正仿宋_GBK" w:cs="Times New Roman"/>
          <w:bCs/>
          <w:snapToGrid w:val="0"/>
          <w:sz w:val="32"/>
          <w:szCs w:val="32"/>
        </w:rPr>
        <w:t>至</w:t>
      </w:r>
      <w:r>
        <w:rPr>
          <w:rFonts w:hint="default" w:ascii="Times New Roman" w:hAnsi="Times New Roman" w:eastAsia="方正仿宋_GBK" w:cs="Times New Roman"/>
          <w:sz w:val="32"/>
          <w:szCs w:val="32"/>
        </w:rPr>
        <w:t>2030年，河湖生态用水基本得到保障，主要水域的生态功能基本恢复，</w:t>
      </w:r>
      <w:r>
        <w:rPr>
          <w:rFonts w:hint="default" w:ascii="Times New Roman" w:hAnsi="Times New Roman" w:eastAsia="方正仿宋_GBK" w:cs="Times New Roman"/>
          <w:bCs/>
          <w:snapToGrid w:val="0"/>
          <w:sz w:val="32"/>
          <w:szCs w:val="32"/>
        </w:rPr>
        <w:t>逐步实现水生态系统良性循环。</w:t>
      </w:r>
    </w:p>
    <w:p>
      <w:pPr>
        <w:pageBreakBefore w:val="0"/>
        <w:widowControl w:val="0"/>
        <w:tabs>
          <w:tab w:val="left" w:pos="525"/>
        </w:tabs>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b/>
          <w:bCs w:val="0"/>
          <w:sz w:val="32"/>
          <w:szCs w:val="32"/>
          <w:lang w:val="en-US" w:eastAsia="zh-CN"/>
        </w:rPr>
        <w:t>（6）水资源管理目标：</w:t>
      </w:r>
      <w:r>
        <w:rPr>
          <w:rFonts w:hint="default" w:ascii="Times New Roman" w:hAnsi="Times New Roman" w:eastAsia="方正仿宋_GBK" w:cs="Times New Roman"/>
          <w:sz w:val="32"/>
          <w:szCs w:val="32"/>
        </w:rPr>
        <w:t>实行最严格水资源管理制度，建立水资源开发利用控制红线，严格用水总量控制；建立用水效率控制红线，坚决遏制用水浪费；建立水功能区限制纳污红线，严格控制入河污染物总量。制定主要河流、重点区域的水量分配方案，完善取水许可制度，强化水资源统一调度。完善用水定额管理制度，推进节水型社会建设。实行以水功能区管理为基础的排污总量控制，加强入河排污口、跨界河流断面水质、饮用水源地安全保障等监管考核。提高对水资源的监督管理能力，完善与水资源红线管理相适应的监控体系。　</w:t>
      </w:r>
    </w:p>
    <w:p>
      <w:pPr>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同时建立“河长制”，</w:t>
      </w:r>
      <w:r>
        <w:rPr>
          <w:rFonts w:hint="default" w:ascii="Times New Roman" w:hAnsi="Times New Roman" w:eastAsia="方正仿宋_GBK" w:cs="Times New Roman"/>
          <w:sz w:val="32"/>
          <w:szCs w:val="32"/>
          <w:shd w:val="clear" w:color="auto" w:fill="FFFFFF"/>
        </w:rPr>
        <w:t>负</w:t>
      </w:r>
      <w:r>
        <w:rPr>
          <w:rFonts w:hint="default" w:ascii="Times New Roman" w:hAnsi="Times New Roman" w:eastAsia="方正仿宋_GBK" w:cs="Times New Roman"/>
          <w:sz w:val="32"/>
          <w:szCs w:val="32"/>
        </w:rPr>
        <w:t>责辖区内河流的污染治理，保证河流在较长的时期内保持河清水洁、岸绿鱼游的良好生态环境。通过河长制，让本来无人愿管、被肆意污染的河流，推行一河一策，实行“三包”政策——领导包推进、地区包总量、部门包责任。</w:t>
      </w:r>
    </w:p>
    <w:p>
      <w:pPr>
        <w:pageBreakBefore w:val="0"/>
        <w:widowControl w:val="0"/>
        <w:kinsoku/>
        <w:wordWrap/>
        <w:overflowPunct/>
        <w:autoSpaceDE/>
        <w:autoSpaceDN/>
        <w:bidi w:val="0"/>
        <w:adjustRightInd w:val="0"/>
        <w:snapToGrid w:val="0"/>
        <w:spacing w:line="590" w:lineRule="exact"/>
        <w:ind w:firstLine="640" w:firstLineChars="200"/>
        <w:rPr>
          <w:rFonts w:hint="eastAsia" w:ascii="方正楷体_GBK" w:hAnsi="方正楷体_GBK" w:eastAsia="方正楷体_GBK" w:cs="方正楷体_GBK"/>
          <w:b w:val="0"/>
          <w:bCs/>
          <w:sz w:val="32"/>
          <w:szCs w:val="32"/>
        </w:rPr>
      </w:pPr>
      <w:bookmarkStart w:id="46" w:name="_Toc12265965"/>
      <w:bookmarkStart w:id="47" w:name="_Toc312309824"/>
      <w:bookmarkStart w:id="48" w:name="_Toc12267994"/>
      <w:bookmarkStart w:id="49" w:name="_Toc17191669"/>
      <w:bookmarkStart w:id="50" w:name="_Toc295891084"/>
      <w:bookmarkStart w:id="51" w:name="_Toc11724969"/>
      <w:bookmarkStart w:id="52" w:name="_Toc11722499"/>
      <w:bookmarkStart w:id="53" w:name="_Toc3126"/>
      <w:r>
        <w:rPr>
          <w:rFonts w:hint="eastAsia" w:ascii="方正楷体_GBK" w:hAnsi="方正楷体_GBK" w:eastAsia="方正楷体_GBK" w:cs="方正楷体_GBK"/>
          <w:b w:val="0"/>
          <w:bCs/>
          <w:sz w:val="32"/>
          <w:szCs w:val="32"/>
        </w:rPr>
        <w:t>二、主要任务</w:t>
      </w:r>
      <w:bookmarkEnd w:id="46"/>
      <w:bookmarkEnd w:id="47"/>
      <w:bookmarkEnd w:id="48"/>
      <w:bookmarkEnd w:id="49"/>
      <w:bookmarkEnd w:id="50"/>
      <w:bookmarkEnd w:id="51"/>
      <w:bookmarkEnd w:id="52"/>
      <w:bookmarkEnd w:id="53"/>
    </w:p>
    <w:p>
      <w:pPr>
        <w:pageBreakBefore w:val="0"/>
        <w:widowControl w:val="0"/>
        <w:kinsoku/>
        <w:wordWrap/>
        <w:overflowPunct/>
        <w:autoSpaceDE/>
        <w:autoSpaceDN/>
        <w:bidi w:val="0"/>
        <w:adjustRightInd w:val="0"/>
        <w:snapToGrid w:val="0"/>
        <w:spacing w:line="59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根据规划目标的要求，本次规划的主要任务包括：</w:t>
      </w:r>
    </w:p>
    <w:p>
      <w:pPr>
        <w:pageBreakBefore w:val="0"/>
        <w:widowControl w:val="0"/>
        <w:tabs>
          <w:tab w:val="left" w:pos="525"/>
        </w:tabs>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napToGrid/>
          <w:kern w:val="2"/>
          <w:sz w:val="32"/>
          <w:szCs w:val="32"/>
          <w:lang w:val="en-US" w:eastAsia="zh-CN" w:bidi="ar-SA"/>
        </w:rPr>
      </w:pPr>
      <w:r>
        <w:rPr>
          <w:rFonts w:hint="default" w:ascii="Times New Roman" w:hAnsi="Times New Roman" w:eastAsia="方正仿宋_GBK" w:cs="Times New Roman"/>
          <w:b/>
          <w:bCs w:val="0"/>
          <w:snapToGrid/>
          <w:kern w:val="2"/>
          <w:sz w:val="32"/>
          <w:szCs w:val="32"/>
          <w:lang w:val="en-US" w:eastAsia="zh-CN" w:bidi="ar-SA"/>
        </w:rPr>
        <w:t>（1）水资源及开发利用现状调查评价</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在淮南市以往水资源评价工作的基础上，根据近年来水资源条件的变化，充分调查统计，全面准确地评价境内水资源条件和特点，系统地调查评价水资源的数量、质量、能量、可利用量的时空分布特点和演变趋势，分析现状水资源开发利用水平。</w:t>
      </w:r>
    </w:p>
    <w:p>
      <w:pPr>
        <w:pageBreakBefore w:val="0"/>
        <w:widowControl w:val="0"/>
        <w:tabs>
          <w:tab w:val="left" w:pos="525"/>
        </w:tabs>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napToGrid/>
          <w:kern w:val="2"/>
          <w:sz w:val="32"/>
          <w:szCs w:val="32"/>
          <w:lang w:val="en-US" w:eastAsia="zh-CN" w:bidi="ar-SA"/>
        </w:rPr>
      </w:pPr>
      <w:r>
        <w:rPr>
          <w:rFonts w:hint="default" w:ascii="Times New Roman" w:hAnsi="Times New Roman" w:eastAsia="方正仿宋_GBK" w:cs="Times New Roman"/>
          <w:b/>
          <w:bCs w:val="0"/>
          <w:snapToGrid/>
          <w:kern w:val="2"/>
          <w:sz w:val="32"/>
          <w:szCs w:val="32"/>
          <w:lang w:val="en-US" w:eastAsia="zh-CN" w:bidi="ar-SA"/>
        </w:rPr>
        <w:t>（2）科学确定水资源总量控制目标</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在水资源评价及开发利用现状分析的基础上，综合考虑各种水源和经济结构调整的可能性，分析水资源的综合开发利用潜力，综合评估水资源承载能力，制定规划水平年水资源总量控制目标，严格实行用水总量控制，遏制不合理用水过快增长。</w:t>
      </w:r>
    </w:p>
    <w:p>
      <w:pPr>
        <w:pageBreakBefore w:val="0"/>
        <w:widowControl w:val="0"/>
        <w:tabs>
          <w:tab w:val="left" w:pos="525"/>
        </w:tabs>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napToGrid/>
          <w:kern w:val="2"/>
          <w:sz w:val="32"/>
          <w:szCs w:val="32"/>
          <w:lang w:val="en-US" w:eastAsia="zh-CN" w:bidi="ar-SA"/>
        </w:rPr>
      </w:pPr>
      <w:r>
        <w:rPr>
          <w:rFonts w:hint="default" w:ascii="Times New Roman" w:hAnsi="Times New Roman" w:eastAsia="方正仿宋_GBK" w:cs="Times New Roman"/>
          <w:b/>
          <w:bCs w:val="0"/>
          <w:snapToGrid/>
          <w:kern w:val="2"/>
          <w:sz w:val="32"/>
          <w:szCs w:val="32"/>
          <w:lang w:val="en-US" w:eastAsia="zh-CN" w:bidi="ar-SA"/>
        </w:rPr>
        <w:t>（3）制定水资源合理配置方案</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经济社会发展和环境改善对水资源的要求及水资源的实际条件，进行各规划水平年水资源供需分析，在水资源节约和保护的基础上，建立水资源配置的宏观指标体系，提出协调上、中、下游，生活、生产和生态用水，流域和区域之间的水资源合理配置方案；制定提高水资源利用效率的对策措施，包括调整产业结构与生产力布局等，使经济社会发展与水资源条件相适应。</w:t>
      </w:r>
    </w:p>
    <w:p>
      <w:pPr>
        <w:pageBreakBefore w:val="0"/>
        <w:widowControl w:val="0"/>
        <w:tabs>
          <w:tab w:val="left" w:pos="525"/>
        </w:tabs>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napToGrid/>
          <w:kern w:val="2"/>
          <w:sz w:val="32"/>
          <w:szCs w:val="32"/>
          <w:lang w:val="en-US" w:eastAsia="zh-CN" w:bidi="ar-SA"/>
        </w:rPr>
      </w:pPr>
      <w:r>
        <w:rPr>
          <w:rFonts w:hint="default" w:ascii="Times New Roman" w:hAnsi="Times New Roman" w:eastAsia="方正仿宋_GBK" w:cs="Times New Roman"/>
          <w:b/>
          <w:bCs w:val="0"/>
          <w:snapToGrid/>
          <w:kern w:val="2"/>
          <w:sz w:val="32"/>
          <w:szCs w:val="32"/>
          <w:lang w:val="en-US" w:eastAsia="zh-CN" w:bidi="ar-SA"/>
        </w:rPr>
        <w:t>（4）制定切实可行的节水措施和方案</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有关节水、水资源保护和污水处理再利用规划，充分发挥节约和挖潜等作用，全面加强节水型社会建设，着力提高水资源利用效率和效益。寻求开发与保护、开源与节流、供水与治污、需要与可能之间的协调，改进水资源利用方式，形成合理的水价形成机制，制定经济合理、技术可行节约用水措施和方案。</w:t>
      </w:r>
    </w:p>
    <w:p>
      <w:pPr>
        <w:pageBreakBefore w:val="0"/>
        <w:widowControl w:val="0"/>
        <w:tabs>
          <w:tab w:val="left" w:pos="525"/>
        </w:tabs>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napToGrid/>
          <w:kern w:val="2"/>
          <w:sz w:val="32"/>
          <w:szCs w:val="32"/>
          <w:lang w:val="en-US" w:eastAsia="zh-CN" w:bidi="ar-SA"/>
        </w:rPr>
      </w:pPr>
      <w:r>
        <w:rPr>
          <w:rFonts w:hint="default" w:ascii="Times New Roman" w:hAnsi="Times New Roman" w:eastAsia="方正仿宋_GBK" w:cs="Times New Roman"/>
          <w:b/>
          <w:bCs w:val="0"/>
          <w:snapToGrid/>
          <w:kern w:val="2"/>
          <w:sz w:val="32"/>
          <w:szCs w:val="32"/>
          <w:lang w:val="en-US" w:eastAsia="zh-CN" w:bidi="ar-SA"/>
        </w:rPr>
        <w:t>（5）谋划区域水资源配置格局</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着高效、公平和多目标统筹兼顾协调的原则，统筹协调经济社会发展与生态环境保护对水资源的要求，合理调配生活、生产和生态用水。紧紧围绕优先民生、保障饮水、粮食生产、能源基地、生态环境等重点领域，按照“依托淮河、洼地利用、近接皖西、远托皖江”的水资源开发利用战略指向，在充分挖掘当地现有水源工程潜力的基础上，谋划区域水资源配置格局，构建安全可靠的水资源保障体系。</w:t>
      </w:r>
    </w:p>
    <w:p>
      <w:pPr>
        <w:pageBreakBefore w:val="0"/>
        <w:widowControl w:val="0"/>
        <w:tabs>
          <w:tab w:val="left" w:pos="525"/>
        </w:tabs>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napToGrid/>
          <w:kern w:val="2"/>
          <w:sz w:val="32"/>
          <w:szCs w:val="32"/>
          <w:lang w:val="en-US" w:eastAsia="zh-CN" w:bidi="ar-SA"/>
        </w:rPr>
      </w:pPr>
      <w:r>
        <w:rPr>
          <w:rFonts w:hint="default" w:ascii="Times New Roman" w:hAnsi="Times New Roman" w:eastAsia="方正仿宋_GBK" w:cs="Times New Roman"/>
          <w:b/>
          <w:bCs w:val="0"/>
          <w:snapToGrid/>
          <w:kern w:val="2"/>
          <w:sz w:val="32"/>
          <w:szCs w:val="32"/>
          <w:lang w:val="en-US" w:eastAsia="zh-CN" w:bidi="ar-SA"/>
        </w:rPr>
        <w:t>（6）规划区域水资源保护规划</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在分析境内水环境质量和水污染状况的基础上，协调经济社会发展与保护之间的关系，分析河湖水域纳污能力，制定污染物入河控制方案，制定区域内水资源保护规划，污染物入河量得到有效控制，河湖水环境得到有效保护，水功能区水质目标逐步实现，构建资源节约型、环境友好型的和谐淮南市经济社会。</w:t>
      </w:r>
    </w:p>
    <w:p>
      <w:pPr>
        <w:pageBreakBefore w:val="0"/>
        <w:widowControl w:val="0"/>
        <w:tabs>
          <w:tab w:val="left" w:pos="525"/>
        </w:tabs>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napToGrid/>
          <w:kern w:val="2"/>
          <w:sz w:val="32"/>
          <w:szCs w:val="32"/>
          <w:lang w:val="en-US" w:eastAsia="zh-CN" w:bidi="ar-SA"/>
        </w:rPr>
      </w:pPr>
      <w:r>
        <w:rPr>
          <w:rFonts w:hint="default" w:ascii="Times New Roman" w:hAnsi="Times New Roman" w:eastAsia="方正仿宋_GBK" w:cs="Times New Roman"/>
          <w:b/>
          <w:bCs w:val="0"/>
          <w:snapToGrid/>
          <w:kern w:val="2"/>
          <w:sz w:val="32"/>
          <w:szCs w:val="32"/>
          <w:lang w:val="en-US" w:eastAsia="zh-CN" w:bidi="ar-SA"/>
        </w:rPr>
        <w:t>（7）构建和谐的水生态环境</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建立河流、湖泊生态用水保障机制，逐步修复和保护河湖采煤沉陷区湿地及地下水的生态功能，还河湖必要的生态用水，提出与生态建设和环境保护相协调，与经济社会发展相适应的开发利用布局和治理实施方案，实现水生态系统良性循环。</w:t>
      </w:r>
    </w:p>
    <w:p>
      <w:pPr>
        <w:pageBreakBefore w:val="0"/>
        <w:widowControl w:val="0"/>
        <w:tabs>
          <w:tab w:val="left" w:pos="525"/>
        </w:tabs>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napToGrid/>
          <w:kern w:val="2"/>
          <w:sz w:val="32"/>
          <w:szCs w:val="32"/>
          <w:lang w:val="en-US" w:eastAsia="zh-CN" w:bidi="ar-SA"/>
        </w:rPr>
      </w:pPr>
      <w:r>
        <w:rPr>
          <w:rFonts w:hint="default" w:ascii="Times New Roman" w:hAnsi="Times New Roman" w:eastAsia="方正仿宋_GBK" w:cs="Times New Roman"/>
          <w:b/>
          <w:bCs w:val="0"/>
          <w:snapToGrid/>
          <w:kern w:val="2"/>
          <w:sz w:val="32"/>
          <w:szCs w:val="32"/>
          <w:lang w:val="en-US" w:eastAsia="zh-CN" w:bidi="ar-SA"/>
        </w:rPr>
        <w:t>（8）全面制定淮南市未来15年水资源管理目标</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提高对水资源的监督管理能力，完善与水资源红线管理相适应的监控体系。制定水管理的对策和措施，建立适应社会主义市场经济体制的水资源管理制度。以健全的法制和法规手段规范水事活动，以行政手段界定水事行为，以经济手段调节水事活动和用科学技术手段开发利用和管理水资源。合理确定政府、市场、用户三者在水资源开发、利用、治理、配置、节约、保护中的责任、义务和权力。逐步建立以政府宏观调控、用户民主协商、水市场调节三者有机结合的体制为基础的有效的水资源管理模式和高效利用的运行模式。</w:t>
      </w:r>
    </w:p>
    <w:p>
      <w:pPr>
        <w:pStyle w:val="5"/>
        <w:pageBreakBefore w:val="0"/>
        <w:widowControl w:val="0"/>
        <w:kinsoku/>
        <w:wordWrap/>
        <w:overflowPunct/>
        <w:autoSpaceDE/>
        <w:autoSpaceDN/>
        <w:bidi w:val="0"/>
        <w:spacing w:before="95" w:beforeLines="30" w:after="95" w:afterLines="30" w:line="590" w:lineRule="exact"/>
        <w:ind w:firstLine="562"/>
        <w:rPr>
          <w:rFonts w:hint="eastAsia" w:ascii="方正楷体_GBK" w:hAnsi="方正楷体_GBK" w:eastAsia="方正楷体_GBK" w:cs="方正楷体_GBK"/>
          <w:b w:val="0"/>
          <w:bCs/>
          <w:sz w:val="32"/>
          <w:szCs w:val="32"/>
        </w:rPr>
      </w:pPr>
      <w:bookmarkStart w:id="54" w:name="_Toc295891088"/>
      <w:bookmarkStart w:id="55" w:name="_Toc32711"/>
      <w:bookmarkStart w:id="56" w:name="_Toc4731"/>
      <w:bookmarkStart w:id="57" w:name="_Toc7420"/>
      <w:bookmarkStart w:id="58" w:name="_Toc312309828"/>
      <w:r>
        <w:rPr>
          <w:rFonts w:hint="eastAsia" w:ascii="方正楷体_GBK" w:hAnsi="方正楷体_GBK" w:eastAsia="方正楷体_GBK" w:cs="方正楷体_GBK"/>
          <w:b w:val="0"/>
          <w:bCs/>
          <w:sz w:val="32"/>
          <w:szCs w:val="32"/>
        </w:rPr>
        <w:t>三、规划依据</w:t>
      </w:r>
      <w:bookmarkEnd w:id="54"/>
      <w:bookmarkEnd w:id="55"/>
      <w:bookmarkEnd w:id="56"/>
      <w:bookmarkEnd w:id="57"/>
      <w:bookmarkEnd w:id="58"/>
    </w:p>
    <w:p>
      <w:pPr>
        <w:pageBreakBefore w:val="0"/>
        <w:widowControl w:val="0"/>
        <w:tabs>
          <w:tab w:val="left" w:pos="525"/>
        </w:tabs>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napToGrid/>
          <w:kern w:val="2"/>
          <w:sz w:val="32"/>
          <w:szCs w:val="32"/>
          <w:lang w:val="en-US" w:eastAsia="zh-CN" w:bidi="ar-SA"/>
        </w:rPr>
      </w:pPr>
      <w:r>
        <w:rPr>
          <w:rFonts w:hint="default" w:ascii="Times New Roman" w:hAnsi="Times New Roman" w:eastAsia="方正仿宋_GBK" w:cs="Times New Roman"/>
          <w:b/>
          <w:bCs w:val="0"/>
          <w:snapToGrid/>
          <w:kern w:val="2"/>
          <w:sz w:val="32"/>
          <w:szCs w:val="32"/>
          <w:lang w:val="en-US" w:eastAsia="zh-CN" w:bidi="ar-SA"/>
        </w:rPr>
        <w:t>（1）法律法规</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《中华人民共和国水法》；</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《中华人民共和国水污染防治法》；</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《中华人民共和国环境保护法》；</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《中华人民共和国水土保持法》；</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《淮河流域水污染防治条例》；</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《安徽省实施〈中华人民共和国水法〉办法》；</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《安徽省城镇生活饮用水水源环境保护条例》。</w:t>
      </w:r>
    </w:p>
    <w:p>
      <w:pPr>
        <w:pageBreakBefore w:val="0"/>
        <w:widowControl w:val="0"/>
        <w:tabs>
          <w:tab w:val="left" w:pos="525"/>
        </w:tabs>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napToGrid/>
          <w:kern w:val="2"/>
          <w:sz w:val="32"/>
          <w:szCs w:val="32"/>
          <w:lang w:val="en-US" w:eastAsia="zh-CN" w:bidi="ar-SA"/>
        </w:rPr>
      </w:pPr>
      <w:r>
        <w:rPr>
          <w:rFonts w:hint="default" w:ascii="Times New Roman" w:hAnsi="Times New Roman" w:eastAsia="方正仿宋_GBK" w:cs="Times New Roman"/>
          <w:b/>
          <w:bCs w:val="0"/>
          <w:snapToGrid/>
          <w:kern w:val="2"/>
          <w:sz w:val="32"/>
          <w:szCs w:val="32"/>
          <w:lang w:val="en-US" w:eastAsia="zh-CN" w:bidi="ar-SA"/>
        </w:rPr>
        <w:t>（2）有关规划和参考文献</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《淮南市水资源公报》（近5年）；</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《六安市水资源公报》（近5年）；</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《淮南市水利发展“十三五”规划》；</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《淮南市国民经济和社会发展第十三个五年规划纲要》；</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《安徽省人民政府关于实现最严格水资源管理制度的意见》；</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《水污染防治行动计划》；</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《安徽省水功能区划》；</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《安徽省水资源综合规划》；</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《2016年淮南市统计年鉴》；</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《六安市水资源综合规划》；</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《淮南市水资源管理手册》；</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《引江济淮水利工程设计报告》；</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lang w:val="zh-CN"/>
        </w:rPr>
      </w:pPr>
      <w:r>
        <w:rPr>
          <w:rFonts w:hint="default" w:ascii="Times New Roman" w:hAnsi="Times New Roman" w:eastAsia="方正仿宋_GBK" w:cs="Times New Roman"/>
          <w:sz w:val="32"/>
          <w:szCs w:val="32"/>
          <w:lang w:val="zh-CN"/>
        </w:rPr>
        <w:t>《淮南矿区采煤沉陷机理研究及沉陷区预测》；</w:t>
      </w:r>
    </w:p>
    <w:p>
      <w:pPr>
        <w:pStyle w:val="2"/>
        <w:pageBreakBefore w:val="0"/>
        <w:widowControl w:val="0"/>
        <w:kinsoku/>
        <w:wordWrap/>
        <w:overflowPunct/>
        <w:autoSpaceDE/>
        <w:autoSpaceDN/>
        <w:bidi w:val="0"/>
        <w:spacing w:line="590" w:lineRule="exact"/>
        <w:ind w:firstLine="480"/>
        <w:rPr>
          <w:rFonts w:hint="default" w:ascii="Times New Roman" w:hAnsi="Times New Roman" w:eastAsia="方正仿宋_GBK" w:cs="Times New Roman"/>
          <w:sz w:val="32"/>
          <w:szCs w:val="24"/>
          <w:lang w:val="zh-CN"/>
        </w:rPr>
      </w:pPr>
      <w:r>
        <w:rPr>
          <w:rFonts w:hint="default" w:ascii="Times New Roman" w:hAnsi="Times New Roman" w:eastAsia="方正仿宋_GBK" w:cs="Times New Roman"/>
          <w:sz w:val="32"/>
          <w:szCs w:val="24"/>
          <w:lang w:val="zh-CN"/>
        </w:rPr>
        <w:t>《淮南市采煤沉陷区综合治理“十三五”规划（</w:t>
      </w:r>
      <w:r>
        <w:rPr>
          <w:rFonts w:hint="default" w:ascii="Times New Roman" w:hAnsi="Times New Roman" w:eastAsia="方正仿宋_GBK" w:cs="Times New Roman"/>
          <w:sz w:val="32"/>
          <w:szCs w:val="24"/>
          <w:lang w:val="en-US" w:eastAsia="zh-CN"/>
        </w:rPr>
        <w:t>2016-2020</w:t>
      </w:r>
      <w:r>
        <w:rPr>
          <w:rFonts w:hint="default" w:ascii="Times New Roman" w:hAnsi="Times New Roman" w:eastAsia="方正仿宋_GBK" w:cs="Times New Roman"/>
          <w:sz w:val="32"/>
          <w:szCs w:val="24"/>
          <w:lang w:val="zh-CN"/>
        </w:rPr>
        <w:t>）》</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安徽省“十三五”水资源消耗总量和强度双控工作方案；</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淮南市相关规划与研究报告。</w:t>
      </w:r>
    </w:p>
    <w:p>
      <w:pPr>
        <w:pageBreakBefore w:val="0"/>
        <w:widowControl w:val="0"/>
        <w:tabs>
          <w:tab w:val="left" w:pos="525"/>
        </w:tabs>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napToGrid/>
          <w:kern w:val="2"/>
          <w:sz w:val="32"/>
          <w:szCs w:val="32"/>
          <w:lang w:val="en-US" w:eastAsia="zh-CN" w:bidi="ar-SA"/>
        </w:rPr>
      </w:pPr>
      <w:r>
        <w:rPr>
          <w:rFonts w:hint="default" w:ascii="Times New Roman" w:hAnsi="Times New Roman" w:eastAsia="方正仿宋_GBK" w:cs="Times New Roman"/>
          <w:b/>
          <w:bCs w:val="0"/>
          <w:snapToGrid/>
          <w:kern w:val="2"/>
          <w:sz w:val="32"/>
          <w:szCs w:val="32"/>
          <w:lang w:val="en-US" w:eastAsia="zh-CN" w:bidi="ar-SA"/>
        </w:rPr>
        <w:t>（3）有关技术文件标准和规范</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《地表水环境质量标准》（GB3838-2002）；</w:t>
      </w:r>
    </w:p>
    <w:p>
      <w:pPr>
        <w:pStyle w:val="2"/>
        <w:pageBreakBefore w:val="0"/>
        <w:widowControl w:val="0"/>
        <w:kinsoku/>
        <w:wordWrap/>
        <w:overflowPunct/>
        <w:autoSpaceDE/>
        <w:autoSpaceDN/>
        <w:bidi w:val="0"/>
        <w:spacing w:line="590" w:lineRule="exact"/>
        <w:ind w:firstLine="480"/>
        <w:rPr>
          <w:rFonts w:hint="default" w:ascii="Times New Roman" w:hAnsi="Times New Roman" w:eastAsia="方正仿宋_GBK" w:cs="Times New Roman"/>
          <w:sz w:val="32"/>
          <w:szCs w:val="24"/>
          <w:lang w:eastAsia="zh-CN"/>
        </w:rPr>
      </w:pPr>
      <w:r>
        <w:rPr>
          <w:rFonts w:hint="default" w:ascii="Times New Roman" w:hAnsi="Times New Roman" w:eastAsia="方正仿宋_GBK" w:cs="Times New Roman"/>
          <w:sz w:val="32"/>
          <w:szCs w:val="24"/>
          <w:lang w:eastAsia="zh-CN"/>
        </w:rPr>
        <w:t>《地下水质量标准》（</w:t>
      </w:r>
      <w:r>
        <w:rPr>
          <w:rFonts w:hint="default" w:ascii="Times New Roman" w:hAnsi="Times New Roman" w:eastAsia="方正仿宋_GBK" w:cs="Times New Roman"/>
          <w:sz w:val="32"/>
          <w:szCs w:val="24"/>
          <w:lang w:val="en-US" w:eastAsia="zh-CN"/>
        </w:rPr>
        <w:t>GB/T14848-1993</w:t>
      </w:r>
      <w:r>
        <w:rPr>
          <w:rFonts w:hint="default" w:ascii="Times New Roman" w:hAnsi="Times New Roman" w:eastAsia="方正仿宋_GBK" w:cs="Times New Roman"/>
          <w:sz w:val="32"/>
          <w:szCs w:val="24"/>
          <w:lang w:eastAsia="zh-CN"/>
        </w:rPr>
        <w:t>）；</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《关于开展全国水资源综合规划编制工作的通知》（水利部、国家计委水规计[2002]83号文）；</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《全国水资源综合规划任务书、技术大纲和技术细则》水利部水利水电规划设计总院，2002.5；</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《安徽省水资源综合规划大纲和技术细则》安徽省水利设计院，2003.5；</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有关规程、规范和技术标准。</w:t>
      </w:r>
    </w:p>
    <w:p>
      <w:pPr>
        <w:pStyle w:val="2"/>
        <w:pageBreakBefore w:val="0"/>
        <w:widowControl w:val="0"/>
        <w:kinsoku/>
        <w:wordWrap/>
        <w:overflowPunct/>
        <w:autoSpaceDE/>
        <w:autoSpaceDN/>
        <w:bidi w:val="0"/>
        <w:spacing w:line="590" w:lineRule="exact"/>
        <w:ind w:firstLine="480"/>
        <w:rPr>
          <w:rFonts w:ascii="Times New Roman" w:hAnsi="Times New Roman"/>
        </w:rPr>
      </w:pPr>
    </w:p>
    <w:p>
      <w:pPr>
        <w:pStyle w:val="4"/>
        <w:pageBreakBefore w:val="0"/>
        <w:widowControl w:val="0"/>
        <w:kinsoku/>
        <w:wordWrap/>
        <w:overflowPunct/>
        <w:autoSpaceDE/>
        <w:autoSpaceDN/>
        <w:bidi w:val="0"/>
        <w:adjustRightInd w:val="0"/>
        <w:snapToGrid w:val="0"/>
        <w:spacing w:before="159" w:beforeLines="50" w:after="159" w:afterLines="50" w:line="590" w:lineRule="exact"/>
        <w:rPr>
          <w:rFonts w:hint="eastAsia" w:ascii="方正黑体_GBK" w:hAnsi="方正黑体_GBK" w:eastAsia="方正黑体_GBK" w:cs="方正黑体_GBK"/>
          <w:b w:val="0"/>
          <w:bCs w:val="0"/>
          <w:sz w:val="32"/>
          <w:szCs w:val="32"/>
        </w:rPr>
      </w:pPr>
      <w:bookmarkStart w:id="59" w:name="_Toc11724970"/>
      <w:bookmarkStart w:id="60" w:name="_Toc25706"/>
      <w:bookmarkStart w:id="61" w:name="_Toc17191670"/>
      <w:bookmarkStart w:id="62" w:name="_Toc12267995"/>
      <w:bookmarkStart w:id="63" w:name="_Toc312309825"/>
      <w:bookmarkStart w:id="64" w:name="_Toc11722500"/>
      <w:bookmarkStart w:id="65" w:name="_Toc295891085"/>
      <w:bookmarkStart w:id="66" w:name="_Toc12265966"/>
      <w:r>
        <w:rPr>
          <w:rFonts w:hint="eastAsia" w:ascii="方正黑体_GBK" w:hAnsi="方正黑体_GBK" w:eastAsia="方正黑体_GBK" w:cs="方正黑体_GBK"/>
          <w:b w:val="0"/>
          <w:bCs w:val="0"/>
          <w:sz w:val="32"/>
          <w:szCs w:val="32"/>
        </w:rPr>
        <w:t>第三节  规划水平年</w:t>
      </w:r>
      <w:r>
        <w:rPr>
          <w:rFonts w:hint="eastAsia" w:ascii="方正黑体_GBK" w:hAnsi="方正黑体_GBK" w:eastAsia="方正黑体_GBK" w:cs="方正黑体_GBK"/>
          <w:b w:val="0"/>
          <w:bCs w:val="0"/>
          <w:sz w:val="32"/>
          <w:szCs w:val="32"/>
          <w:lang w:val="en-US" w:eastAsia="zh-CN"/>
        </w:rPr>
        <w:t>与</w:t>
      </w:r>
      <w:r>
        <w:rPr>
          <w:rFonts w:hint="eastAsia" w:ascii="方正黑体_GBK" w:hAnsi="方正黑体_GBK" w:eastAsia="方正黑体_GBK" w:cs="方正黑体_GBK"/>
          <w:b w:val="0"/>
          <w:bCs w:val="0"/>
          <w:sz w:val="32"/>
          <w:szCs w:val="32"/>
        </w:rPr>
        <w:t>范围</w:t>
      </w:r>
      <w:bookmarkEnd w:id="59"/>
      <w:bookmarkEnd w:id="60"/>
      <w:bookmarkEnd w:id="61"/>
      <w:bookmarkEnd w:id="62"/>
      <w:bookmarkEnd w:id="63"/>
      <w:bookmarkEnd w:id="64"/>
      <w:bookmarkEnd w:id="65"/>
      <w:bookmarkEnd w:id="66"/>
    </w:p>
    <w:p>
      <w:pPr>
        <w:pStyle w:val="5"/>
        <w:pageBreakBefore w:val="0"/>
        <w:widowControl w:val="0"/>
        <w:kinsoku/>
        <w:wordWrap/>
        <w:overflowPunct/>
        <w:autoSpaceDE/>
        <w:autoSpaceDN/>
        <w:bidi w:val="0"/>
        <w:spacing w:before="95" w:beforeLines="30" w:after="95" w:afterLines="30" w:line="590" w:lineRule="exact"/>
        <w:ind w:firstLine="562"/>
        <w:rPr>
          <w:rFonts w:hint="eastAsia" w:ascii="方正楷体_GBK" w:hAnsi="方正楷体_GBK" w:eastAsia="方正楷体_GBK" w:cs="方正楷体_GBK"/>
          <w:b w:val="0"/>
          <w:bCs/>
          <w:sz w:val="32"/>
          <w:szCs w:val="32"/>
        </w:rPr>
      </w:pPr>
      <w:bookmarkStart w:id="67" w:name="_Toc312309826"/>
      <w:bookmarkStart w:id="68" w:name="_Toc23278"/>
      <w:bookmarkStart w:id="69" w:name="_Toc295891086"/>
      <w:bookmarkStart w:id="70" w:name="_Toc276660259"/>
      <w:bookmarkStart w:id="71" w:name="_Toc170210267"/>
      <w:bookmarkStart w:id="72" w:name="_Toc156573751"/>
      <w:bookmarkStart w:id="73" w:name="_Toc231490661"/>
      <w:bookmarkStart w:id="74" w:name="_Toc230716175"/>
      <w:bookmarkStart w:id="75" w:name="_Toc178220299"/>
      <w:bookmarkStart w:id="76" w:name="_Toc128194621"/>
      <w:r>
        <w:rPr>
          <w:rFonts w:hint="eastAsia" w:ascii="方正楷体_GBK" w:hAnsi="方正楷体_GBK" w:eastAsia="方正楷体_GBK" w:cs="方正楷体_GBK"/>
          <w:b w:val="0"/>
          <w:bCs/>
          <w:sz w:val="32"/>
          <w:szCs w:val="32"/>
        </w:rPr>
        <w:t>一、规划水平年</w:t>
      </w:r>
      <w:bookmarkEnd w:id="67"/>
      <w:bookmarkEnd w:id="68"/>
      <w:bookmarkEnd w:id="69"/>
      <w:bookmarkEnd w:id="70"/>
      <w:bookmarkEnd w:id="71"/>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遵照全国水资源综合规划技术大纲和安徽省水资源综合规划有关技术要求，规划水平年确定为：2015年为现状水平年（基准年），2020年为近期水平年，2030年为远期水平年。</w:t>
      </w:r>
    </w:p>
    <w:p>
      <w:pPr>
        <w:pStyle w:val="5"/>
        <w:pageBreakBefore w:val="0"/>
        <w:widowControl w:val="0"/>
        <w:kinsoku/>
        <w:wordWrap/>
        <w:overflowPunct/>
        <w:autoSpaceDE/>
        <w:autoSpaceDN/>
        <w:bidi w:val="0"/>
        <w:spacing w:before="95" w:beforeLines="30" w:after="95" w:afterLines="30" w:line="590" w:lineRule="exact"/>
        <w:ind w:firstLine="562"/>
        <w:rPr>
          <w:rFonts w:hint="eastAsia" w:ascii="方正楷体_GBK" w:hAnsi="方正楷体_GBK" w:eastAsia="方正楷体_GBK" w:cs="方正楷体_GBK"/>
          <w:b w:val="0"/>
          <w:bCs/>
          <w:sz w:val="32"/>
          <w:szCs w:val="32"/>
        </w:rPr>
      </w:pPr>
      <w:bookmarkStart w:id="77" w:name="_Toc295891087"/>
      <w:bookmarkStart w:id="78" w:name="_Toc8904"/>
      <w:bookmarkStart w:id="79" w:name="_Toc312309827"/>
      <w:r>
        <w:rPr>
          <w:rFonts w:hint="eastAsia" w:ascii="方正楷体_GBK" w:hAnsi="方正楷体_GBK" w:eastAsia="方正楷体_GBK" w:cs="方正楷体_GBK"/>
          <w:b w:val="0"/>
          <w:bCs/>
          <w:sz w:val="32"/>
          <w:szCs w:val="32"/>
        </w:rPr>
        <w:t>二、规划范围</w:t>
      </w:r>
      <w:bookmarkEnd w:id="72"/>
      <w:bookmarkEnd w:id="73"/>
      <w:bookmarkEnd w:id="74"/>
      <w:bookmarkEnd w:id="75"/>
      <w:bookmarkEnd w:id="76"/>
      <w:bookmarkEnd w:id="77"/>
      <w:bookmarkEnd w:id="78"/>
      <w:bookmarkEnd w:id="79"/>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本次规划范围为淮南市域范围内田家庵区、大通区、谢家集区、八公山区、潘集区、毛集实验区、凤台县、寿县“六区二县”，总面积5582.4km²。</w:t>
      </w:r>
      <w:bookmarkStart w:id="80" w:name="_Toc178220300"/>
      <w:bookmarkStart w:id="81" w:name="_Toc128194622"/>
      <w:bookmarkStart w:id="82" w:name="_Toc156573752"/>
    </w:p>
    <w:bookmarkEnd w:id="80"/>
    <w:bookmarkEnd w:id="81"/>
    <w:bookmarkEnd w:id="82"/>
    <w:p>
      <w:pPr>
        <w:pStyle w:val="3"/>
        <w:pageBreakBefore w:val="0"/>
        <w:widowControl w:val="0"/>
        <w:kinsoku/>
        <w:wordWrap/>
        <w:overflowPunct/>
        <w:autoSpaceDE/>
        <w:autoSpaceDN/>
        <w:bidi w:val="0"/>
        <w:spacing w:line="590" w:lineRule="exact"/>
        <w:jc w:val="center"/>
        <w:rPr>
          <w:rFonts w:hint="eastAsia" w:ascii="方正小标宋_GBK" w:hAnsi="方正小标宋_GBK" w:eastAsia="方正小标宋_GBK" w:cs="方正小标宋_GBK"/>
          <w:b w:val="0"/>
          <w:bCs/>
          <w:sz w:val="44"/>
          <w:szCs w:val="32"/>
        </w:rPr>
      </w:pPr>
      <w:r>
        <w:rPr>
          <w:szCs w:val="36"/>
        </w:rPr>
        <w:br w:type="page"/>
      </w:r>
      <w:bookmarkStart w:id="83" w:name="_Toc16125"/>
      <w:r>
        <w:rPr>
          <w:rFonts w:hint="eastAsia" w:ascii="方正小标宋_GBK" w:hAnsi="方正小标宋_GBK" w:eastAsia="方正小标宋_GBK" w:cs="方正小标宋_GBK"/>
          <w:b w:val="0"/>
          <w:bCs/>
          <w:sz w:val="44"/>
          <w:szCs w:val="32"/>
        </w:rPr>
        <w:t>第三章  水资源及其开发利用现状评价</w:t>
      </w:r>
      <w:bookmarkEnd w:id="4"/>
      <w:bookmarkEnd w:id="83"/>
    </w:p>
    <w:p>
      <w:pPr>
        <w:pStyle w:val="4"/>
        <w:pageBreakBefore w:val="0"/>
        <w:widowControl w:val="0"/>
        <w:kinsoku/>
        <w:wordWrap/>
        <w:overflowPunct/>
        <w:autoSpaceDE/>
        <w:autoSpaceDN/>
        <w:bidi w:val="0"/>
        <w:adjustRightInd w:val="0"/>
        <w:snapToGrid w:val="0"/>
        <w:spacing w:before="159" w:beforeLines="50" w:after="159" w:afterLines="50" w:line="590" w:lineRule="exact"/>
        <w:rPr>
          <w:rFonts w:hint="eastAsia" w:ascii="方正黑体_GBK" w:hAnsi="方正黑体_GBK" w:eastAsia="方正黑体_GBK" w:cs="方正黑体_GBK"/>
          <w:b w:val="0"/>
          <w:bCs w:val="0"/>
          <w:sz w:val="32"/>
          <w:szCs w:val="32"/>
        </w:rPr>
      </w:pPr>
      <w:bookmarkStart w:id="84" w:name="_Toc312309830"/>
      <w:bookmarkStart w:id="85" w:name="_Toc27976"/>
      <w:r>
        <w:rPr>
          <w:rFonts w:hint="eastAsia" w:ascii="方正黑体_GBK" w:hAnsi="方正黑体_GBK" w:eastAsia="方正黑体_GBK" w:cs="方正黑体_GBK"/>
          <w:b w:val="0"/>
          <w:bCs w:val="0"/>
          <w:sz w:val="32"/>
          <w:szCs w:val="32"/>
        </w:rPr>
        <w:t>第一节  水资源调查评价</w:t>
      </w:r>
      <w:bookmarkEnd w:id="84"/>
      <w:bookmarkEnd w:id="85"/>
      <w:bookmarkStart w:id="86" w:name="_Toc312309831"/>
    </w:p>
    <w:bookmarkEnd w:id="86"/>
    <w:p>
      <w:pPr>
        <w:pStyle w:val="5"/>
        <w:pageBreakBefore w:val="0"/>
        <w:widowControl w:val="0"/>
        <w:kinsoku/>
        <w:wordWrap/>
        <w:overflowPunct/>
        <w:autoSpaceDE/>
        <w:autoSpaceDN/>
        <w:bidi w:val="0"/>
        <w:spacing w:before="95" w:beforeLines="30" w:after="95" w:afterLines="30" w:line="590" w:lineRule="exact"/>
        <w:ind w:firstLine="0" w:firstLineChars="0"/>
        <w:rPr>
          <w:rFonts w:hint="eastAsia" w:ascii="方正楷体_GBK" w:hAnsi="方正楷体_GBK" w:eastAsia="方正楷体_GBK" w:cs="方正楷体_GBK"/>
          <w:b w:val="0"/>
          <w:bCs/>
          <w:sz w:val="32"/>
          <w:szCs w:val="32"/>
        </w:rPr>
      </w:pPr>
      <w:bookmarkStart w:id="87" w:name="_Toc32534"/>
      <w:r>
        <w:rPr>
          <w:rFonts w:hint="eastAsia" w:ascii="方正楷体_GBK" w:hAnsi="方正楷体_GBK" w:eastAsia="方正楷体_GBK" w:cs="方正楷体_GBK"/>
          <w:b w:val="0"/>
          <w:bCs/>
          <w:sz w:val="32"/>
          <w:szCs w:val="32"/>
        </w:rPr>
        <w:t>一、降水量</w:t>
      </w:r>
      <w:bookmarkEnd w:id="87"/>
    </w:p>
    <w:p>
      <w:pPr>
        <w:pageBreakBefore w:val="0"/>
        <w:widowControl w:val="0"/>
        <w:kinsoku/>
        <w:wordWrap/>
        <w:overflowPunct/>
        <w:autoSpaceDE/>
        <w:autoSpaceDN/>
        <w:bidi w:val="0"/>
        <w:adjustRightInd w:val="0"/>
        <w:snapToGrid w:val="0"/>
        <w:spacing w:before="95" w:beforeLines="30" w:after="95" w:afterLines="30" w:line="590" w:lineRule="exact"/>
        <w:ind w:firstLine="643" w:firstLineChars="200"/>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（1）降水量</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在安徽省第二次水资源评价的基础上，分析近年来区域内降水量观测资料，将区域内降水量资料系列由1956~2000年延长为1956~2015年。</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淮南市多年平均（1956~2015年系列）降水量900.1mm，折合水量50.25亿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。20%、50%、75%和95%降水量分别为1072.6mm、878.3mm、753.0mm和549.0mm。</w:t>
      </w:r>
    </w:p>
    <w:p>
      <w:pPr>
        <w:adjustRightInd w:val="0"/>
        <w:snapToGrid w:val="0"/>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表3.1-1  淮南市多年平均降水量及月分配情况</w:t>
      </w:r>
    </w:p>
    <w:tbl>
      <w:tblPr>
        <w:tblStyle w:val="12"/>
        <w:tblW w:w="0" w:type="auto"/>
        <w:jc w:val="center"/>
        <w:tblLayout w:type="fixed"/>
        <w:tblCellMar>
          <w:top w:w="0" w:type="dxa"/>
          <w:left w:w="108" w:type="dxa"/>
          <w:bottom w:w="0" w:type="dxa"/>
          <w:right w:w="108" w:type="dxa"/>
        </w:tblCellMar>
      </w:tblPr>
      <w:tblGrid>
        <w:gridCol w:w="1026"/>
        <w:gridCol w:w="1504"/>
        <w:gridCol w:w="1504"/>
        <w:gridCol w:w="236"/>
        <w:gridCol w:w="1083"/>
        <w:gridCol w:w="1503"/>
        <w:gridCol w:w="1504"/>
      </w:tblGrid>
      <w:tr>
        <w:tblPrEx>
          <w:tblCellMar>
            <w:top w:w="0" w:type="dxa"/>
            <w:left w:w="108" w:type="dxa"/>
            <w:bottom w:w="0" w:type="dxa"/>
            <w:right w:w="108" w:type="dxa"/>
          </w:tblCellMar>
        </w:tblPrEx>
        <w:trPr>
          <w:trHeight w:val="369" w:hRule="atLeast"/>
          <w:jc w:val="center"/>
        </w:trPr>
        <w:tc>
          <w:tcPr>
            <w:tcW w:w="102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月份</w:t>
            </w:r>
          </w:p>
        </w:tc>
        <w:tc>
          <w:tcPr>
            <w:tcW w:w="1504"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降水量</w:t>
            </w:r>
          </w:p>
        </w:tc>
        <w:tc>
          <w:tcPr>
            <w:tcW w:w="1504"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占全年比例</w:t>
            </w:r>
          </w:p>
        </w:tc>
        <w:tc>
          <w:tcPr>
            <w:tcW w:w="236" w:type="dxa"/>
            <w:vMerge w:val="restart"/>
            <w:tcBorders>
              <w:top w:val="single" w:color="auto" w:sz="4" w:space="0"/>
              <w:left w:val="single" w:color="auto" w:sz="4" w:space="0"/>
              <w:bottom w:val="single" w:color="000000"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kern w:val="0"/>
                <w:sz w:val="20"/>
                <w:szCs w:val="20"/>
              </w:rPr>
            </w:pPr>
          </w:p>
        </w:tc>
        <w:tc>
          <w:tcPr>
            <w:tcW w:w="108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月份</w:t>
            </w:r>
          </w:p>
        </w:tc>
        <w:tc>
          <w:tcPr>
            <w:tcW w:w="1503"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降水量</w:t>
            </w:r>
          </w:p>
        </w:tc>
        <w:tc>
          <w:tcPr>
            <w:tcW w:w="1504"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占全年比例</w:t>
            </w:r>
          </w:p>
        </w:tc>
      </w:tr>
      <w:tr>
        <w:tblPrEx>
          <w:tblCellMar>
            <w:top w:w="0" w:type="dxa"/>
            <w:left w:w="108" w:type="dxa"/>
            <w:bottom w:w="0" w:type="dxa"/>
            <w:right w:w="108" w:type="dxa"/>
          </w:tblCellMar>
        </w:tblPrEx>
        <w:trPr>
          <w:trHeight w:val="369" w:hRule="atLeast"/>
          <w:jc w:val="center"/>
        </w:trPr>
        <w:tc>
          <w:tcPr>
            <w:tcW w:w="1026"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kern w:val="0"/>
                <w:sz w:val="20"/>
                <w:szCs w:val="20"/>
              </w:rPr>
            </w:pPr>
          </w:p>
        </w:tc>
        <w:tc>
          <w:tcPr>
            <w:tcW w:w="1504"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mm</w:t>
            </w:r>
          </w:p>
        </w:tc>
        <w:tc>
          <w:tcPr>
            <w:tcW w:w="1504"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w:t>
            </w:r>
          </w:p>
        </w:tc>
        <w:tc>
          <w:tcPr>
            <w:tcW w:w="236" w:type="dxa"/>
            <w:vMerge w:val="continue"/>
            <w:tcBorders>
              <w:top w:val="single" w:color="auto" w:sz="4" w:space="0"/>
              <w:left w:val="single" w:color="auto" w:sz="4" w:space="0"/>
              <w:bottom w:val="single" w:color="000000"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kern w:val="0"/>
                <w:sz w:val="20"/>
                <w:szCs w:val="20"/>
              </w:rPr>
            </w:pPr>
          </w:p>
        </w:tc>
        <w:tc>
          <w:tcPr>
            <w:tcW w:w="1083"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kern w:val="0"/>
                <w:sz w:val="20"/>
                <w:szCs w:val="20"/>
              </w:rPr>
            </w:pPr>
          </w:p>
        </w:tc>
        <w:tc>
          <w:tcPr>
            <w:tcW w:w="1503"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mm</w:t>
            </w:r>
          </w:p>
        </w:tc>
        <w:tc>
          <w:tcPr>
            <w:tcW w:w="1504"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w:t>
            </w:r>
          </w:p>
        </w:tc>
      </w:tr>
      <w:tr>
        <w:tblPrEx>
          <w:tblCellMar>
            <w:top w:w="0" w:type="dxa"/>
            <w:left w:w="108" w:type="dxa"/>
            <w:bottom w:w="0" w:type="dxa"/>
            <w:right w:w="108" w:type="dxa"/>
          </w:tblCellMar>
        </w:tblPrEx>
        <w:trPr>
          <w:trHeight w:val="369" w:hRule="atLeast"/>
          <w:jc w:val="center"/>
        </w:trPr>
        <w:tc>
          <w:tcPr>
            <w:tcW w:w="1026"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1月</w:t>
            </w:r>
          </w:p>
        </w:tc>
        <w:tc>
          <w:tcPr>
            <w:tcW w:w="1504"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2"/>
                <w:szCs w:val="22"/>
                <w:lang w:bidi="ar"/>
              </w:rPr>
              <w:t>25.2</w:t>
            </w:r>
          </w:p>
        </w:tc>
        <w:tc>
          <w:tcPr>
            <w:tcW w:w="1504"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2.8</w:t>
            </w:r>
          </w:p>
        </w:tc>
        <w:tc>
          <w:tcPr>
            <w:tcW w:w="236" w:type="dxa"/>
            <w:vMerge w:val="restart"/>
            <w:tcBorders>
              <w:top w:val="single" w:color="auto" w:sz="4" w:space="0"/>
              <w:left w:val="single" w:color="auto" w:sz="4" w:space="0"/>
              <w:bottom w:val="single" w:color="000000"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kern w:val="0"/>
                <w:sz w:val="20"/>
                <w:szCs w:val="20"/>
              </w:rPr>
            </w:pPr>
          </w:p>
        </w:tc>
        <w:tc>
          <w:tcPr>
            <w:tcW w:w="1083"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7月</w:t>
            </w:r>
          </w:p>
        </w:tc>
        <w:tc>
          <w:tcPr>
            <w:tcW w:w="1503"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2"/>
                <w:szCs w:val="22"/>
                <w:lang w:bidi="ar"/>
              </w:rPr>
              <w:t>190.8</w:t>
            </w:r>
          </w:p>
        </w:tc>
        <w:tc>
          <w:tcPr>
            <w:tcW w:w="1504"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21.2</w:t>
            </w:r>
          </w:p>
        </w:tc>
      </w:tr>
      <w:tr>
        <w:tblPrEx>
          <w:tblCellMar>
            <w:top w:w="0" w:type="dxa"/>
            <w:left w:w="108" w:type="dxa"/>
            <w:bottom w:w="0" w:type="dxa"/>
            <w:right w:w="108" w:type="dxa"/>
          </w:tblCellMar>
        </w:tblPrEx>
        <w:trPr>
          <w:trHeight w:val="369" w:hRule="atLeast"/>
          <w:jc w:val="center"/>
        </w:trPr>
        <w:tc>
          <w:tcPr>
            <w:tcW w:w="1026"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2月</w:t>
            </w:r>
          </w:p>
        </w:tc>
        <w:tc>
          <w:tcPr>
            <w:tcW w:w="1504"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2"/>
                <w:szCs w:val="22"/>
                <w:lang w:bidi="ar"/>
              </w:rPr>
              <w:t>37.8</w:t>
            </w:r>
          </w:p>
        </w:tc>
        <w:tc>
          <w:tcPr>
            <w:tcW w:w="1504"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4.2</w:t>
            </w:r>
          </w:p>
        </w:tc>
        <w:tc>
          <w:tcPr>
            <w:tcW w:w="236" w:type="dxa"/>
            <w:vMerge w:val="continue"/>
            <w:tcBorders>
              <w:top w:val="single" w:color="auto" w:sz="4" w:space="0"/>
              <w:left w:val="single" w:color="auto" w:sz="4" w:space="0"/>
              <w:bottom w:val="single" w:color="000000"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kern w:val="0"/>
                <w:sz w:val="20"/>
                <w:szCs w:val="20"/>
              </w:rPr>
            </w:pPr>
          </w:p>
        </w:tc>
        <w:tc>
          <w:tcPr>
            <w:tcW w:w="1083"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8月</w:t>
            </w:r>
          </w:p>
        </w:tc>
        <w:tc>
          <w:tcPr>
            <w:tcW w:w="1503"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2"/>
                <w:szCs w:val="22"/>
                <w:lang w:bidi="ar"/>
              </w:rPr>
              <w:t>131.4</w:t>
            </w:r>
          </w:p>
        </w:tc>
        <w:tc>
          <w:tcPr>
            <w:tcW w:w="1504"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14.6</w:t>
            </w:r>
          </w:p>
        </w:tc>
      </w:tr>
      <w:tr>
        <w:tblPrEx>
          <w:tblCellMar>
            <w:top w:w="0" w:type="dxa"/>
            <w:left w:w="108" w:type="dxa"/>
            <w:bottom w:w="0" w:type="dxa"/>
            <w:right w:w="108" w:type="dxa"/>
          </w:tblCellMar>
        </w:tblPrEx>
        <w:trPr>
          <w:trHeight w:val="369" w:hRule="atLeast"/>
          <w:jc w:val="center"/>
        </w:trPr>
        <w:tc>
          <w:tcPr>
            <w:tcW w:w="1026"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3月</w:t>
            </w:r>
          </w:p>
        </w:tc>
        <w:tc>
          <w:tcPr>
            <w:tcW w:w="1504"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2"/>
                <w:szCs w:val="22"/>
                <w:lang w:bidi="ar"/>
              </w:rPr>
              <w:t>56.7</w:t>
            </w:r>
          </w:p>
        </w:tc>
        <w:tc>
          <w:tcPr>
            <w:tcW w:w="1504"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6.3</w:t>
            </w:r>
          </w:p>
        </w:tc>
        <w:tc>
          <w:tcPr>
            <w:tcW w:w="236" w:type="dxa"/>
            <w:vMerge w:val="continue"/>
            <w:tcBorders>
              <w:top w:val="single" w:color="auto" w:sz="4" w:space="0"/>
              <w:left w:val="single" w:color="auto" w:sz="4" w:space="0"/>
              <w:bottom w:val="single" w:color="000000"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kern w:val="0"/>
                <w:sz w:val="20"/>
                <w:szCs w:val="20"/>
              </w:rPr>
            </w:pPr>
          </w:p>
        </w:tc>
        <w:tc>
          <w:tcPr>
            <w:tcW w:w="1083"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9月</w:t>
            </w:r>
          </w:p>
        </w:tc>
        <w:tc>
          <w:tcPr>
            <w:tcW w:w="1503"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2"/>
                <w:szCs w:val="22"/>
                <w:lang w:bidi="ar"/>
              </w:rPr>
              <w:t>77.4</w:t>
            </w:r>
          </w:p>
        </w:tc>
        <w:tc>
          <w:tcPr>
            <w:tcW w:w="1504"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8.6</w:t>
            </w:r>
          </w:p>
        </w:tc>
      </w:tr>
      <w:tr>
        <w:tblPrEx>
          <w:tblCellMar>
            <w:top w:w="0" w:type="dxa"/>
            <w:left w:w="108" w:type="dxa"/>
            <w:bottom w:w="0" w:type="dxa"/>
            <w:right w:w="108" w:type="dxa"/>
          </w:tblCellMar>
        </w:tblPrEx>
        <w:trPr>
          <w:trHeight w:val="369" w:hRule="atLeast"/>
          <w:jc w:val="center"/>
        </w:trPr>
        <w:tc>
          <w:tcPr>
            <w:tcW w:w="1026"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4月</w:t>
            </w:r>
          </w:p>
        </w:tc>
        <w:tc>
          <w:tcPr>
            <w:tcW w:w="1504"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2"/>
                <w:szCs w:val="22"/>
                <w:lang w:bidi="ar"/>
              </w:rPr>
              <w:t>63.0</w:t>
            </w:r>
          </w:p>
        </w:tc>
        <w:tc>
          <w:tcPr>
            <w:tcW w:w="1504"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7.0</w:t>
            </w:r>
          </w:p>
        </w:tc>
        <w:tc>
          <w:tcPr>
            <w:tcW w:w="236" w:type="dxa"/>
            <w:vMerge w:val="continue"/>
            <w:tcBorders>
              <w:top w:val="single" w:color="auto" w:sz="4" w:space="0"/>
              <w:left w:val="single" w:color="auto" w:sz="4" w:space="0"/>
              <w:bottom w:val="single" w:color="000000"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kern w:val="0"/>
                <w:sz w:val="20"/>
                <w:szCs w:val="20"/>
              </w:rPr>
            </w:pPr>
          </w:p>
        </w:tc>
        <w:tc>
          <w:tcPr>
            <w:tcW w:w="1083"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10月</w:t>
            </w:r>
          </w:p>
        </w:tc>
        <w:tc>
          <w:tcPr>
            <w:tcW w:w="1503"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2"/>
                <w:szCs w:val="22"/>
                <w:lang w:bidi="ar"/>
              </w:rPr>
              <w:t>45.9</w:t>
            </w:r>
          </w:p>
        </w:tc>
        <w:tc>
          <w:tcPr>
            <w:tcW w:w="1504"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5.1</w:t>
            </w:r>
          </w:p>
        </w:tc>
      </w:tr>
      <w:tr>
        <w:tblPrEx>
          <w:tblCellMar>
            <w:top w:w="0" w:type="dxa"/>
            <w:left w:w="108" w:type="dxa"/>
            <w:bottom w:w="0" w:type="dxa"/>
            <w:right w:w="108" w:type="dxa"/>
          </w:tblCellMar>
        </w:tblPrEx>
        <w:trPr>
          <w:trHeight w:val="369" w:hRule="atLeast"/>
          <w:jc w:val="center"/>
        </w:trPr>
        <w:tc>
          <w:tcPr>
            <w:tcW w:w="1026"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5月</w:t>
            </w:r>
          </w:p>
        </w:tc>
        <w:tc>
          <w:tcPr>
            <w:tcW w:w="1504"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2"/>
                <w:szCs w:val="22"/>
                <w:lang w:bidi="ar"/>
              </w:rPr>
              <w:t>76.5</w:t>
            </w:r>
          </w:p>
        </w:tc>
        <w:tc>
          <w:tcPr>
            <w:tcW w:w="1504"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8.5</w:t>
            </w:r>
          </w:p>
        </w:tc>
        <w:tc>
          <w:tcPr>
            <w:tcW w:w="236" w:type="dxa"/>
            <w:vMerge w:val="continue"/>
            <w:tcBorders>
              <w:top w:val="single" w:color="auto" w:sz="4" w:space="0"/>
              <w:left w:val="single" w:color="auto" w:sz="4" w:space="0"/>
              <w:bottom w:val="single" w:color="000000"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kern w:val="0"/>
                <w:sz w:val="20"/>
                <w:szCs w:val="20"/>
              </w:rPr>
            </w:pPr>
          </w:p>
        </w:tc>
        <w:tc>
          <w:tcPr>
            <w:tcW w:w="1083"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11月</w:t>
            </w:r>
          </w:p>
        </w:tc>
        <w:tc>
          <w:tcPr>
            <w:tcW w:w="1503"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2"/>
                <w:szCs w:val="22"/>
                <w:lang w:bidi="ar"/>
              </w:rPr>
              <w:t>39.6</w:t>
            </w:r>
          </w:p>
        </w:tc>
        <w:tc>
          <w:tcPr>
            <w:tcW w:w="1504"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4.4</w:t>
            </w:r>
          </w:p>
        </w:tc>
      </w:tr>
      <w:tr>
        <w:tblPrEx>
          <w:tblCellMar>
            <w:top w:w="0" w:type="dxa"/>
            <w:left w:w="108" w:type="dxa"/>
            <w:bottom w:w="0" w:type="dxa"/>
            <w:right w:w="108" w:type="dxa"/>
          </w:tblCellMar>
        </w:tblPrEx>
        <w:trPr>
          <w:trHeight w:val="369" w:hRule="atLeast"/>
          <w:jc w:val="center"/>
        </w:trPr>
        <w:tc>
          <w:tcPr>
            <w:tcW w:w="1026"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6月</w:t>
            </w:r>
          </w:p>
        </w:tc>
        <w:tc>
          <w:tcPr>
            <w:tcW w:w="1504"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2"/>
                <w:szCs w:val="22"/>
                <w:lang w:bidi="ar"/>
              </w:rPr>
              <w:t>134.1</w:t>
            </w:r>
          </w:p>
        </w:tc>
        <w:tc>
          <w:tcPr>
            <w:tcW w:w="1504"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14.9</w:t>
            </w:r>
          </w:p>
        </w:tc>
        <w:tc>
          <w:tcPr>
            <w:tcW w:w="236" w:type="dxa"/>
            <w:vMerge w:val="continue"/>
            <w:tcBorders>
              <w:top w:val="single" w:color="auto" w:sz="4" w:space="0"/>
              <w:left w:val="single" w:color="auto" w:sz="4" w:space="0"/>
              <w:bottom w:val="single" w:color="000000"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kern w:val="0"/>
                <w:sz w:val="20"/>
                <w:szCs w:val="20"/>
              </w:rPr>
            </w:pPr>
          </w:p>
        </w:tc>
        <w:tc>
          <w:tcPr>
            <w:tcW w:w="1083"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12月</w:t>
            </w:r>
          </w:p>
        </w:tc>
        <w:tc>
          <w:tcPr>
            <w:tcW w:w="1503"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2"/>
                <w:szCs w:val="22"/>
                <w:lang w:bidi="ar"/>
              </w:rPr>
              <w:t>21.6</w:t>
            </w:r>
          </w:p>
        </w:tc>
        <w:tc>
          <w:tcPr>
            <w:tcW w:w="1504"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kern w:val="0"/>
                <w:sz w:val="20"/>
                <w:szCs w:val="20"/>
                <w:lang w:bidi="ar"/>
              </w:rPr>
              <w:t>2.4</w:t>
            </w:r>
          </w:p>
        </w:tc>
      </w:tr>
      <w:tr>
        <w:tblPrEx>
          <w:tblCellMar>
            <w:top w:w="0" w:type="dxa"/>
            <w:left w:w="108" w:type="dxa"/>
            <w:bottom w:w="0" w:type="dxa"/>
            <w:right w:w="108" w:type="dxa"/>
          </w:tblCellMar>
        </w:tblPrEx>
        <w:trPr>
          <w:trHeight w:val="378" w:hRule="atLeast"/>
          <w:jc w:val="center"/>
        </w:trPr>
        <w:tc>
          <w:tcPr>
            <w:tcW w:w="8360" w:type="dxa"/>
            <w:gridSpan w:val="7"/>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b/>
                <w:kern w:val="0"/>
                <w:sz w:val="20"/>
                <w:szCs w:val="20"/>
              </w:rPr>
            </w:pPr>
            <w:r>
              <w:rPr>
                <w:rFonts w:hint="default" w:ascii="Times New Roman" w:hAnsi="Times New Roman" w:eastAsia="方正仿宋_GBK" w:cs="Times New Roman"/>
                <w:b/>
                <w:kern w:val="0"/>
                <w:sz w:val="20"/>
                <w:szCs w:val="20"/>
                <w:lang w:bidi="ar"/>
              </w:rPr>
              <w:t xml:space="preserve">全年合计：900.1 </w:t>
            </w:r>
            <w:r>
              <w:rPr>
                <w:rFonts w:hint="default" w:ascii="Times New Roman" w:hAnsi="Times New Roman" w:eastAsia="方正仿宋_GBK" w:cs="Times New Roman"/>
                <w:kern w:val="0"/>
                <w:sz w:val="24"/>
                <w:lang w:bidi="ar"/>
              </w:rPr>
              <w:t>mm</w:t>
            </w:r>
          </w:p>
        </w:tc>
      </w:tr>
    </w:tbl>
    <w:p>
      <w:pPr>
        <w:adjustRightInd w:val="0"/>
        <w:snapToGrid w:val="0"/>
        <w:jc w:val="center"/>
        <w:rPr>
          <w:b/>
          <w:bCs/>
        </w:rPr>
      </w:pPr>
    </w:p>
    <w:p>
      <w:pPr>
        <w:adjustRightInd w:val="0"/>
        <w:snapToGrid w:val="0"/>
        <w:jc w:val="center"/>
        <w:rPr>
          <w:b/>
          <w:bCs/>
        </w:rPr>
      </w:pPr>
      <w:r>
        <w:rPr>
          <w:b/>
          <w:bCs/>
        </w:rPr>
        <w:drawing>
          <wp:inline distT="0" distB="0" distL="114300" distR="114300">
            <wp:extent cx="4750435" cy="2449830"/>
            <wp:effectExtent l="0" t="0" r="12065" b="7620"/>
            <wp:docPr id="70" name="图片 33" descr="C:\Users\dell\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3" descr="C:\Users\dell\Desktop\图片1.png图片1"/>
                    <pic:cNvPicPr>
                      <a:picLocks noChangeAspect="1"/>
                    </pic:cNvPicPr>
                  </pic:nvPicPr>
                  <pic:blipFill>
                    <a:blip r:embed="rId32"/>
                    <a:stretch>
                      <a:fillRect/>
                    </a:stretch>
                  </pic:blipFill>
                  <pic:spPr>
                    <a:xfrm>
                      <a:off x="0" y="0"/>
                      <a:ext cx="4750435" cy="2449830"/>
                    </a:xfrm>
                    <a:prstGeom prst="rect">
                      <a:avLst/>
                    </a:prstGeom>
                    <a:noFill/>
                    <a:ln>
                      <a:noFill/>
                    </a:ln>
                  </pic:spPr>
                </pic:pic>
              </a:graphicData>
            </a:graphic>
          </wp:inline>
        </w:drawing>
      </w:r>
    </w:p>
    <w:p>
      <w:pPr>
        <w:adjustRightInd w:val="0"/>
        <w:snapToGrid w:val="0"/>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图3.1-1  淮南市多年月平均降水量柱状图</w:t>
      </w:r>
    </w:p>
    <w:p>
      <w:pPr>
        <w:keepNext w:val="0"/>
        <w:keepLines w:val="0"/>
        <w:pageBreakBefore w:val="0"/>
        <w:widowControl w:val="0"/>
        <w:kinsoku/>
        <w:wordWrap/>
        <w:overflowPunct/>
        <w:topLinePunct w:val="0"/>
        <w:autoSpaceDE/>
        <w:autoSpaceDN/>
        <w:bidi w:val="0"/>
        <w:adjustRightInd w:val="0"/>
        <w:snapToGrid w:val="0"/>
        <w:spacing w:before="95" w:beforeLines="30" w:after="95" w:afterLines="30" w:line="590" w:lineRule="exact"/>
        <w:ind w:firstLine="643" w:firstLineChars="200"/>
        <w:textAlignment w:val="auto"/>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（2）降水量区域分布特点</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以淮河为界，淮河以南降水量大于淮河以北降水量，淮河以南寿县多年平均降水量899.4mm、淮南市区911.3mm，淮河以北多年平均降水量凤台893.5mm、潘集892.9mm。</w:t>
      </w:r>
    </w:p>
    <w:p>
      <w:pPr>
        <w:adjustRightInd w:val="0"/>
        <w:snapToGrid w:val="0"/>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表3.1-2   淮南市水资源三级区多年平均降水量    单位：mm</w:t>
      </w:r>
    </w:p>
    <w:tbl>
      <w:tblPr>
        <w:tblStyle w:val="12"/>
        <w:tblW w:w="0" w:type="auto"/>
        <w:jc w:val="center"/>
        <w:tblLayout w:type="fixed"/>
        <w:tblCellMar>
          <w:top w:w="0" w:type="dxa"/>
          <w:left w:w="108" w:type="dxa"/>
          <w:bottom w:w="0" w:type="dxa"/>
          <w:right w:w="108" w:type="dxa"/>
        </w:tblCellMar>
      </w:tblPr>
      <w:tblGrid>
        <w:gridCol w:w="2259"/>
        <w:gridCol w:w="2088"/>
        <w:gridCol w:w="2088"/>
        <w:gridCol w:w="2085"/>
      </w:tblGrid>
      <w:tr>
        <w:tblPrEx>
          <w:tblCellMar>
            <w:top w:w="0" w:type="dxa"/>
            <w:left w:w="108" w:type="dxa"/>
            <w:bottom w:w="0" w:type="dxa"/>
            <w:right w:w="108" w:type="dxa"/>
          </w:tblCellMar>
        </w:tblPrEx>
        <w:trPr>
          <w:trHeight w:val="430" w:hRule="atLeast"/>
          <w:jc w:val="center"/>
        </w:trPr>
        <w:tc>
          <w:tcPr>
            <w:tcW w:w="225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水资源</w:t>
            </w:r>
          </w:p>
          <w:p>
            <w:pPr>
              <w:widowControl/>
              <w:adjustRightInd w:val="0"/>
              <w:snapToGrid w:val="0"/>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三级区</w:t>
            </w:r>
          </w:p>
        </w:tc>
        <w:tc>
          <w:tcPr>
            <w:tcW w:w="2088"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行政分区</w:t>
            </w:r>
          </w:p>
        </w:tc>
        <w:tc>
          <w:tcPr>
            <w:tcW w:w="2088"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资料系列</w:t>
            </w:r>
          </w:p>
          <w:p>
            <w:pPr>
              <w:widowControl/>
              <w:adjustRightInd w:val="0"/>
              <w:snapToGrid w:val="0"/>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长度</w:t>
            </w:r>
          </w:p>
        </w:tc>
        <w:tc>
          <w:tcPr>
            <w:tcW w:w="2085" w:type="dxa"/>
            <w:tcBorders>
              <w:top w:val="single" w:color="auto" w:sz="4" w:space="0"/>
              <w:left w:val="nil"/>
              <w:bottom w:val="single" w:color="auto" w:sz="4" w:space="0"/>
              <w:right w:val="single" w:color="auto" w:sz="4" w:space="0"/>
            </w:tcBorders>
            <w:noWrap w:val="0"/>
            <w:vAlign w:val="center"/>
          </w:tcPr>
          <w:p>
            <w:pPr>
              <w:widowControl/>
              <w:adjustRightInd w:val="0"/>
              <w:snapToGrid w:val="0"/>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多年平均降水量</w:t>
            </w:r>
          </w:p>
        </w:tc>
      </w:tr>
      <w:tr>
        <w:tblPrEx>
          <w:tblCellMar>
            <w:top w:w="0" w:type="dxa"/>
            <w:left w:w="108" w:type="dxa"/>
            <w:bottom w:w="0" w:type="dxa"/>
            <w:right w:w="108" w:type="dxa"/>
          </w:tblCellMar>
        </w:tblPrEx>
        <w:trPr>
          <w:trHeight w:val="316" w:hRule="atLeast"/>
          <w:jc w:val="center"/>
        </w:trPr>
        <w:tc>
          <w:tcPr>
            <w:tcW w:w="2259"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王蚌区间北岸</w:t>
            </w:r>
          </w:p>
        </w:tc>
        <w:tc>
          <w:tcPr>
            <w:tcW w:w="2088"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凤台</w:t>
            </w:r>
          </w:p>
        </w:tc>
        <w:tc>
          <w:tcPr>
            <w:tcW w:w="2088" w:type="dxa"/>
            <w:vMerge w:val="restart"/>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1956-2015</w:t>
            </w:r>
          </w:p>
        </w:tc>
        <w:tc>
          <w:tcPr>
            <w:tcW w:w="2085"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893.5</w:t>
            </w:r>
          </w:p>
        </w:tc>
      </w:tr>
      <w:tr>
        <w:tblPrEx>
          <w:tblCellMar>
            <w:top w:w="0" w:type="dxa"/>
            <w:left w:w="108" w:type="dxa"/>
            <w:bottom w:w="0" w:type="dxa"/>
            <w:right w:w="108" w:type="dxa"/>
          </w:tblCellMar>
        </w:tblPrEx>
        <w:trPr>
          <w:trHeight w:val="316" w:hRule="atLeast"/>
          <w:jc w:val="center"/>
        </w:trPr>
        <w:tc>
          <w:tcPr>
            <w:tcW w:w="2259" w:type="dxa"/>
            <w:vMerge w:val="continue"/>
            <w:tcBorders>
              <w:top w:val="nil"/>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kern w:val="0"/>
                <w:szCs w:val="21"/>
              </w:rPr>
            </w:pPr>
          </w:p>
        </w:tc>
        <w:tc>
          <w:tcPr>
            <w:tcW w:w="2088"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潘集</w:t>
            </w:r>
          </w:p>
        </w:tc>
        <w:tc>
          <w:tcPr>
            <w:tcW w:w="2088" w:type="dxa"/>
            <w:vMerge w:val="continue"/>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kern w:val="0"/>
                <w:szCs w:val="21"/>
              </w:rPr>
            </w:pPr>
          </w:p>
        </w:tc>
        <w:tc>
          <w:tcPr>
            <w:tcW w:w="2085"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892.9</w:t>
            </w:r>
          </w:p>
        </w:tc>
      </w:tr>
      <w:tr>
        <w:tblPrEx>
          <w:tblCellMar>
            <w:top w:w="0" w:type="dxa"/>
            <w:left w:w="108" w:type="dxa"/>
            <w:bottom w:w="0" w:type="dxa"/>
            <w:right w:w="108" w:type="dxa"/>
          </w:tblCellMar>
        </w:tblPrEx>
        <w:trPr>
          <w:trHeight w:val="316" w:hRule="atLeast"/>
          <w:jc w:val="center"/>
        </w:trPr>
        <w:tc>
          <w:tcPr>
            <w:tcW w:w="2259"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王蚌区间南岸</w:t>
            </w:r>
          </w:p>
        </w:tc>
        <w:tc>
          <w:tcPr>
            <w:tcW w:w="2088"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淮南市市区</w:t>
            </w:r>
          </w:p>
        </w:tc>
        <w:tc>
          <w:tcPr>
            <w:tcW w:w="2088" w:type="dxa"/>
            <w:vMerge w:val="restart"/>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1956-2015</w:t>
            </w:r>
          </w:p>
        </w:tc>
        <w:tc>
          <w:tcPr>
            <w:tcW w:w="2085"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911.3</w:t>
            </w:r>
          </w:p>
        </w:tc>
      </w:tr>
      <w:tr>
        <w:tblPrEx>
          <w:tblCellMar>
            <w:top w:w="0" w:type="dxa"/>
            <w:left w:w="108" w:type="dxa"/>
            <w:bottom w:w="0" w:type="dxa"/>
            <w:right w:w="108" w:type="dxa"/>
          </w:tblCellMar>
        </w:tblPrEx>
        <w:trPr>
          <w:trHeight w:val="324" w:hRule="atLeast"/>
          <w:jc w:val="center"/>
        </w:trPr>
        <w:tc>
          <w:tcPr>
            <w:tcW w:w="2259" w:type="dxa"/>
            <w:vMerge w:val="continue"/>
            <w:tcBorders>
              <w:top w:val="nil"/>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kern w:val="0"/>
                <w:szCs w:val="21"/>
              </w:rPr>
            </w:pPr>
          </w:p>
        </w:tc>
        <w:tc>
          <w:tcPr>
            <w:tcW w:w="2088"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寿县</w:t>
            </w:r>
          </w:p>
        </w:tc>
        <w:tc>
          <w:tcPr>
            <w:tcW w:w="2088" w:type="dxa"/>
            <w:vMerge w:val="continue"/>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kern w:val="0"/>
                <w:szCs w:val="21"/>
              </w:rPr>
            </w:pPr>
          </w:p>
        </w:tc>
        <w:tc>
          <w:tcPr>
            <w:tcW w:w="2085" w:type="dxa"/>
            <w:tcBorders>
              <w:top w:val="nil"/>
              <w:left w:val="nil"/>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899.4</w:t>
            </w:r>
          </w:p>
        </w:tc>
      </w:tr>
    </w:tbl>
    <w:p>
      <w:pPr>
        <w:pStyle w:val="5"/>
        <w:keepNext w:val="0"/>
        <w:keepLines w:val="0"/>
        <w:pageBreakBefore w:val="0"/>
        <w:widowControl w:val="0"/>
        <w:kinsoku/>
        <w:wordWrap/>
        <w:overflowPunct/>
        <w:autoSpaceDE/>
        <w:autoSpaceDN/>
        <w:bidi w:val="0"/>
        <w:spacing w:line="590" w:lineRule="exact"/>
        <w:ind w:firstLine="0" w:firstLineChars="0"/>
        <w:rPr>
          <w:rFonts w:hint="eastAsia" w:ascii="方正楷体_GBK" w:hAnsi="方正楷体_GBK" w:eastAsia="方正楷体_GBK" w:cs="方正楷体_GBK"/>
          <w:b w:val="0"/>
          <w:bCs/>
          <w:sz w:val="32"/>
          <w:szCs w:val="32"/>
        </w:rPr>
      </w:pPr>
      <w:bookmarkStart w:id="88" w:name="_Toc17226"/>
      <w:r>
        <w:rPr>
          <w:rFonts w:hint="eastAsia" w:ascii="方正楷体_GBK" w:hAnsi="方正楷体_GBK" w:eastAsia="方正楷体_GBK" w:cs="方正楷体_GBK"/>
          <w:b w:val="0"/>
          <w:bCs/>
          <w:sz w:val="32"/>
          <w:szCs w:val="32"/>
        </w:rPr>
        <w:t>二、蒸发量</w:t>
      </w:r>
      <w:bookmarkEnd w:id="88"/>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本次评价淮南境内蒸发量是水面蒸发量。淮南境内仅有鲁台子站蒸发量监测资料，该站点资料系列为1959~1967年和1972~2015年，资料系列长度为53年，</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鲁台子站多年平均（1959~2015年系列）蒸发量747.0mm，最大年蒸发量1967年1143.7mm，最小蒸发量1993年543.2mm。</w:t>
      </w:r>
    </w:p>
    <w:p>
      <w:pPr>
        <w:adjustRightInd w:val="0"/>
        <w:snapToGrid w:val="0"/>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表3.1-3  淮南站多年平均蒸发量及月分配情况</w:t>
      </w:r>
    </w:p>
    <w:tbl>
      <w:tblPr>
        <w:tblStyle w:val="12"/>
        <w:tblW w:w="0" w:type="auto"/>
        <w:tblInd w:w="103" w:type="dxa"/>
        <w:tblLayout w:type="fixed"/>
        <w:tblCellMar>
          <w:top w:w="0" w:type="dxa"/>
          <w:left w:w="108" w:type="dxa"/>
          <w:bottom w:w="0" w:type="dxa"/>
          <w:right w:w="108" w:type="dxa"/>
        </w:tblCellMar>
      </w:tblPr>
      <w:tblGrid>
        <w:gridCol w:w="1024"/>
        <w:gridCol w:w="1500"/>
        <w:gridCol w:w="1500"/>
        <w:gridCol w:w="236"/>
        <w:gridCol w:w="1080"/>
        <w:gridCol w:w="1500"/>
        <w:gridCol w:w="1500"/>
      </w:tblGrid>
      <w:tr>
        <w:tblPrEx>
          <w:tblCellMar>
            <w:top w:w="0" w:type="dxa"/>
            <w:left w:w="108" w:type="dxa"/>
            <w:bottom w:w="0" w:type="dxa"/>
            <w:right w:w="108" w:type="dxa"/>
          </w:tblCellMar>
        </w:tblPrEx>
        <w:trPr>
          <w:trHeight w:val="326" w:hRule="atLeast"/>
        </w:trPr>
        <w:tc>
          <w:tcPr>
            <w:tcW w:w="1024"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月份</w:t>
            </w:r>
          </w:p>
        </w:tc>
        <w:tc>
          <w:tcPr>
            <w:tcW w:w="1500"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蒸发量</w:t>
            </w:r>
          </w:p>
        </w:tc>
        <w:tc>
          <w:tcPr>
            <w:tcW w:w="1500"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占全年比例</w:t>
            </w:r>
          </w:p>
        </w:tc>
        <w:tc>
          <w:tcPr>
            <w:tcW w:w="236" w:type="dxa"/>
            <w:vMerge w:val="restart"/>
            <w:tcBorders>
              <w:top w:val="single" w:color="auto" w:sz="4" w:space="0"/>
              <w:left w:val="single" w:color="auto" w:sz="4" w:space="0"/>
              <w:bottom w:val="single" w:color="000000"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kern w:val="0"/>
                <w:szCs w:val="21"/>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月份</w:t>
            </w:r>
          </w:p>
        </w:tc>
        <w:tc>
          <w:tcPr>
            <w:tcW w:w="1500"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蒸发量</w:t>
            </w:r>
          </w:p>
        </w:tc>
        <w:tc>
          <w:tcPr>
            <w:tcW w:w="1500"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占全年比例</w:t>
            </w:r>
          </w:p>
        </w:tc>
      </w:tr>
      <w:tr>
        <w:tblPrEx>
          <w:tblCellMar>
            <w:top w:w="0" w:type="dxa"/>
            <w:left w:w="108" w:type="dxa"/>
            <w:bottom w:w="0" w:type="dxa"/>
            <w:right w:w="108" w:type="dxa"/>
          </w:tblCellMar>
        </w:tblPrEx>
        <w:trPr>
          <w:trHeight w:val="326" w:hRule="atLeast"/>
        </w:trPr>
        <w:tc>
          <w:tcPr>
            <w:tcW w:w="1024"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kern w:val="0"/>
                <w:szCs w:val="21"/>
              </w:rPr>
            </w:pP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mm</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w:t>
            </w:r>
          </w:p>
        </w:tc>
        <w:tc>
          <w:tcPr>
            <w:tcW w:w="236" w:type="dxa"/>
            <w:vMerge w:val="continue"/>
            <w:tcBorders>
              <w:top w:val="single" w:color="auto" w:sz="4" w:space="0"/>
              <w:left w:val="single" w:color="auto" w:sz="4" w:space="0"/>
              <w:bottom w:val="single" w:color="000000"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kern w:val="0"/>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kern w:val="0"/>
                <w:szCs w:val="21"/>
              </w:rPr>
            </w:pP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mm</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w:t>
            </w:r>
          </w:p>
        </w:tc>
      </w:tr>
      <w:tr>
        <w:tblPrEx>
          <w:tblCellMar>
            <w:top w:w="0" w:type="dxa"/>
            <w:left w:w="108" w:type="dxa"/>
            <w:bottom w:w="0" w:type="dxa"/>
            <w:right w:w="108" w:type="dxa"/>
          </w:tblCellMar>
        </w:tblPrEx>
        <w:trPr>
          <w:trHeight w:val="326" w:hRule="atLeast"/>
        </w:trPr>
        <w:tc>
          <w:tcPr>
            <w:tcW w:w="1024"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Cs w:val="21"/>
              </w:rPr>
            </w:pPr>
            <w:r>
              <w:rPr>
                <w:rStyle w:val="20"/>
                <w:rFonts w:hint="default" w:ascii="Times New Roman" w:hAnsi="Times New Roman" w:eastAsia="方正仿宋_GBK" w:cs="Times New Roman"/>
                <w:color w:val="auto"/>
                <w:sz w:val="21"/>
                <w:szCs w:val="21"/>
                <w:lang w:bidi="ar"/>
              </w:rPr>
              <w:t>1</w:t>
            </w:r>
            <w:r>
              <w:rPr>
                <w:rFonts w:hint="default" w:ascii="Times New Roman" w:hAnsi="Times New Roman" w:eastAsia="方正仿宋_GBK" w:cs="Times New Roman"/>
                <w:kern w:val="0"/>
                <w:szCs w:val="21"/>
                <w:lang w:bidi="ar"/>
              </w:rPr>
              <w:t>月</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28.5</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3.8</w:t>
            </w:r>
          </w:p>
        </w:tc>
        <w:tc>
          <w:tcPr>
            <w:tcW w:w="236" w:type="dxa"/>
            <w:vMerge w:val="continue"/>
            <w:tcBorders>
              <w:top w:val="single" w:color="auto" w:sz="4" w:space="0"/>
              <w:left w:val="single" w:color="auto" w:sz="4" w:space="0"/>
              <w:bottom w:val="single" w:color="000000"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kern w:val="0"/>
                <w:szCs w:val="21"/>
              </w:rPr>
            </w:pPr>
          </w:p>
        </w:tc>
        <w:tc>
          <w:tcPr>
            <w:tcW w:w="108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Cs w:val="21"/>
              </w:rPr>
            </w:pPr>
            <w:r>
              <w:rPr>
                <w:rStyle w:val="20"/>
                <w:rFonts w:hint="default" w:ascii="Times New Roman" w:hAnsi="Times New Roman" w:eastAsia="方正仿宋_GBK" w:cs="Times New Roman"/>
                <w:color w:val="auto"/>
                <w:sz w:val="21"/>
                <w:szCs w:val="21"/>
                <w:lang w:bidi="ar"/>
              </w:rPr>
              <w:t>7</w:t>
            </w:r>
            <w:r>
              <w:rPr>
                <w:rFonts w:hint="default" w:ascii="Times New Roman" w:hAnsi="Times New Roman" w:eastAsia="方正仿宋_GBK" w:cs="Times New Roman"/>
                <w:kern w:val="0"/>
                <w:szCs w:val="21"/>
                <w:lang w:bidi="ar"/>
              </w:rPr>
              <w:t>月</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86.7</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11.6</w:t>
            </w:r>
          </w:p>
        </w:tc>
      </w:tr>
      <w:tr>
        <w:tblPrEx>
          <w:tblCellMar>
            <w:top w:w="0" w:type="dxa"/>
            <w:left w:w="108" w:type="dxa"/>
            <w:bottom w:w="0" w:type="dxa"/>
            <w:right w:w="108" w:type="dxa"/>
          </w:tblCellMar>
        </w:tblPrEx>
        <w:trPr>
          <w:trHeight w:val="326" w:hRule="atLeast"/>
        </w:trPr>
        <w:tc>
          <w:tcPr>
            <w:tcW w:w="1024"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Cs w:val="21"/>
              </w:rPr>
            </w:pPr>
            <w:r>
              <w:rPr>
                <w:rStyle w:val="20"/>
                <w:rFonts w:hint="default" w:ascii="Times New Roman" w:hAnsi="Times New Roman" w:eastAsia="方正仿宋_GBK" w:cs="Times New Roman"/>
                <w:color w:val="auto"/>
                <w:sz w:val="21"/>
                <w:szCs w:val="21"/>
                <w:lang w:bidi="ar"/>
              </w:rPr>
              <w:t>2</w:t>
            </w:r>
            <w:r>
              <w:rPr>
                <w:rFonts w:hint="default" w:ascii="Times New Roman" w:hAnsi="Times New Roman" w:eastAsia="方正仿宋_GBK" w:cs="Times New Roman"/>
                <w:kern w:val="0"/>
                <w:szCs w:val="21"/>
                <w:lang w:bidi="ar"/>
              </w:rPr>
              <w:t>月</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27.9</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3.7</w:t>
            </w:r>
          </w:p>
        </w:tc>
        <w:tc>
          <w:tcPr>
            <w:tcW w:w="236" w:type="dxa"/>
            <w:vMerge w:val="continue"/>
            <w:tcBorders>
              <w:top w:val="single" w:color="auto" w:sz="4" w:space="0"/>
              <w:left w:val="single" w:color="auto" w:sz="4" w:space="0"/>
              <w:bottom w:val="single" w:color="000000"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kern w:val="0"/>
                <w:szCs w:val="21"/>
              </w:rPr>
            </w:pPr>
          </w:p>
        </w:tc>
        <w:tc>
          <w:tcPr>
            <w:tcW w:w="108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Cs w:val="21"/>
              </w:rPr>
            </w:pPr>
            <w:r>
              <w:rPr>
                <w:rStyle w:val="20"/>
                <w:rFonts w:hint="default" w:ascii="Times New Roman" w:hAnsi="Times New Roman" w:eastAsia="方正仿宋_GBK" w:cs="Times New Roman"/>
                <w:color w:val="auto"/>
                <w:sz w:val="21"/>
                <w:szCs w:val="21"/>
                <w:lang w:bidi="ar"/>
              </w:rPr>
              <w:t>8</w:t>
            </w:r>
            <w:r>
              <w:rPr>
                <w:rFonts w:hint="default" w:ascii="Times New Roman" w:hAnsi="Times New Roman" w:eastAsia="方正仿宋_GBK" w:cs="Times New Roman"/>
                <w:kern w:val="0"/>
                <w:szCs w:val="21"/>
                <w:lang w:bidi="ar"/>
              </w:rPr>
              <w:t>月</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87.7</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11.7</w:t>
            </w:r>
          </w:p>
        </w:tc>
      </w:tr>
      <w:tr>
        <w:tblPrEx>
          <w:tblCellMar>
            <w:top w:w="0" w:type="dxa"/>
            <w:left w:w="108" w:type="dxa"/>
            <w:bottom w:w="0" w:type="dxa"/>
            <w:right w:w="108" w:type="dxa"/>
          </w:tblCellMar>
        </w:tblPrEx>
        <w:trPr>
          <w:trHeight w:val="326" w:hRule="atLeast"/>
        </w:trPr>
        <w:tc>
          <w:tcPr>
            <w:tcW w:w="1024"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Cs w:val="21"/>
              </w:rPr>
            </w:pPr>
            <w:r>
              <w:rPr>
                <w:rStyle w:val="20"/>
                <w:rFonts w:hint="default" w:ascii="Times New Roman" w:hAnsi="Times New Roman" w:eastAsia="方正仿宋_GBK" w:cs="Times New Roman"/>
                <w:color w:val="auto"/>
                <w:sz w:val="21"/>
                <w:szCs w:val="21"/>
                <w:lang w:bidi="ar"/>
              </w:rPr>
              <w:t>3</w:t>
            </w:r>
            <w:r>
              <w:rPr>
                <w:rFonts w:hint="default" w:ascii="Times New Roman" w:hAnsi="Times New Roman" w:eastAsia="方正仿宋_GBK" w:cs="Times New Roman"/>
                <w:kern w:val="0"/>
                <w:szCs w:val="21"/>
                <w:lang w:bidi="ar"/>
              </w:rPr>
              <w:t>月</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57.7</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7.7</w:t>
            </w:r>
          </w:p>
        </w:tc>
        <w:tc>
          <w:tcPr>
            <w:tcW w:w="236" w:type="dxa"/>
            <w:vMerge w:val="continue"/>
            <w:tcBorders>
              <w:top w:val="single" w:color="auto" w:sz="4" w:space="0"/>
              <w:left w:val="single" w:color="auto" w:sz="4" w:space="0"/>
              <w:bottom w:val="single" w:color="000000"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kern w:val="0"/>
                <w:szCs w:val="21"/>
              </w:rPr>
            </w:pPr>
          </w:p>
        </w:tc>
        <w:tc>
          <w:tcPr>
            <w:tcW w:w="108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Cs w:val="21"/>
              </w:rPr>
            </w:pPr>
            <w:r>
              <w:rPr>
                <w:rStyle w:val="20"/>
                <w:rFonts w:hint="default" w:ascii="Times New Roman" w:hAnsi="Times New Roman" w:eastAsia="方正仿宋_GBK" w:cs="Times New Roman"/>
                <w:color w:val="auto"/>
                <w:sz w:val="21"/>
                <w:szCs w:val="21"/>
                <w:lang w:bidi="ar"/>
              </w:rPr>
              <w:t>9</w:t>
            </w:r>
            <w:r>
              <w:rPr>
                <w:rFonts w:hint="default" w:ascii="Times New Roman" w:hAnsi="Times New Roman" w:eastAsia="方正仿宋_GBK" w:cs="Times New Roman"/>
                <w:kern w:val="0"/>
                <w:szCs w:val="21"/>
                <w:lang w:bidi="ar"/>
              </w:rPr>
              <w:t>月</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65.2</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8.7</w:t>
            </w:r>
          </w:p>
        </w:tc>
      </w:tr>
      <w:tr>
        <w:tblPrEx>
          <w:tblCellMar>
            <w:top w:w="0" w:type="dxa"/>
            <w:left w:w="108" w:type="dxa"/>
            <w:bottom w:w="0" w:type="dxa"/>
            <w:right w:w="108" w:type="dxa"/>
          </w:tblCellMar>
        </w:tblPrEx>
        <w:trPr>
          <w:trHeight w:val="326" w:hRule="atLeast"/>
        </w:trPr>
        <w:tc>
          <w:tcPr>
            <w:tcW w:w="1024"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Cs w:val="21"/>
              </w:rPr>
            </w:pPr>
            <w:r>
              <w:rPr>
                <w:rStyle w:val="20"/>
                <w:rFonts w:hint="default" w:ascii="Times New Roman" w:hAnsi="Times New Roman" w:eastAsia="方正仿宋_GBK" w:cs="Times New Roman"/>
                <w:color w:val="auto"/>
                <w:sz w:val="21"/>
                <w:szCs w:val="21"/>
                <w:lang w:bidi="ar"/>
              </w:rPr>
              <w:t>4</w:t>
            </w:r>
            <w:r>
              <w:rPr>
                <w:rFonts w:hint="default" w:ascii="Times New Roman" w:hAnsi="Times New Roman" w:eastAsia="方正仿宋_GBK" w:cs="Times New Roman"/>
                <w:kern w:val="0"/>
                <w:szCs w:val="21"/>
                <w:lang w:bidi="ar"/>
              </w:rPr>
              <w:t>月</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73.3</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9.8</w:t>
            </w:r>
          </w:p>
        </w:tc>
        <w:tc>
          <w:tcPr>
            <w:tcW w:w="236" w:type="dxa"/>
            <w:vMerge w:val="continue"/>
            <w:tcBorders>
              <w:top w:val="single" w:color="auto" w:sz="4" w:space="0"/>
              <w:left w:val="single" w:color="auto" w:sz="4" w:space="0"/>
              <w:bottom w:val="single" w:color="000000"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kern w:val="0"/>
                <w:szCs w:val="21"/>
              </w:rPr>
            </w:pPr>
          </w:p>
        </w:tc>
        <w:tc>
          <w:tcPr>
            <w:tcW w:w="108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Cs w:val="21"/>
              </w:rPr>
            </w:pPr>
            <w:r>
              <w:rPr>
                <w:rStyle w:val="20"/>
                <w:rFonts w:hint="default" w:ascii="Times New Roman" w:hAnsi="Times New Roman" w:eastAsia="方正仿宋_GBK" w:cs="Times New Roman"/>
                <w:color w:val="auto"/>
                <w:sz w:val="21"/>
                <w:szCs w:val="21"/>
                <w:lang w:bidi="ar"/>
              </w:rPr>
              <w:t>10</w:t>
            </w:r>
            <w:r>
              <w:rPr>
                <w:rFonts w:hint="default" w:ascii="Times New Roman" w:hAnsi="Times New Roman" w:eastAsia="方正仿宋_GBK" w:cs="Times New Roman"/>
                <w:kern w:val="0"/>
                <w:szCs w:val="21"/>
                <w:lang w:bidi="ar"/>
              </w:rPr>
              <w:t>月</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68.0</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9.1</w:t>
            </w:r>
          </w:p>
        </w:tc>
      </w:tr>
      <w:tr>
        <w:tblPrEx>
          <w:tblCellMar>
            <w:top w:w="0" w:type="dxa"/>
            <w:left w:w="108" w:type="dxa"/>
            <w:bottom w:w="0" w:type="dxa"/>
            <w:right w:w="108" w:type="dxa"/>
          </w:tblCellMar>
        </w:tblPrEx>
        <w:trPr>
          <w:trHeight w:val="326" w:hRule="atLeast"/>
        </w:trPr>
        <w:tc>
          <w:tcPr>
            <w:tcW w:w="1024"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Cs w:val="21"/>
              </w:rPr>
            </w:pPr>
            <w:r>
              <w:rPr>
                <w:rStyle w:val="20"/>
                <w:rFonts w:hint="default" w:ascii="Times New Roman" w:hAnsi="Times New Roman" w:eastAsia="方正仿宋_GBK" w:cs="Times New Roman"/>
                <w:color w:val="auto"/>
                <w:sz w:val="21"/>
                <w:szCs w:val="21"/>
                <w:lang w:bidi="ar"/>
              </w:rPr>
              <w:t>5</w:t>
            </w:r>
            <w:r>
              <w:rPr>
                <w:rFonts w:hint="default" w:ascii="Times New Roman" w:hAnsi="Times New Roman" w:eastAsia="方正仿宋_GBK" w:cs="Times New Roman"/>
                <w:kern w:val="0"/>
                <w:szCs w:val="21"/>
                <w:lang w:bidi="ar"/>
              </w:rPr>
              <w:t>月</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88.5</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11.8</w:t>
            </w:r>
          </w:p>
        </w:tc>
        <w:tc>
          <w:tcPr>
            <w:tcW w:w="236" w:type="dxa"/>
            <w:vMerge w:val="continue"/>
            <w:tcBorders>
              <w:top w:val="single" w:color="auto" w:sz="4" w:space="0"/>
              <w:left w:val="single" w:color="auto" w:sz="4" w:space="0"/>
              <w:bottom w:val="single" w:color="000000"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kern w:val="0"/>
                <w:szCs w:val="21"/>
              </w:rPr>
            </w:pPr>
          </w:p>
        </w:tc>
        <w:tc>
          <w:tcPr>
            <w:tcW w:w="108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Cs w:val="21"/>
              </w:rPr>
            </w:pPr>
            <w:r>
              <w:rPr>
                <w:rStyle w:val="20"/>
                <w:rFonts w:hint="default" w:ascii="Times New Roman" w:hAnsi="Times New Roman" w:eastAsia="方正仿宋_GBK" w:cs="Times New Roman"/>
                <w:color w:val="auto"/>
                <w:sz w:val="21"/>
                <w:szCs w:val="21"/>
                <w:lang w:bidi="ar"/>
              </w:rPr>
              <w:t>11</w:t>
            </w:r>
            <w:r>
              <w:rPr>
                <w:rFonts w:hint="default" w:ascii="Times New Roman" w:hAnsi="Times New Roman" w:eastAsia="方正仿宋_GBK" w:cs="Times New Roman"/>
                <w:kern w:val="0"/>
                <w:szCs w:val="21"/>
                <w:lang w:bidi="ar"/>
              </w:rPr>
              <w:t>月</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42.2</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5.6</w:t>
            </w:r>
          </w:p>
        </w:tc>
      </w:tr>
      <w:tr>
        <w:tblPrEx>
          <w:tblCellMar>
            <w:top w:w="0" w:type="dxa"/>
            <w:left w:w="108" w:type="dxa"/>
            <w:bottom w:w="0" w:type="dxa"/>
            <w:right w:w="108" w:type="dxa"/>
          </w:tblCellMar>
        </w:tblPrEx>
        <w:trPr>
          <w:trHeight w:val="326" w:hRule="atLeast"/>
        </w:trPr>
        <w:tc>
          <w:tcPr>
            <w:tcW w:w="1024"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Cs w:val="21"/>
              </w:rPr>
            </w:pPr>
            <w:r>
              <w:rPr>
                <w:rStyle w:val="20"/>
                <w:rFonts w:hint="default" w:ascii="Times New Roman" w:hAnsi="Times New Roman" w:eastAsia="方正仿宋_GBK" w:cs="Times New Roman"/>
                <w:color w:val="auto"/>
                <w:sz w:val="21"/>
                <w:szCs w:val="21"/>
                <w:lang w:bidi="ar"/>
              </w:rPr>
              <w:t>6</w:t>
            </w:r>
            <w:r>
              <w:rPr>
                <w:rFonts w:hint="default" w:ascii="Times New Roman" w:hAnsi="Times New Roman" w:eastAsia="方正仿宋_GBK" w:cs="Times New Roman"/>
                <w:kern w:val="0"/>
                <w:szCs w:val="21"/>
                <w:lang w:bidi="ar"/>
              </w:rPr>
              <w:t>月</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84.3</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11.3</w:t>
            </w:r>
          </w:p>
        </w:tc>
        <w:tc>
          <w:tcPr>
            <w:tcW w:w="236" w:type="dxa"/>
            <w:vMerge w:val="continue"/>
            <w:tcBorders>
              <w:top w:val="single" w:color="auto" w:sz="4" w:space="0"/>
              <w:left w:val="single" w:color="auto" w:sz="4" w:space="0"/>
              <w:bottom w:val="single" w:color="000000"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kern w:val="0"/>
                <w:szCs w:val="21"/>
              </w:rPr>
            </w:pPr>
          </w:p>
        </w:tc>
        <w:tc>
          <w:tcPr>
            <w:tcW w:w="108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Cs w:val="21"/>
              </w:rPr>
            </w:pPr>
            <w:r>
              <w:rPr>
                <w:rStyle w:val="20"/>
                <w:rFonts w:hint="default" w:ascii="Times New Roman" w:hAnsi="Times New Roman" w:eastAsia="方正仿宋_GBK" w:cs="Times New Roman"/>
                <w:color w:val="auto"/>
                <w:sz w:val="21"/>
                <w:szCs w:val="21"/>
                <w:lang w:bidi="ar"/>
              </w:rPr>
              <w:t>12</w:t>
            </w:r>
            <w:r>
              <w:rPr>
                <w:rFonts w:hint="default" w:ascii="Times New Roman" w:hAnsi="Times New Roman" w:eastAsia="方正仿宋_GBK" w:cs="Times New Roman"/>
                <w:kern w:val="0"/>
                <w:szCs w:val="21"/>
                <w:lang w:bidi="ar"/>
              </w:rPr>
              <w:t>月</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36.8</w:t>
            </w:r>
          </w:p>
        </w:tc>
        <w:tc>
          <w:tcPr>
            <w:tcW w:w="1500" w:type="dxa"/>
            <w:tcBorders>
              <w:top w:val="nil"/>
              <w:left w:val="nil"/>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4.9</w:t>
            </w:r>
          </w:p>
        </w:tc>
      </w:tr>
      <w:tr>
        <w:tblPrEx>
          <w:tblCellMar>
            <w:top w:w="0" w:type="dxa"/>
            <w:left w:w="108" w:type="dxa"/>
            <w:bottom w:w="0" w:type="dxa"/>
            <w:right w:w="108" w:type="dxa"/>
          </w:tblCellMar>
        </w:tblPrEx>
        <w:trPr>
          <w:trHeight w:val="334" w:hRule="atLeast"/>
        </w:trPr>
        <w:tc>
          <w:tcPr>
            <w:tcW w:w="8340" w:type="dxa"/>
            <w:gridSpan w:val="7"/>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b/>
                <w:kern w:val="0"/>
                <w:szCs w:val="21"/>
              </w:rPr>
            </w:pPr>
            <w:r>
              <w:rPr>
                <w:rFonts w:hint="default" w:ascii="Times New Roman" w:hAnsi="Times New Roman" w:eastAsia="方正仿宋_GBK" w:cs="Times New Roman"/>
                <w:b/>
                <w:kern w:val="0"/>
                <w:szCs w:val="21"/>
                <w:lang w:bidi="ar"/>
              </w:rPr>
              <w:t xml:space="preserve">多年平均年蒸发量：747.0 </w:t>
            </w:r>
            <w:r>
              <w:rPr>
                <w:rFonts w:hint="default" w:ascii="Times New Roman" w:hAnsi="Times New Roman" w:eastAsia="方正仿宋_GBK" w:cs="Times New Roman"/>
                <w:kern w:val="0"/>
                <w:szCs w:val="21"/>
                <w:lang w:bidi="ar"/>
              </w:rPr>
              <w:t>mm</w:t>
            </w:r>
          </w:p>
        </w:tc>
      </w:tr>
    </w:tbl>
    <w:p>
      <w:pPr>
        <w:pStyle w:val="5"/>
        <w:keepNext w:val="0"/>
        <w:keepLines w:val="0"/>
        <w:pageBreakBefore w:val="0"/>
        <w:widowControl w:val="0"/>
        <w:kinsoku/>
        <w:wordWrap/>
        <w:overflowPunct/>
        <w:autoSpaceDE/>
        <w:autoSpaceDN/>
        <w:bidi w:val="0"/>
        <w:spacing w:line="590" w:lineRule="exact"/>
        <w:ind w:firstLine="0" w:firstLineChars="0"/>
        <w:rPr>
          <w:rFonts w:hint="eastAsia" w:ascii="方正楷体_GBK" w:hAnsi="方正楷体_GBK" w:eastAsia="方正楷体_GBK" w:cs="方正楷体_GBK"/>
          <w:b w:val="0"/>
          <w:bCs/>
          <w:sz w:val="32"/>
          <w:szCs w:val="32"/>
        </w:rPr>
      </w:pPr>
      <w:bookmarkStart w:id="89" w:name="_Toc23232"/>
      <w:bookmarkStart w:id="90" w:name="_Toc312309833"/>
      <w:r>
        <w:rPr>
          <w:rFonts w:hint="eastAsia" w:ascii="方正楷体_GBK" w:hAnsi="方正楷体_GBK" w:eastAsia="方正楷体_GBK" w:cs="方正楷体_GBK"/>
          <w:b w:val="0"/>
          <w:bCs/>
          <w:sz w:val="32"/>
          <w:szCs w:val="32"/>
        </w:rPr>
        <w:t>三、地表水资源量</w:t>
      </w:r>
      <w:bookmarkEnd w:id="89"/>
      <w:bookmarkEnd w:id="90"/>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淮南市多年平均地表水资源量（天然径流量）14.06亿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，折合径流深度251.9mm，径流系数0.28；20%、50%、75%、95%保证率地表水资源量（天然径流量）分别为19.39亿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、12.46亿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、8.58亿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、5.16亿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。地表水资源量最大的年份1991年，地表水资源量达46.16亿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；最小的年份1958年，地表水资源量只有3.87亿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；二者之间相差42.29亿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w:t>
      </w:r>
    </w:p>
    <w:p>
      <w:pPr>
        <w:adjustRightInd w:val="0"/>
        <w:snapToGrid w:val="0"/>
        <w:jc w:val="center"/>
        <w:rPr>
          <w:b/>
          <w:sz w:val="24"/>
        </w:rPr>
      </w:pPr>
    </w:p>
    <w:p>
      <w:pPr>
        <w:adjustRightInd w:val="0"/>
        <w:snapToGrid w:val="0"/>
        <w:jc w:val="center"/>
        <w:rPr>
          <w:rFonts w:hint="eastAsia" w:ascii="方正黑体_GBK" w:hAnsi="方正黑体_GBK" w:eastAsia="方正黑体_GBK" w:cs="方正黑体_GBK"/>
          <w:b/>
          <w:sz w:val="24"/>
        </w:rPr>
      </w:pPr>
      <w:r>
        <w:rPr>
          <w:rFonts w:hint="eastAsia" w:ascii="方正黑体_GBK" w:hAnsi="方正黑体_GBK" w:eastAsia="方正黑体_GBK" w:cs="方正黑体_GBK"/>
          <w:b/>
          <w:sz w:val="24"/>
        </w:rPr>
        <w:t xml:space="preserve">表3.1-4 淮南市水资源分区多年平均地表水资源量计算成果表    </w:t>
      </w:r>
      <w:r>
        <w:rPr>
          <w:rFonts w:hint="eastAsia" w:ascii="方正黑体_GBK" w:hAnsi="方正黑体_GBK" w:eastAsia="方正黑体_GBK" w:cs="方正黑体_GBK"/>
          <w:b/>
          <w:szCs w:val="21"/>
        </w:rPr>
        <w:t>单位：万m³</w:t>
      </w:r>
    </w:p>
    <w:tbl>
      <w:tblPr>
        <w:tblStyle w:val="12"/>
        <w:tblW w:w="0" w:type="auto"/>
        <w:tblInd w:w="-322" w:type="dxa"/>
        <w:tblLayout w:type="fixed"/>
        <w:tblCellMar>
          <w:top w:w="15" w:type="dxa"/>
          <w:left w:w="15" w:type="dxa"/>
          <w:bottom w:w="15" w:type="dxa"/>
          <w:right w:w="15" w:type="dxa"/>
        </w:tblCellMar>
      </w:tblPr>
      <w:tblGrid>
        <w:gridCol w:w="762"/>
        <w:gridCol w:w="874"/>
        <w:gridCol w:w="836"/>
        <w:gridCol w:w="818"/>
        <w:gridCol w:w="1915"/>
        <w:gridCol w:w="1225"/>
        <w:gridCol w:w="1283"/>
        <w:gridCol w:w="1208"/>
      </w:tblGrid>
      <w:tr>
        <w:tblPrEx>
          <w:tblCellMar>
            <w:top w:w="15" w:type="dxa"/>
            <w:left w:w="15" w:type="dxa"/>
            <w:bottom w:w="15" w:type="dxa"/>
            <w:right w:w="15" w:type="dxa"/>
          </w:tblCellMar>
        </w:tblPrEx>
        <w:trPr>
          <w:trHeight w:val="236" w:hRule="atLeast"/>
        </w:trPr>
        <w:tc>
          <w:tcPr>
            <w:tcW w:w="3289" w:type="dxa"/>
            <w:gridSpan w:val="4"/>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水资源分区</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行政分区</w:t>
            </w:r>
          </w:p>
        </w:tc>
        <w:tc>
          <w:tcPr>
            <w:tcW w:w="1225" w:type="dxa"/>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面积</w:t>
            </w:r>
          </w:p>
        </w:tc>
        <w:tc>
          <w:tcPr>
            <w:tcW w:w="1283" w:type="dxa"/>
            <w:vMerge w:val="restart"/>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多年平均</w:t>
            </w:r>
          </w:p>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降雨量</w:t>
            </w:r>
          </w:p>
        </w:tc>
        <w:tc>
          <w:tcPr>
            <w:tcW w:w="1208" w:type="dxa"/>
            <w:vMerge w:val="restart"/>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多年平均</w:t>
            </w:r>
          </w:p>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径流量</w:t>
            </w:r>
          </w:p>
        </w:tc>
      </w:tr>
      <w:tr>
        <w:tblPrEx>
          <w:tblCellMar>
            <w:top w:w="15" w:type="dxa"/>
            <w:left w:w="15" w:type="dxa"/>
            <w:bottom w:w="15" w:type="dxa"/>
            <w:right w:w="15" w:type="dxa"/>
          </w:tblCellMar>
        </w:tblPrEx>
        <w:trPr>
          <w:trHeight w:val="236" w:hRule="atLeast"/>
        </w:trPr>
        <w:tc>
          <w:tcPr>
            <w:tcW w:w="762" w:type="dxa"/>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一级区</w:t>
            </w:r>
          </w:p>
        </w:tc>
        <w:tc>
          <w:tcPr>
            <w:tcW w:w="874" w:type="dxa"/>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二级区</w:t>
            </w:r>
          </w:p>
        </w:tc>
        <w:tc>
          <w:tcPr>
            <w:tcW w:w="836" w:type="dxa"/>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三级区</w:t>
            </w:r>
          </w:p>
        </w:tc>
        <w:tc>
          <w:tcPr>
            <w:tcW w:w="817" w:type="dxa"/>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四级区</w:t>
            </w: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225" w:type="dxa"/>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(km</w:t>
            </w:r>
            <w:r>
              <w:rPr>
                <w:rFonts w:hint="default" w:ascii="Times New Roman" w:hAnsi="Times New Roman" w:eastAsia="方正仿宋_GBK" w:cs="Times New Roman"/>
                <w:kern w:val="0"/>
                <w:szCs w:val="21"/>
                <w:vertAlign w:val="superscript"/>
                <w:lang w:bidi="ar"/>
              </w:rPr>
              <w:t>2</w:t>
            </w:r>
            <w:r>
              <w:rPr>
                <w:rFonts w:hint="default" w:ascii="Times New Roman" w:hAnsi="Times New Roman" w:eastAsia="方正仿宋_GBK" w:cs="Times New Roman"/>
                <w:kern w:val="0"/>
                <w:szCs w:val="21"/>
                <w:lang w:bidi="ar"/>
              </w:rPr>
              <w:t>)</w:t>
            </w:r>
          </w:p>
        </w:tc>
        <w:tc>
          <w:tcPr>
            <w:tcW w:w="1283" w:type="dxa"/>
            <w:vMerge w:val="continue"/>
            <w:tcBorders>
              <w:top w:val="single" w:color="000000" w:sz="4" w:space="0"/>
              <w:left w:val="single" w:color="000000" w:sz="4" w:space="0"/>
              <w:bottom w:val="single" w:color="000000" w:sz="4" w:space="0"/>
              <w:right w:val="single" w:color="000000" w:sz="4" w:space="0"/>
            </w:tcBorders>
            <w:noWrap w:val="0"/>
            <w:vAlign w:val="bottom"/>
          </w:tcPr>
          <w:p>
            <w:pPr>
              <w:adjustRightInd w:val="0"/>
              <w:snapToGrid w:val="0"/>
              <w:jc w:val="center"/>
              <w:rPr>
                <w:rFonts w:hint="default" w:ascii="Times New Roman" w:hAnsi="Times New Roman" w:eastAsia="方正仿宋_GBK" w:cs="Times New Roman"/>
                <w:szCs w:val="21"/>
              </w:rPr>
            </w:pPr>
          </w:p>
        </w:tc>
        <w:tc>
          <w:tcPr>
            <w:tcW w:w="1208" w:type="dxa"/>
            <w:vMerge w:val="continue"/>
            <w:tcBorders>
              <w:top w:val="single" w:color="000000" w:sz="4" w:space="0"/>
              <w:left w:val="single" w:color="000000" w:sz="4" w:space="0"/>
              <w:bottom w:val="single" w:color="000000" w:sz="4" w:space="0"/>
              <w:right w:val="single" w:color="000000" w:sz="4" w:space="0"/>
            </w:tcBorders>
            <w:noWrap w:val="0"/>
            <w:vAlign w:val="bottom"/>
          </w:tcPr>
          <w:p>
            <w:pPr>
              <w:adjustRightInd w:val="0"/>
              <w:snapToGrid w:val="0"/>
              <w:jc w:val="center"/>
              <w:rPr>
                <w:rFonts w:hint="default" w:ascii="Times New Roman" w:hAnsi="Times New Roman" w:eastAsia="方正仿宋_GBK" w:cs="Times New Roman"/>
                <w:szCs w:val="21"/>
              </w:rPr>
            </w:pPr>
          </w:p>
        </w:tc>
      </w:tr>
      <w:tr>
        <w:tblPrEx>
          <w:tblCellMar>
            <w:top w:w="15" w:type="dxa"/>
            <w:left w:w="15" w:type="dxa"/>
            <w:bottom w:w="15" w:type="dxa"/>
            <w:right w:w="15" w:type="dxa"/>
          </w:tblCellMar>
        </w:tblPrEx>
        <w:trPr>
          <w:trHeight w:val="236" w:hRule="atLeast"/>
        </w:trPr>
        <w:tc>
          <w:tcPr>
            <w:tcW w:w="76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w:t>
            </w:r>
          </w:p>
        </w:tc>
        <w:tc>
          <w:tcPr>
            <w:tcW w:w="87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淮河中游</w:t>
            </w:r>
          </w:p>
        </w:tc>
        <w:tc>
          <w:tcPr>
            <w:tcW w:w="83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王蚌区间北岸</w:t>
            </w:r>
          </w:p>
        </w:tc>
        <w:tc>
          <w:tcPr>
            <w:tcW w:w="81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西淝河下段区</w:t>
            </w:r>
          </w:p>
        </w:tc>
        <w:tc>
          <w:tcPr>
            <w:tcW w:w="1915" w:type="dxa"/>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潘集区</w:t>
            </w:r>
          </w:p>
        </w:tc>
        <w:tc>
          <w:tcPr>
            <w:tcW w:w="122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600</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53575</w:t>
            </w:r>
          </w:p>
        </w:tc>
        <w:tc>
          <w:tcPr>
            <w:tcW w:w="120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15001</w:t>
            </w:r>
          </w:p>
        </w:tc>
      </w:tr>
      <w:tr>
        <w:tblPrEx>
          <w:tblCellMar>
            <w:top w:w="15" w:type="dxa"/>
            <w:left w:w="15" w:type="dxa"/>
            <w:bottom w:w="15" w:type="dxa"/>
            <w:right w:w="15" w:type="dxa"/>
          </w:tblCellMar>
        </w:tblPrEx>
        <w:trPr>
          <w:trHeight w:val="236"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74"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3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17"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915" w:type="dxa"/>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凤台县、毛集区</w:t>
            </w:r>
          </w:p>
        </w:tc>
        <w:tc>
          <w:tcPr>
            <w:tcW w:w="122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990</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88459</w:t>
            </w:r>
          </w:p>
        </w:tc>
        <w:tc>
          <w:tcPr>
            <w:tcW w:w="120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24769</w:t>
            </w:r>
          </w:p>
        </w:tc>
      </w:tr>
      <w:tr>
        <w:tblPrEx>
          <w:tblCellMar>
            <w:top w:w="15" w:type="dxa"/>
            <w:left w:w="15" w:type="dxa"/>
            <w:bottom w:w="15" w:type="dxa"/>
            <w:right w:w="15" w:type="dxa"/>
          </w:tblCellMar>
        </w:tblPrEx>
        <w:trPr>
          <w:trHeight w:val="236"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74"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3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17"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915" w:type="dxa"/>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小计</w:t>
            </w:r>
          </w:p>
        </w:tc>
        <w:tc>
          <w:tcPr>
            <w:tcW w:w="122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1590</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142034</w:t>
            </w:r>
          </w:p>
        </w:tc>
        <w:tc>
          <w:tcPr>
            <w:tcW w:w="120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39770</w:t>
            </w:r>
          </w:p>
        </w:tc>
      </w:tr>
      <w:tr>
        <w:tblPrEx>
          <w:tblCellMar>
            <w:top w:w="15" w:type="dxa"/>
            <w:left w:w="15" w:type="dxa"/>
            <w:bottom w:w="15" w:type="dxa"/>
            <w:right w:w="15" w:type="dxa"/>
          </w:tblCellMar>
        </w:tblPrEx>
        <w:trPr>
          <w:trHeight w:val="236"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74"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3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1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茨淮新河区</w:t>
            </w:r>
          </w:p>
        </w:tc>
        <w:tc>
          <w:tcPr>
            <w:tcW w:w="1915" w:type="dxa"/>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潘集区</w:t>
            </w:r>
          </w:p>
        </w:tc>
        <w:tc>
          <w:tcPr>
            <w:tcW w:w="122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1094</w:t>
            </w:r>
          </w:p>
        </w:tc>
        <w:tc>
          <w:tcPr>
            <w:tcW w:w="120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306</w:t>
            </w:r>
          </w:p>
        </w:tc>
      </w:tr>
      <w:tr>
        <w:tblPrEx>
          <w:tblCellMar>
            <w:top w:w="15" w:type="dxa"/>
            <w:left w:w="15" w:type="dxa"/>
            <w:bottom w:w="15" w:type="dxa"/>
            <w:right w:w="15" w:type="dxa"/>
          </w:tblCellMar>
        </w:tblPrEx>
        <w:trPr>
          <w:trHeight w:val="236"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74"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3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17"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915" w:type="dxa"/>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w:t>
            </w:r>
          </w:p>
        </w:tc>
        <w:tc>
          <w:tcPr>
            <w:tcW w:w="122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50</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4468</w:t>
            </w:r>
          </w:p>
        </w:tc>
        <w:tc>
          <w:tcPr>
            <w:tcW w:w="120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1251</w:t>
            </w:r>
          </w:p>
        </w:tc>
      </w:tr>
      <w:tr>
        <w:tblPrEx>
          <w:tblCellMar>
            <w:top w:w="15" w:type="dxa"/>
            <w:left w:w="15" w:type="dxa"/>
            <w:bottom w:w="15" w:type="dxa"/>
            <w:right w:w="15" w:type="dxa"/>
          </w:tblCellMar>
        </w:tblPrEx>
        <w:trPr>
          <w:trHeight w:val="236"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74"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3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17"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915" w:type="dxa"/>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小计</w:t>
            </w:r>
          </w:p>
        </w:tc>
        <w:tc>
          <w:tcPr>
            <w:tcW w:w="122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62</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5561</w:t>
            </w:r>
          </w:p>
        </w:tc>
        <w:tc>
          <w:tcPr>
            <w:tcW w:w="120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1557</w:t>
            </w:r>
          </w:p>
        </w:tc>
      </w:tr>
      <w:tr>
        <w:tblPrEx>
          <w:tblCellMar>
            <w:top w:w="15" w:type="dxa"/>
            <w:left w:w="15" w:type="dxa"/>
            <w:bottom w:w="15" w:type="dxa"/>
            <w:right w:w="15" w:type="dxa"/>
          </w:tblCellMar>
        </w:tblPrEx>
        <w:trPr>
          <w:trHeight w:val="236"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74"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3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2732" w:type="dxa"/>
            <w:gridSpan w:val="2"/>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合计</w:t>
            </w:r>
          </w:p>
        </w:tc>
        <w:tc>
          <w:tcPr>
            <w:tcW w:w="122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1652</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147595</w:t>
            </w:r>
          </w:p>
        </w:tc>
        <w:tc>
          <w:tcPr>
            <w:tcW w:w="120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41327</w:t>
            </w:r>
          </w:p>
        </w:tc>
      </w:tr>
      <w:tr>
        <w:tblPrEx>
          <w:tblCellMar>
            <w:top w:w="15" w:type="dxa"/>
            <w:left w:w="15" w:type="dxa"/>
            <w:bottom w:w="15" w:type="dxa"/>
            <w:right w:w="15" w:type="dxa"/>
          </w:tblCellMar>
        </w:tblPrEx>
        <w:trPr>
          <w:trHeight w:val="441"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74"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3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王蚌区间南岸</w:t>
            </w:r>
          </w:p>
        </w:tc>
        <w:tc>
          <w:tcPr>
            <w:tcW w:w="81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王蚌南岸沿淮区</w:t>
            </w:r>
          </w:p>
        </w:tc>
        <w:tc>
          <w:tcPr>
            <w:tcW w:w="1914" w:type="dxa"/>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淮河以南</w:t>
            </w:r>
          </w:p>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市区</w:t>
            </w:r>
          </w:p>
        </w:tc>
        <w:tc>
          <w:tcPr>
            <w:tcW w:w="122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884.4</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80595</w:t>
            </w:r>
          </w:p>
        </w:tc>
        <w:tc>
          <w:tcPr>
            <w:tcW w:w="120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22567</w:t>
            </w:r>
          </w:p>
        </w:tc>
      </w:tr>
      <w:tr>
        <w:tblPrEx>
          <w:tblCellMar>
            <w:top w:w="15" w:type="dxa"/>
            <w:left w:w="15" w:type="dxa"/>
            <w:bottom w:w="15" w:type="dxa"/>
            <w:right w:w="15" w:type="dxa"/>
          </w:tblCellMar>
        </w:tblPrEx>
        <w:trPr>
          <w:trHeight w:val="236"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74"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3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1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914" w:type="dxa"/>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w:t>
            </w:r>
          </w:p>
        </w:tc>
        <w:tc>
          <w:tcPr>
            <w:tcW w:w="122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60</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5361</w:t>
            </w:r>
          </w:p>
        </w:tc>
        <w:tc>
          <w:tcPr>
            <w:tcW w:w="120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1501</w:t>
            </w:r>
          </w:p>
        </w:tc>
      </w:tr>
      <w:tr>
        <w:tblPrEx>
          <w:tblCellMar>
            <w:top w:w="15" w:type="dxa"/>
            <w:left w:w="15" w:type="dxa"/>
            <w:bottom w:w="15" w:type="dxa"/>
            <w:right w:w="15" w:type="dxa"/>
          </w:tblCellMar>
        </w:tblPrEx>
        <w:trPr>
          <w:trHeight w:val="236"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74"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3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1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914" w:type="dxa"/>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122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2986</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268561</w:t>
            </w:r>
          </w:p>
        </w:tc>
        <w:tc>
          <w:tcPr>
            <w:tcW w:w="120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75197</w:t>
            </w:r>
          </w:p>
        </w:tc>
      </w:tr>
      <w:tr>
        <w:tblPrEx>
          <w:tblCellMar>
            <w:top w:w="15" w:type="dxa"/>
            <w:left w:w="15" w:type="dxa"/>
            <w:bottom w:w="15" w:type="dxa"/>
            <w:right w:w="15" w:type="dxa"/>
          </w:tblCellMar>
        </w:tblPrEx>
        <w:trPr>
          <w:trHeight w:val="236"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74"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3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1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914" w:type="dxa"/>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小计</w:t>
            </w:r>
          </w:p>
        </w:tc>
        <w:tc>
          <w:tcPr>
            <w:tcW w:w="122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3930.4</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354517</w:t>
            </w:r>
          </w:p>
        </w:tc>
        <w:tc>
          <w:tcPr>
            <w:tcW w:w="120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99267</w:t>
            </w:r>
          </w:p>
        </w:tc>
      </w:tr>
      <w:tr>
        <w:tblPrEx>
          <w:tblCellMar>
            <w:top w:w="15" w:type="dxa"/>
            <w:left w:w="15" w:type="dxa"/>
            <w:bottom w:w="15" w:type="dxa"/>
            <w:right w:w="15" w:type="dxa"/>
          </w:tblCellMar>
        </w:tblPrEx>
        <w:trPr>
          <w:trHeight w:val="244"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74"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3568" w:type="dxa"/>
            <w:gridSpan w:val="3"/>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总计</w:t>
            </w:r>
          </w:p>
        </w:tc>
        <w:tc>
          <w:tcPr>
            <w:tcW w:w="122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5582.4</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502113</w:t>
            </w:r>
          </w:p>
        </w:tc>
        <w:tc>
          <w:tcPr>
            <w:tcW w:w="120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140594</w:t>
            </w:r>
          </w:p>
        </w:tc>
      </w:tr>
    </w:tbl>
    <w:p>
      <w:pPr>
        <w:pStyle w:val="5"/>
        <w:keepNext w:val="0"/>
        <w:keepLines w:val="0"/>
        <w:pageBreakBefore w:val="0"/>
        <w:widowControl w:val="0"/>
        <w:kinsoku/>
        <w:wordWrap/>
        <w:overflowPunct/>
        <w:autoSpaceDE/>
        <w:autoSpaceDN/>
        <w:bidi w:val="0"/>
        <w:spacing w:line="590" w:lineRule="exact"/>
        <w:ind w:firstLine="0" w:firstLineChars="0"/>
        <w:rPr>
          <w:rFonts w:hint="eastAsia" w:ascii="方正楷体_GBK" w:hAnsi="方正楷体_GBK" w:eastAsia="方正楷体_GBK" w:cs="方正楷体_GBK"/>
          <w:b w:val="0"/>
          <w:bCs/>
          <w:sz w:val="32"/>
          <w:szCs w:val="32"/>
        </w:rPr>
      </w:pPr>
      <w:bookmarkStart w:id="91" w:name="_Toc13658"/>
      <w:bookmarkStart w:id="92" w:name="_Toc312309834"/>
      <w:r>
        <w:rPr>
          <w:rFonts w:hint="eastAsia" w:ascii="方正楷体_GBK" w:hAnsi="方正楷体_GBK" w:eastAsia="方正楷体_GBK" w:cs="方正楷体_GBK"/>
          <w:b w:val="0"/>
          <w:bCs/>
          <w:sz w:val="32"/>
          <w:szCs w:val="32"/>
        </w:rPr>
        <w:t>四、地下水资源量</w:t>
      </w:r>
      <w:bookmarkEnd w:id="91"/>
      <w:bookmarkEnd w:id="92"/>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（1）浅层地下水资源量</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淮南市多年平均浅层地下水资源量5.75亿m³，其中，与地表水重复计算量3.28亿m³，不重复计算量2.47亿m³。具体计算成果见表3.1-5。</w:t>
      </w:r>
    </w:p>
    <w:p>
      <w:pPr>
        <w:adjustRightInd w:val="0"/>
        <w:snapToGrid w:val="0"/>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表3.1-5 淮南市浅层地下水资源计算成果表  单位：万m³</w:t>
      </w:r>
    </w:p>
    <w:tbl>
      <w:tblPr>
        <w:tblStyle w:val="12"/>
        <w:tblW w:w="0" w:type="auto"/>
        <w:jc w:val="center"/>
        <w:tblLayout w:type="fixed"/>
        <w:tblCellMar>
          <w:top w:w="15" w:type="dxa"/>
          <w:left w:w="15" w:type="dxa"/>
          <w:bottom w:w="15" w:type="dxa"/>
          <w:right w:w="15" w:type="dxa"/>
        </w:tblCellMar>
      </w:tblPr>
      <w:tblGrid>
        <w:gridCol w:w="978"/>
        <w:gridCol w:w="899"/>
        <w:gridCol w:w="730"/>
        <w:gridCol w:w="978"/>
        <w:gridCol w:w="1116"/>
        <w:gridCol w:w="1120"/>
        <w:gridCol w:w="899"/>
        <w:gridCol w:w="993"/>
        <w:gridCol w:w="947"/>
      </w:tblGrid>
      <w:tr>
        <w:tblPrEx>
          <w:tblCellMar>
            <w:top w:w="15" w:type="dxa"/>
            <w:left w:w="15" w:type="dxa"/>
            <w:bottom w:w="15" w:type="dxa"/>
            <w:right w:w="15" w:type="dxa"/>
          </w:tblCellMar>
        </w:tblPrEx>
        <w:trPr>
          <w:trHeight w:val="90" w:hRule="atLeast"/>
          <w:jc w:val="center"/>
        </w:trPr>
        <w:tc>
          <w:tcPr>
            <w:tcW w:w="3585" w:type="dxa"/>
            <w:gridSpan w:val="4"/>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水资源分区</w:t>
            </w:r>
          </w:p>
        </w:tc>
        <w:tc>
          <w:tcPr>
            <w:tcW w:w="111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行政分区</w:t>
            </w:r>
          </w:p>
        </w:tc>
        <w:tc>
          <w:tcPr>
            <w:tcW w:w="1120" w:type="dxa"/>
            <w:vMerge w:val="restart"/>
            <w:tcBorders>
              <w:top w:val="single" w:color="000000" w:sz="4" w:space="0"/>
              <w:left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面积</w:t>
            </w:r>
          </w:p>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(km</w:t>
            </w:r>
            <w:r>
              <w:rPr>
                <w:rFonts w:hint="default" w:ascii="Times New Roman" w:hAnsi="Times New Roman" w:eastAsia="方正仿宋_GBK" w:cs="Times New Roman"/>
                <w:kern w:val="0"/>
                <w:szCs w:val="21"/>
                <w:vertAlign w:val="superscript"/>
                <w:lang w:bidi="ar"/>
              </w:rPr>
              <w:t>2</w:t>
            </w:r>
            <w:r>
              <w:rPr>
                <w:rFonts w:hint="default" w:ascii="Times New Roman" w:hAnsi="Times New Roman" w:eastAsia="方正仿宋_GBK" w:cs="Times New Roman"/>
                <w:kern w:val="0"/>
                <w:szCs w:val="21"/>
                <w:lang w:bidi="ar"/>
              </w:rPr>
              <w:t>)</w:t>
            </w:r>
          </w:p>
        </w:tc>
        <w:tc>
          <w:tcPr>
            <w:tcW w:w="899" w:type="dxa"/>
            <w:vMerge w:val="restart"/>
            <w:tcBorders>
              <w:top w:val="single" w:color="000000" w:sz="4" w:space="0"/>
              <w:left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地下水</w:t>
            </w:r>
          </w:p>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资源量</w:t>
            </w:r>
          </w:p>
        </w:tc>
        <w:tc>
          <w:tcPr>
            <w:tcW w:w="993" w:type="dxa"/>
            <w:vMerge w:val="restart"/>
            <w:tcBorders>
              <w:top w:val="single" w:color="000000" w:sz="4" w:space="0"/>
              <w:left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与地表水</w:t>
            </w:r>
          </w:p>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重复量</w:t>
            </w:r>
          </w:p>
        </w:tc>
        <w:tc>
          <w:tcPr>
            <w:tcW w:w="947" w:type="dxa"/>
            <w:vMerge w:val="restart"/>
            <w:tcBorders>
              <w:top w:val="single" w:color="000000" w:sz="4" w:space="0"/>
              <w:left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与地表水</w:t>
            </w:r>
          </w:p>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不重复量</w:t>
            </w:r>
          </w:p>
        </w:tc>
      </w:tr>
      <w:tr>
        <w:tblPrEx>
          <w:tblCellMar>
            <w:top w:w="15" w:type="dxa"/>
            <w:left w:w="15" w:type="dxa"/>
            <w:bottom w:w="15" w:type="dxa"/>
            <w:right w:w="15" w:type="dxa"/>
          </w:tblCellMar>
        </w:tblPrEx>
        <w:trPr>
          <w:trHeight w:val="90" w:hRule="atLeast"/>
          <w:jc w:val="center"/>
        </w:trPr>
        <w:tc>
          <w:tcPr>
            <w:tcW w:w="978" w:type="dxa"/>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一级区</w:t>
            </w:r>
          </w:p>
        </w:tc>
        <w:tc>
          <w:tcPr>
            <w:tcW w:w="899" w:type="dxa"/>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二级区</w:t>
            </w:r>
          </w:p>
        </w:tc>
        <w:tc>
          <w:tcPr>
            <w:tcW w:w="730" w:type="dxa"/>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三级区</w:t>
            </w:r>
          </w:p>
        </w:tc>
        <w:tc>
          <w:tcPr>
            <w:tcW w:w="978" w:type="dxa"/>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四级区</w:t>
            </w:r>
          </w:p>
        </w:tc>
        <w:tc>
          <w:tcPr>
            <w:tcW w:w="111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120" w:type="dxa"/>
            <w:vMerge w:val="continue"/>
            <w:tcBorders>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p>
        </w:tc>
        <w:tc>
          <w:tcPr>
            <w:tcW w:w="899" w:type="dxa"/>
            <w:vMerge w:val="continue"/>
            <w:tcBorders>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p>
        </w:tc>
        <w:tc>
          <w:tcPr>
            <w:tcW w:w="993" w:type="dxa"/>
            <w:vMerge w:val="continue"/>
            <w:tcBorders>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p>
        </w:tc>
        <w:tc>
          <w:tcPr>
            <w:tcW w:w="947" w:type="dxa"/>
            <w:vMerge w:val="continue"/>
            <w:tcBorders>
              <w:left w:val="single" w:color="000000" w:sz="4" w:space="0"/>
              <w:bottom w:val="single" w:color="000000" w:sz="4" w:space="0"/>
              <w:right w:val="single" w:color="000000" w:sz="4" w:space="0"/>
            </w:tcBorders>
            <w:noWrap w:val="0"/>
            <w:vAlign w:val="bottom"/>
          </w:tcPr>
          <w:p>
            <w:pPr>
              <w:widowControl/>
              <w:adjustRightInd w:val="0"/>
              <w:snapToGrid w:val="0"/>
              <w:jc w:val="center"/>
              <w:textAlignment w:val="bottom"/>
              <w:rPr>
                <w:rFonts w:hint="default" w:ascii="Times New Roman" w:hAnsi="Times New Roman" w:eastAsia="方正仿宋_GBK" w:cs="Times New Roman"/>
                <w:szCs w:val="21"/>
              </w:rPr>
            </w:pPr>
          </w:p>
        </w:tc>
      </w:tr>
      <w:tr>
        <w:tblPrEx>
          <w:tblCellMar>
            <w:top w:w="15" w:type="dxa"/>
            <w:left w:w="15" w:type="dxa"/>
            <w:bottom w:w="15" w:type="dxa"/>
            <w:right w:w="15" w:type="dxa"/>
          </w:tblCellMar>
        </w:tblPrEx>
        <w:trPr>
          <w:trHeight w:val="90" w:hRule="atLeast"/>
          <w:jc w:val="center"/>
        </w:trPr>
        <w:tc>
          <w:tcPr>
            <w:tcW w:w="97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w:t>
            </w:r>
          </w:p>
        </w:tc>
        <w:tc>
          <w:tcPr>
            <w:tcW w:w="899"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淮河中游</w:t>
            </w:r>
          </w:p>
        </w:tc>
        <w:tc>
          <w:tcPr>
            <w:tcW w:w="73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王蚌区间北岸</w:t>
            </w:r>
          </w:p>
        </w:tc>
        <w:tc>
          <w:tcPr>
            <w:tcW w:w="97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西淝河下段区</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潘集区</w:t>
            </w: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600</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10939 </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4208</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6731 </w:t>
            </w:r>
          </w:p>
        </w:tc>
      </w:tr>
      <w:tr>
        <w:tblPrEx>
          <w:tblCellMar>
            <w:top w:w="15" w:type="dxa"/>
            <w:left w:w="15" w:type="dxa"/>
            <w:bottom w:w="15" w:type="dxa"/>
            <w:right w:w="15" w:type="dxa"/>
          </w:tblCellMar>
        </w:tblPrEx>
        <w:trPr>
          <w:trHeight w:val="90" w:hRule="atLeast"/>
          <w:jc w:val="center"/>
        </w:trPr>
        <w:tc>
          <w:tcPr>
            <w:tcW w:w="97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99"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3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7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凤台县</w:t>
            </w:r>
          </w:p>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毛集区</w:t>
            </w: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831</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15150 </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5827</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9323 </w:t>
            </w:r>
          </w:p>
        </w:tc>
      </w:tr>
      <w:tr>
        <w:tblPrEx>
          <w:tblCellMar>
            <w:top w:w="15" w:type="dxa"/>
            <w:left w:w="15" w:type="dxa"/>
            <w:bottom w:w="15" w:type="dxa"/>
            <w:right w:w="15" w:type="dxa"/>
          </w:tblCellMar>
        </w:tblPrEx>
        <w:trPr>
          <w:trHeight w:val="90" w:hRule="atLeast"/>
          <w:jc w:val="center"/>
        </w:trPr>
        <w:tc>
          <w:tcPr>
            <w:tcW w:w="97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99"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3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7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小计</w:t>
            </w: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1431</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26089 </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10035</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16054 </w:t>
            </w:r>
          </w:p>
        </w:tc>
      </w:tr>
      <w:tr>
        <w:tblPrEx>
          <w:tblCellMar>
            <w:top w:w="15" w:type="dxa"/>
            <w:left w:w="15" w:type="dxa"/>
            <w:bottom w:w="15" w:type="dxa"/>
            <w:right w:w="15" w:type="dxa"/>
          </w:tblCellMar>
        </w:tblPrEx>
        <w:trPr>
          <w:trHeight w:val="90" w:hRule="atLeast"/>
          <w:jc w:val="center"/>
        </w:trPr>
        <w:tc>
          <w:tcPr>
            <w:tcW w:w="97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99"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3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7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茨淮新河区</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潘集区</w:t>
            </w: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10</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182 </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70</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112 </w:t>
            </w:r>
          </w:p>
        </w:tc>
      </w:tr>
      <w:tr>
        <w:tblPrEx>
          <w:tblCellMar>
            <w:top w:w="15" w:type="dxa"/>
            <w:left w:w="15" w:type="dxa"/>
            <w:bottom w:w="15" w:type="dxa"/>
            <w:right w:w="15" w:type="dxa"/>
          </w:tblCellMar>
        </w:tblPrEx>
        <w:trPr>
          <w:trHeight w:val="90" w:hRule="atLeast"/>
          <w:jc w:val="center"/>
        </w:trPr>
        <w:tc>
          <w:tcPr>
            <w:tcW w:w="97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99"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3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7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w:t>
            </w: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40</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729 </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280</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449 </w:t>
            </w:r>
          </w:p>
        </w:tc>
      </w:tr>
      <w:tr>
        <w:tblPrEx>
          <w:tblCellMar>
            <w:top w:w="15" w:type="dxa"/>
            <w:left w:w="15" w:type="dxa"/>
            <w:bottom w:w="15" w:type="dxa"/>
            <w:right w:w="15" w:type="dxa"/>
          </w:tblCellMar>
        </w:tblPrEx>
        <w:trPr>
          <w:trHeight w:val="90" w:hRule="atLeast"/>
          <w:jc w:val="center"/>
        </w:trPr>
        <w:tc>
          <w:tcPr>
            <w:tcW w:w="97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99"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3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7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小计</w:t>
            </w: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50</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911 </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350</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561 </w:t>
            </w:r>
          </w:p>
        </w:tc>
      </w:tr>
      <w:tr>
        <w:tblPrEx>
          <w:tblCellMar>
            <w:top w:w="15" w:type="dxa"/>
            <w:left w:w="15" w:type="dxa"/>
            <w:bottom w:w="15" w:type="dxa"/>
            <w:right w:w="15" w:type="dxa"/>
          </w:tblCellMar>
        </w:tblPrEx>
        <w:trPr>
          <w:trHeight w:val="90" w:hRule="atLeast"/>
          <w:jc w:val="center"/>
        </w:trPr>
        <w:tc>
          <w:tcPr>
            <w:tcW w:w="97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99"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3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2094"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合计</w:t>
            </w: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1481</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27000 </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10385</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16615 </w:t>
            </w:r>
          </w:p>
        </w:tc>
      </w:tr>
      <w:tr>
        <w:tblPrEx>
          <w:tblCellMar>
            <w:top w:w="15" w:type="dxa"/>
            <w:left w:w="15" w:type="dxa"/>
            <w:bottom w:w="15" w:type="dxa"/>
            <w:right w:w="15" w:type="dxa"/>
          </w:tblCellMar>
        </w:tblPrEx>
        <w:trPr>
          <w:trHeight w:val="90" w:hRule="atLeast"/>
          <w:jc w:val="center"/>
        </w:trPr>
        <w:tc>
          <w:tcPr>
            <w:tcW w:w="97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99"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3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王蚌区间南岸</w:t>
            </w:r>
          </w:p>
        </w:tc>
        <w:tc>
          <w:tcPr>
            <w:tcW w:w="97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王蚌南岸沿淮区</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淮河以</w:t>
            </w:r>
          </w:p>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南市区</w:t>
            </w: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891</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5599 </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5384</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215 </w:t>
            </w:r>
          </w:p>
        </w:tc>
      </w:tr>
      <w:tr>
        <w:tblPrEx>
          <w:tblCellMar>
            <w:top w:w="15" w:type="dxa"/>
            <w:left w:w="15" w:type="dxa"/>
            <w:bottom w:w="15" w:type="dxa"/>
            <w:right w:w="15" w:type="dxa"/>
          </w:tblCellMar>
        </w:tblPrEx>
        <w:trPr>
          <w:trHeight w:val="90" w:hRule="atLeast"/>
          <w:jc w:val="center"/>
        </w:trPr>
        <w:tc>
          <w:tcPr>
            <w:tcW w:w="97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99"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3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7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w:t>
            </w: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32</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201 </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124</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77 </w:t>
            </w:r>
          </w:p>
        </w:tc>
      </w:tr>
      <w:tr>
        <w:tblPrEx>
          <w:tblCellMar>
            <w:top w:w="15" w:type="dxa"/>
            <w:left w:w="15" w:type="dxa"/>
            <w:bottom w:w="15" w:type="dxa"/>
            <w:right w:w="15" w:type="dxa"/>
          </w:tblCellMar>
        </w:tblPrEx>
        <w:trPr>
          <w:trHeight w:val="90" w:hRule="atLeast"/>
          <w:jc w:val="center"/>
        </w:trPr>
        <w:tc>
          <w:tcPr>
            <w:tcW w:w="97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99"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3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7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2738</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24732 </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16932</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7800</w:t>
            </w:r>
          </w:p>
        </w:tc>
      </w:tr>
      <w:tr>
        <w:tblPrEx>
          <w:tblCellMar>
            <w:top w:w="15" w:type="dxa"/>
            <w:left w:w="15" w:type="dxa"/>
            <w:bottom w:w="15" w:type="dxa"/>
            <w:right w:w="15" w:type="dxa"/>
          </w:tblCellMar>
        </w:tblPrEx>
        <w:trPr>
          <w:trHeight w:val="90" w:hRule="atLeast"/>
          <w:jc w:val="center"/>
        </w:trPr>
        <w:tc>
          <w:tcPr>
            <w:tcW w:w="97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99"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3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7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小计</w:t>
            </w: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3661</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30532 </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22440</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8092 </w:t>
            </w:r>
          </w:p>
        </w:tc>
      </w:tr>
      <w:tr>
        <w:tblPrEx>
          <w:tblCellMar>
            <w:top w:w="15" w:type="dxa"/>
            <w:left w:w="15" w:type="dxa"/>
            <w:bottom w:w="15" w:type="dxa"/>
            <w:right w:w="15" w:type="dxa"/>
          </w:tblCellMar>
        </w:tblPrEx>
        <w:trPr>
          <w:trHeight w:val="90" w:hRule="atLeast"/>
          <w:jc w:val="center"/>
        </w:trPr>
        <w:tc>
          <w:tcPr>
            <w:tcW w:w="97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899"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2824"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总计</w:t>
            </w: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5142</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57532 </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32825</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24707 </w:t>
            </w:r>
          </w:p>
        </w:tc>
      </w:tr>
    </w:tbl>
    <w:p>
      <w:pPr>
        <w:keepNext w:val="0"/>
        <w:keepLines w:val="0"/>
        <w:pageBreakBefore w:val="0"/>
        <w:widowControl w:val="0"/>
        <w:kinsoku/>
        <w:wordWrap/>
        <w:overflowPunct/>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（2）中深层地下水</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淮南市中深层地下水资源量约为2.34亿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，其中可开采量约为1.55亿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/a，折合日可开采量42.5万</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/d。具体计算结果见表3.1-6。</w:t>
      </w:r>
    </w:p>
    <w:p>
      <w:pPr>
        <w:adjustRightInd w:val="0"/>
        <w:snapToGrid w:val="0"/>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表3.1-6 淮南市中深层地下水资源计算成果表</w:t>
      </w:r>
    </w:p>
    <w:tbl>
      <w:tblPr>
        <w:tblStyle w:val="12"/>
        <w:tblW w:w="0" w:type="auto"/>
        <w:jc w:val="center"/>
        <w:tblLayout w:type="fixed"/>
        <w:tblCellMar>
          <w:top w:w="15" w:type="dxa"/>
          <w:left w:w="15" w:type="dxa"/>
          <w:bottom w:w="15" w:type="dxa"/>
          <w:right w:w="15" w:type="dxa"/>
        </w:tblCellMar>
      </w:tblPr>
      <w:tblGrid>
        <w:gridCol w:w="1062"/>
        <w:gridCol w:w="912"/>
        <w:gridCol w:w="1013"/>
        <w:gridCol w:w="1096"/>
        <w:gridCol w:w="1095"/>
        <w:gridCol w:w="1610"/>
        <w:gridCol w:w="1061"/>
        <w:gridCol w:w="1112"/>
      </w:tblGrid>
      <w:tr>
        <w:tblPrEx>
          <w:tblCellMar>
            <w:top w:w="15" w:type="dxa"/>
            <w:left w:w="15" w:type="dxa"/>
            <w:bottom w:w="15" w:type="dxa"/>
            <w:right w:w="15" w:type="dxa"/>
          </w:tblCellMar>
        </w:tblPrEx>
        <w:trPr>
          <w:trHeight w:val="90" w:hRule="atLeast"/>
          <w:jc w:val="center"/>
        </w:trPr>
        <w:tc>
          <w:tcPr>
            <w:tcW w:w="6788" w:type="dxa"/>
            <w:gridSpan w:val="6"/>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计算分区</w:t>
            </w:r>
          </w:p>
        </w:tc>
        <w:tc>
          <w:tcPr>
            <w:tcW w:w="106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18"/>
                <w:szCs w:val="18"/>
                <w:lang w:eastAsia="zh-CN" w:bidi="ar"/>
              </w:rPr>
            </w:pPr>
            <w:r>
              <w:rPr>
                <w:rFonts w:hint="default" w:ascii="Times New Roman" w:hAnsi="Times New Roman" w:eastAsia="方正仿宋_GBK" w:cs="Times New Roman"/>
                <w:kern w:val="0"/>
                <w:sz w:val="18"/>
                <w:szCs w:val="18"/>
                <w:lang w:bidi="ar"/>
              </w:rPr>
              <w:t>水资源量</w:t>
            </w:r>
          </w:p>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（万m³/a）</w:t>
            </w:r>
          </w:p>
        </w:tc>
        <w:tc>
          <w:tcPr>
            <w:tcW w:w="111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18"/>
                <w:szCs w:val="18"/>
                <w:lang w:eastAsia="zh-CN" w:bidi="ar"/>
              </w:rPr>
            </w:pPr>
            <w:r>
              <w:rPr>
                <w:rFonts w:hint="default" w:ascii="Times New Roman" w:hAnsi="Times New Roman" w:eastAsia="方正仿宋_GBK" w:cs="Times New Roman"/>
                <w:kern w:val="0"/>
                <w:sz w:val="18"/>
                <w:szCs w:val="18"/>
                <w:lang w:bidi="ar"/>
              </w:rPr>
              <w:t>可开采量</w:t>
            </w:r>
          </w:p>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（万m³/a）</w:t>
            </w:r>
          </w:p>
        </w:tc>
      </w:tr>
      <w:tr>
        <w:tblPrEx>
          <w:tblCellMar>
            <w:top w:w="15" w:type="dxa"/>
            <w:left w:w="15" w:type="dxa"/>
            <w:bottom w:w="15" w:type="dxa"/>
            <w:right w:w="15" w:type="dxa"/>
          </w:tblCellMar>
        </w:tblPrEx>
        <w:trPr>
          <w:trHeight w:val="90" w:hRule="atLeast"/>
          <w:jc w:val="center"/>
        </w:trPr>
        <w:tc>
          <w:tcPr>
            <w:tcW w:w="106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地质分区</w:t>
            </w:r>
          </w:p>
        </w:tc>
        <w:tc>
          <w:tcPr>
            <w:tcW w:w="91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水资源</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水资源</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行政分区</w:t>
            </w:r>
          </w:p>
        </w:tc>
        <w:tc>
          <w:tcPr>
            <w:tcW w:w="109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地下水类型</w:t>
            </w:r>
          </w:p>
        </w:tc>
        <w:tc>
          <w:tcPr>
            <w:tcW w:w="161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计算面积</w:t>
            </w:r>
          </w:p>
        </w:tc>
        <w:tc>
          <w:tcPr>
            <w:tcW w:w="1061"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111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r>
      <w:tr>
        <w:tblPrEx>
          <w:tblCellMar>
            <w:top w:w="15" w:type="dxa"/>
            <w:left w:w="15" w:type="dxa"/>
            <w:bottom w:w="15" w:type="dxa"/>
            <w:right w:w="15" w:type="dxa"/>
          </w:tblCellMar>
        </w:tblPrEx>
        <w:trPr>
          <w:trHeight w:val="9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91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三级区</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四级区</w:t>
            </w: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1095"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161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1061"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111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r>
      <w:tr>
        <w:tblPrEx>
          <w:tblCellMar>
            <w:top w:w="15" w:type="dxa"/>
            <w:left w:w="15" w:type="dxa"/>
            <w:bottom w:w="15" w:type="dxa"/>
            <w:right w:w="15" w:type="dxa"/>
          </w:tblCellMar>
        </w:tblPrEx>
        <w:trPr>
          <w:trHeight w:val="90" w:hRule="atLeast"/>
          <w:jc w:val="center"/>
        </w:trPr>
        <w:tc>
          <w:tcPr>
            <w:tcW w:w="106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淮北平原（I）南部河谷及河间平原（Ⅰ</w:t>
            </w:r>
            <w:r>
              <w:rPr>
                <w:rFonts w:hint="default" w:ascii="Times New Roman" w:hAnsi="Times New Roman" w:eastAsia="方正仿宋_GBK" w:cs="Times New Roman"/>
                <w:kern w:val="0"/>
                <w:sz w:val="18"/>
                <w:szCs w:val="18"/>
                <w:vertAlign w:val="subscript"/>
                <w:lang w:bidi="ar"/>
              </w:rPr>
              <w:t>3</w:t>
            </w:r>
            <w:r>
              <w:rPr>
                <w:rFonts w:hint="default" w:ascii="Times New Roman" w:hAnsi="Times New Roman" w:eastAsia="方正仿宋_GBK" w:cs="Times New Roman"/>
                <w:kern w:val="0"/>
                <w:sz w:val="18"/>
                <w:szCs w:val="18"/>
                <w:lang w:bidi="ar"/>
              </w:rPr>
              <w:t>）区</w:t>
            </w:r>
          </w:p>
        </w:tc>
        <w:tc>
          <w:tcPr>
            <w:tcW w:w="912" w:type="dxa"/>
            <w:vMerge w:val="restart"/>
            <w:tcBorders>
              <w:top w:val="single" w:color="000000" w:sz="4" w:space="0"/>
              <w:left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 w:val="18"/>
                <w:szCs w:val="18"/>
                <w:lang w:bidi="ar"/>
              </w:rPr>
            </w:pPr>
            <w:r>
              <w:rPr>
                <w:rFonts w:hint="default" w:ascii="Times New Roman" w:hAnsi="Times New Roman" w:eastAsia="方正仿宋_GBK" w:cs="Times New Roman"/>
                <w:kern w:val="0"/>
                <w:sz w:val="18"/>
                <w:szCs w:val="18"/>
                <w:lang w:bidi="ar"/>
              </w:rPr>
              <w:t>王蚌区</w:t>
            </w:r>
          </w:p>
          <w:p>
            <w:pPr>
              <w:widowControl/>
              <w:adjustRightInd w:val="0"/>
              <w:snapToGrid w:val="0"/>
              <w:jc w:val="center"/>
              <w:textAlignment w:val="bottom"/>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间北岸</w:t>
            </w:r>
          </w:p>
        </w:tc>
        <w:tc>
          <w:tcPr>
            <w:tcW w:w="1013" w:type="dxa"/>
            <w:vMerge w:val="restart"/>
            <w:tcBorders>
              <w:top w:val="single" w:color="000000" w:sz="4" w:space="0"/>
              <w:left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 w:val="18"/>
                <w:szCs w:val="18"/>
                <w:lang w:bidi="ar"/>
              </w:rPr>
            </w:pPr>
            <w:r>
              <w:rPr>
                <w:rFonts w:hint="default" w:ascii="Times New Roman" w:hAnsi="Times New Roman" w:eastAsia="方正仿宋_GBK" w:cs="Times New Roman"/>
                <w:kern w:val="0"/>
                <w:sz w:val="18"/>
                <w:szCs w:val="18"/>
                <w:lang w:bidi="ar"/>
              </w:rPr>
              <w:t>西淝河</w:t>
            </w:r>
          </w:p>
          <w:p>
            <w:pPr>
              <w:widowControl/>
              <w:adjustRightInd w:val="0"/>
              <w:snapToGrid w:val="0"/>
              <w:jc w:val="center"/>
              <w:textAlignment w:val="bottom"/>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下段区</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潘集区</w:t>
            </w:r>
          </w:p>
        </w:tc>
        <w:tc>
          <w:tcPr>
            <w:tcW w:w="109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孔隙水</w:t>
            </w:r>
          </w:p>
        </w:tc>
        <w:tc>
          <w:tcPr>
            <w:tcW w:w="16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600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5254</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3232</w:t>
            </w:r>
          </w:p>
        </w:tc>
      </w:tr>
      <w:tr>
        <w:tblPrEx>
          <w:tblCellMar>
            <w:top w:w="15" w:type="dxa"/>
            <w:left w:w="15" w:type="dxa"/>
            <w:bottom w:w="15" w:type="dxa"/>
            <w:right w:w="15" w:type="dxa"/>
          </w:tblCellMar>
        </w:tblPrEx>
        <w:trPr>
          <w:trHeight w:val="9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912" w:type="dxa"/>
            <w:vMerge w:val="continue"/>
            <w:tcBorders>
              <w:left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 w:val="18"/>
                <w:szCs w:val="18"/>
              </w:rPr>
            </w:pPr>
          </w:p>
        </w:tc>
        <w:tc>
          <w:tcPr>
            <w:tcW w:w="1013" w:type="dxa"/>
            <w:vMerge w:val="continue"/>
            <w:tcBorders>
              <w:left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 w:val="18"/>
                <w:szCs w:val="18"/>
              </w:rPr>
            </w:pP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 w:val="18"/>
                <w:szCs w:val="18"/>
                <w:lang w:bidi="ar"/>
              </w:rPr>
            </w:pPr>
            <w:r>
              <w:rPr>
                <w:rFonts w:hint="default" w:ascii="Times New Roman" w:hAnsi="Times New Roman" w:eastAsia="方正仿宋_GBK" w:cs="Times New Roman"/>
                <w:kern w:val="0"/>
                <w:sz w:val="18"/>
                <w:szCs w:val="18"/>
                <w:lang w:bidi="ar"/>
              </w:rPr>
              <w:t>凤台县</w:t>
            </w:r>
          </w:p>
          <w:p>
            <w:pPr>
              <w:widowControl/>
              <w:adjustRightInd w:val="0"/>
              <w:snapToGrid w:val="0"/>
              <w:jc w:val="center"/>
              <w:textAlignment w:val="bottom"/>
              <w:rPr>
                <w:rFonts w:hint="default" w:ascii="Times New Roman" w:hAnsi="Times New Roman" w:eastAsia="方正仿宋_GBK" w:cs="Times New Roman"/>
                <w:kern w:val="0"/>
                <w:sz w:val="18"/>
                <w:szCs w:val="18"/>
                <w:lang w:bidi="ar"/>
              </w:rPr>
            </w:pPr>
            <w:r>
              <w:rPr>
                <w:rFonts w:hint="default" w:ascii="Times New Roman" w:hAnsi="Times New Roman" w:eastAsia="方正仿宋_GBK" w:cs="Times New Roman"/>
                <w:kern w:val="0"/>
                <w:sz w:val="18"/>
                <w:szCs w:val="18"/>
                <w:lang w:bidi="ar"/>
              </w:rPr>
              <w:t>毛集</w:t>
            </w:r>
          </w:p>
        </w:tc>
        <w:tc>
          <w:tcPr>
            <w:tcW w:w="1095"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16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990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4960</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3622</w:t>
            </w:r>
          </w:p>
        </w:tc>
      </w:tr>
      <w:tr>
        <w:tblPrEx>
          <w:tblCellMar>
            <w:top w:w="15" w:type="dxa"/>
            <w:left w:w="15" w:type="dxa"/>
            <w:bottom w:w="15" w:type="dxa"/>
            <w:right w:w="15" w:type="dxa"/>
          </w:tblCellMar>
        </w:tblPrEx>
        <w:trPr>
          <w:trHeight w:val="9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912" w:type="dxa"/>
            <w:vMerge w:val="continue"/>
            <w:tcBorders>
              <w:left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1013" w:type="dxa"/>
            <w:vMerge w:val="continue"/>
            <w:tcBorders>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 w:val="18"/>
                <w:szCs w:val="18"/>
              </w:rPr>
            </w:pPr>
            <w:r>
              <w:rPr>
                <w:rFonts w:hint="default" w:ascii="Times New Roman" w:hAnsi="Times New Roman" w:eastAsia="方正仿宋_GBK" w:cs="Times New Roman"/>
                <w:b/>
                <w:bCs/>
                <w:kern w:val="0"/>
                <w:sz w:val="18"/>
                <w:szCs w:val="18"/>
                <w:lang w:bidi="ar"/>
              </w:rPr>
              <w:t>小计</w:t>
            </w:r>
          </w:p>
        </w:tc>
        <w:tc>
          <w:tcPr>
            <w:tcW w:w="1095"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16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1590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10214</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6854</w:t>
            </w:r>
          </w:p>
        </w:tc>
      </w:tr>
      <w:tr>
        <w:tblPrEx>
          <w:tblCellMar>
            <w:top w:w="15" w:type="dxa"/>
            <w:left w:w="15" w:type="dxa"/>
            <w:bottom w:w="15" w:type="dxa"/>
            <w:right w:w="15" w:type="dxa"/>
          </w:tblCellMar>
        </w:tblPrEx>
        <w:trPr>
          <w:trHeight w:val="9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912" w:type="dxa"/>
            <w:vMerge w:val="continue"/>
            <w:tcBorders>
              <w:left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1013" w:type="dxa"/>
            <w:vMerge w:val="restart"/>
            <w:tcBorders>
              <w:top w:val="single" w:color="000000" w:sz="4" w:space="0"/>
              <w:left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 w:val="18"/>
                <w:szCs w:val="18"/>
                <w:lang w:bidi="ar"/>
              </w:rPr>
            </w:pPr>
            <w:r>
              <w:rPr>
                <w:rFonts w:hint="default" w:ascii="Times New Roman" w:hAnsi="Times New Roman" w:eastAsia="方正仿宋_GBK" w:cs="Times New Roman"/>
                <w:kern w:val="0"/>
                <w:sz w:val="18"/>
                <w:szCs w:val="18"/>
                <w:lang w:bidi="ar"/>
              </w:rPr>
              <w:t>茨淮新</w:t>
            </w:r>
          </w:p>
          <w:p>
            <w:pPr>
              <w:widowControl/>
              <w:adjustRightInd w:val="0"/>
              <w:snapToGrid w:val="0"/>
              <w:jc w:val="center"/>
              <w:textAlignment w:val="bottom"/>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河区</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潘集区</w:t>
            </w:r>
          </w:p>
        </w:tc>
        <w:tc>
          <w:tcPr>
            <w:tcW w:w="1095"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16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12</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122</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75</w:t>
            </w:r>
          </w:p>
        </w:tc>
      </w:tr>
      <w:tr>
        <w:tblPrEx>
          <w:tblCellMar>
            <w:top w:w="15" w:type="dxa"/>
            <w:left w:w="15" w:type="dxa"/>
            <w:bottom w:w="15" w:type="dxa"/>
            <w:right w:w="15" w:type="dxa"/>
          </w:tblCellMar>
        </w:tblPrEx>
        <w:trPr>
          <w:trHeight w:val="9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912" w:type="dxa"/>
            <w:vMerge w:val="continue"/>
            <w:tcBorders>
              <w:left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1013" w:type="dxa"/>
            <w:vMerge w:val="continue"/>
            <w:tcBorders>
              <w:left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 w:val="18"/>
                <w:szCs w:val="18"/>
              </w:rPr>
            </w:pP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凤台县</w:t>
            </w:r>
          </w:p>
        </w:tc>
        <w:tc>
          <w:tcPr>
            <w:tcW w:w="1095"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16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50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331</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241</w:t>
            </w:r>
          </w:p>
        </w:tc>
      </w:tr>
      <w:tr>
        <w:tblPrEx>
          <w:tblCellMar>
            <w:top w:w="15" w:type="dxa"/>
            <w:left w:w="15" w:type="dxa"/>
            <w:bottom w:w="15" w:type="dxa"/>
            <w:right w:w="15" w:type="dxa"/>
          </w:tblCellMar>
        </w:tblPrEx>
        <w:trPr>
          <w:trHeight w:val="9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912" w:type="dxa"/>
            <w:vMerge w:val="continue"/>
            <w:tcBorders>
              <w:left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1013" w:type="dxa"/>
            <w:vMerge w:val="continue"/>
            <w:tcBorders>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 w:val="18"/>
                <w:szCs w:val="18"/>
              </w:rPr>
            </w:pPr>
            <w:r>
              <w:rPr>
                <w:rFonts w:hint="default" w:ascii="Times New Roman" w:hAnsi="Times New Roman" w:eastAsia="方正仿宋_GBK" w:cs="Times New Roman"/>
                <w:b/>
                <w:bCs/>
                <w:kern w:val="0"/>
                <w:sz w:val="18"/>
                <w:szCs w:val="18"/>
                <w:lang w:bidi="ar"/>
              </w:rPr>
              <w:t>小计</w:t>
            </w:r>
          </w:p>
        </w:tc>
        <w:tc>
          <w:tcPr>
            <w:tcW w:w="1095"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16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62</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453</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316</w:t>
            </w:r>
          </w:p>
        </w:tc>
      </w:tr>
      <w:tr>
        <w:tblPrEx>
          <w:tblCellMar>
            <w:top w:w="15" w:type="dxa"/>
            <w:left w:w="15" w:type="dxa"/>
            <w:bottom w:w="15" w:type="dxa"/>
            <w:right w:w="15" w:type="dxa"/>
          </w:tblCellMar>
        </w:tblPrEx>
        <w:trPr>
          <w:trHeight w:val="9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912" w:type="dxa"/>
            <w:vMerge w:val="continue"/>
            <w:tcBorders>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2109"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 w:val="18"/>
                <w:szCs w:val="18"/>
              </w:rPr>
            </w:pPr>
            <w:r>
              <w:rPr>
                <w:rFonts w:hint="default" w:ascii="Times New Roman" w:hAnsi="Times New Roman" w:eastAsia="方正仿宋_GBK" w:cs="Times New Roman"/>
                <w:b/>
                <w:bCs/>
                <w:kern w:val="0"/>
                <w:sz w:val="18"/>
                <w:szCs w:val="18"/>
                <w:lang w:bidi="ar"/>
              </w:rPr>
              <w:t>合计</w:t>
            </w:r>
          </w:p>
        </w:tc>
        <w:tc>
          <w:tcPr>
            <w:tcW w:w="1095"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16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b/>
                <w:bCs/>
                <w:sz w:val="18"/>
                <w:szCs w:val="18"/>
              </w:rPr>
            </w:pPr>
            <w:r>
              <w:rPr>
                <w:rFonts w:hint="default" w:ascii="Times New Roman" w:hAnsi="Times New Roman" w:eastAsia="方正仿宋_GBK" w:cs="Times New Roman"/>
                <w:b/>
                <w:bCs/>
                <w:kern w:val="0"/>
                <w:sz w:val="18"/>
                <w:szCs w:val="18"/>
                <w:lang w:bidi="ar"/>
              </w:rPr>
              <w:t>1652</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b/>
                <w:bCs/>
                <w:sz w:val="18"/>
                <w:szCs w:val="18"/>
              </w:rPr>
            </w:pPr>
            <w:r>
              <w:rPr>
                <w:rFonts w:hint="default" w:ascii="Times New Roman" w:hAnsi="Times New Roman" w:eastAsia="方正仿宋_GBK" w:cs="Times New Roman"/>
                <w:b/>
                <w:bCs/>
                <w:kern w:val="0"/>
                <w:sz w:val="18"/>
                <w:szCs w:val="18"/>
                <w:lang w:bidi="ar"/>
              </w:rPr>
              <w:t>10667</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b/>
                <w:bCs/>
                <w:sz w:val="18"/>
                <w:szCs w:val="18"/>
              </w:rPr>
            </w:pPr>
            <w:r>
              <w:rPr>
                <w:rFonts w:hint="default" w:ascii="Times New Roman" w:hAnsi="Times New Roman" w:eastAsia="方正仿宋_GBK" w:cs="Times New Roman"/>
                <w:b/>
                <w:bCs/>
                <w:kern w:val="0"/>
                <w:sz w:val="18"/>
                <w:szCs w:val="18"/>
                <w:lang w:bidi="ar"/>
              </w:rPr>
              <w:t>7170</w:t>
            </w:r>
          </w:p>
        </w:tc>
      </w:tr>
      <w:tr>
        <w:tblPrEx>
          <w:tblCellMar>
            <w:top w:w="15" w:type="dxa"/>
            <w:left w:w="15" w:type="dxa"/>
            <w:bottom w:w="15" w:type="dxa"/>
            <w:right w:w="15" w:type="dxa"/>
          </w:tblCellMar>
        </w:tblPrEx>
        <w:trPr>
          <w:trHeight w:val="90" w:hRule="atLeast"/>
          <w:jc w:val="center"/>
        </w:trPr>
        <w:tc>
          <w:tcPr>
            <w:tcW w:w="106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江淮波状平原（Ⅱ）北部丘陵波状平原（Ⅱ1）区</w:t>
            </w:r>
          </w:p>
        </w:tc>
        <w:tc>
          <w:tcPr>
            <w:tcW w:w="91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 w:val="18"/>
                <w:szCs w:val="18"/>
                <w:lang w:bidi="ar"/>
              </w:rPr>
            </w:pPr>
            <w:r>
              <w:rPr>
                <w:rFonts w:hint="default" w:ascii="Times New Roman" w:hAnsi="Times New Roman" w:eastAsia="方正仿宋_GBK" w:cs="Times New Roman"/>
                <w:kern w:val="0"/>
                <w:sz w:val="18"/>
                <w:szCs w:val="18"/>
                <w:lang w:bidi="ar"/>
              </w:rPr>
              <w:t>王蚌区</w:t>
            </w:r>
          </w:p>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间南岸</w:t>
            </w:r>
          </w:p>
        </w:tc>
        <w:tc>
          <w:tcPr>
            <w:tcW w:w="1013" w:type="dxa"/>
            <w:vMerge w:val="restart"/>
            <w:tcBorders>
              <w:top w:val="single" w:color="000000" w:sz="4" w:space="0"/>
              <w:left w:val="single" w:color="000000"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 w:val="18"/>
                <w:szCs w:val="18"/>
                <w:lang w:bidi="ar"/>
              </w:rPr>
            </w:pPr>
            <w:r>
              <w:rPr>
                <w:rFonts w:hint="default" w:ascii="Times New Roman" w:hAnsi="Times New Roman" w:eastAsia="方正仿宋_GBK" w:cs="Times New Roman"/>
                <w:kern w:val="0"/>
                <w:sz w:val="18"/>
                <w:szCs w:val="18"/>
                <w:lang w:bidi="ar"/>
              </w:rPr>
              <w:t>王蚌南岸</w:t>
            </w:r>
          </w:p>
          <w:p>
            <w:pPr>
              <w:widowControl/>
              <w:adjustRightInd w:val="0"/>
              <w:snapToGrid w:val="0"/>
              <w:jc w:val="center"/>
              <w:textAlignment w:val="bottom"/>
              <w:rPr>
                <w:rFonts w:hint="default" w:ascii="Times New Roman" w:hAnsi="Times New Roman" w:eastAsia="方正仿宋_GBK" w:cs="Times New Roman"/>
                <w:kern w:val="0"/>
                <w:sz w:val="18"/>
                <w:szCs w:val="18"/>
                <w:lang w:bidi="ar"/>
              </w:rPr>
            </w:pPr>
            <w:r>
              <w:rPr>
                <w:rFonts w:hint="default" w:ascii="Times New Roman" w:hAnsi="Times New Roman" w:eastAsia="方正仿宋_GBK" w:cs="Times New Roman"/>
                <w:kern w:val="0"/>
                <w:sz w:val="18"/>
                <w:szCs w:val="18"/>
                <w:lang w:bidi="ar"/>
              </w:rPr>
              <w:t>沿淮区</w:t>
            </w:r>
          </w:p>
          <w:p>
            <w:pPr>
              <w:widowControl/>
              <w:adjustRightInd w:val="0"/>
              <w:snapToGrid w:val="0"/>
              <w:jc w:val="center"/>
              <w:textAlignment w:val="bottom"/>
              <w:rPr>
                <w:rFonts w:hint="default" w:ascii="Times New Roman" w:hAnsi="Times New Roman" w:eastAsia="方正仿宋_GBK" w:cs="Times New Roman"/>
                <w:sz w:val="18"/>
                <w:szCs w:val="18"/>
              </w:rPr>
            </w:pPr>
          </w:p>
        </w:tc>
        <w:tc>
          <w:tcPr>
            <w:tcW w:w="1096" w:type="dxa"/>
            <w:tcBorders>
              <w:top w:val="single" w:color="000000" w:sz="4" w:space="0"/>
              <w:left w:val="single" w:color="auto"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 w:val="18"/>
                <w:szCs w:val="18"/>
                <w:lang w:bidi="ar"/>
              </w:rPr>
            </w:pPr>
            <w:r>
              <w:rPr>
                <w:rFonts w:hint="default" w:ascii="Times New Roman" w:hAnsi="Times New Roman" w:eastAsia="方正仿宋_GBK" w:cs="Times New Roman"/>
                <w:kern w:val="0"/>
                <w:sz w:val="18"/>
                <w:szCs w:val="18"/>
                <w:lang w:bidi="ar"/>
              </w:rPr>
              <w:t>淮河以</w:t>
            </w:r>
          </w:p>
          <w:p>
            <w:pPr>
              <w:widowControl/>
              <w:adjustRightInd w:val="0"/>
              <w:snapToGrid w:val="0"/>
              <w:jc w:val="center"/>
              <w:textAlignment w:val="bottom"/>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南市区</w:t>
            </w:r>
          </w:p>
        </w:tc>
        <w:tc>
          <w:tcPr>
            <w:tcW w:w="109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孔隙裂隙水、岩溶水</w:t>
            </w:r>
          </w:p>
        </w:tc>
        <w:tc>
          <w:tcPr>
            <w:tcW w:w="16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884.4</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1712</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952</w:t>
            </w:r>
          </w:p>
        </w:tc>
      </w:tr>
      <w:tr>
        <w:tblPrEx>
          <w:tblCellMar>
            <w:top w:w="15" w:type="dxa"/>
            <w:left w:w="15" w:type="dxa"/>
            <w:bottom w:w="15" w:type="dxa"/>
            <w:right w:w="15" w:type="dxa"/>
          </w:tblCellMar>
        </w:tblPrEx>
        <w:trPr>
          <w:trHeight w:val="9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91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1013" w:type="dxa"/>
            <w:vMerge w:val="continue"/>
            <w:tcBorders>
              <w:left w:val="single" w:color="000000"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 w:val="18"/>
                <w:szCs w:val="18"/>
              </w:rPr>
            </w:pPr>
          </w:p>
        </w:tc>
        <w:tc>
          <w:tcPr>
            <w:tcW w:w="1096" w:type="dxa"/>
            <w:tcBorders>
              <w:top w:val="single" w:color="000000" w:sz="4" w:space="0"/>
              <w:left w:val="single" w:color="auto" w:sz="4" w:space="0"/>
              <w:bottom w:val="single" w:color="auto"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凤台县</w:t>
            </w:r>
          </w:p>
        </w:tc>
        <w:tc>
          <w:tcPr>
            <w:tcW w:w="1095"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16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60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102</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57</w:t>
            </w:r>
          </w:p>
        </w:tc>
      </w:tr>
      <w:tr>
        <w:tblPrEx>
          <w:tblCellMar>
            <w:top w:w="15" w:type="dxa"/>
            <w:left w:w="15" w:type="dxa"/>
            <w:bottom w:w="15" w:type="dxa"/>
            <w:right w:w="15" w:type="dxa"/>
          </w:tblCellMar>
        </w:tblPrEx>
        <w:trPr>
          <w:trHeight w:val="9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91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1013" w:type="dxa"/>
            <w:vMerge w:val="continue"/>
            <w:tcBorders>
              <w:left w:val="single" w:color="000000" w:sz="4" w:space="0"/>
              <w:bottom w:val="single" w:color="000000" w:sz="4" w:space="0"/>
              <w:right w:val="single" w:color="auto"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 w:val="18"/>
                <w:szCs w:val="18"/>
              </w:rPr>
            </w:pPr>
          </w:p>
        </w:tc>
        <w:tc>
          <w:tcPr>
            <w:tcW w:w="1096" w:type="dxa"/>
            <w:tcBorders>
              <w:top w:val="single" w:color="auto" w:sz="4" w:space="0"/>
              <w:left w:val="single" w:color="auto"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kern w:val="0"/>
                <w:sz w:val="18"/>
                <w:szCs w:val="18"/>
                <w:lang w:bidi="ar"/>
              </w:rPr>
            </w:pPr>
            <w:r>
              <w:rPr>
                <w:rFonts w:hint="default" w:ascii="Times New Roman" w:hAnsi="Times New Roman" w:eastAsia="方正仿宋_GBK" w:cs="Times New Roman"/>
                <w:kern w:val="0"/>
                <w:sz w:val="18"/>
                <w:szCs w:val="18"/>
                <w:lang w:bidi="ar"/>
              </w:rPr>
              <w:t>寿县</w:t>
            </w:r>
          </w:p>
        </w:tc>
        <w:tc>
          <w:tcPr>
            <w:tcW w:w="1095"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16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2986</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10963</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7367</w:t>
            </w:r>
          </w:p>
        </w:tc>
      </w:tr>
      <w:tr>
        <w:tblPrEx>
          <w:tblCellMar>
            <w:top w:w="15" w:type="dxa"/>
            <w:left w:w="15" w:type="dxa"/>
            <w:bottom w:w="15" w:type="dxa"/>
            <w:right w:w="15" w:type="dxa"/>
          </w:tblCellMar>
        </w:tblPrEx>
        <w:trPr>
          <w:trHeight w:val="90"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91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2109" w:type="dxa"/>
            <w:gridSpan w:val="2"/>
            <w:noWrap w:val="0"/>
            <w:vAlign w:val="center"/>
          </w:tcPr>
          <w:p>
            <w:pPr>
              <w:widowControl/>
              <w:adjustRightInd w:val="0"/>
              <w:snapToGrid w:val="0"/>
              <w:jc w:val="center"/>
              <w:textAlignment w:val="bottom"/>
              <w:rPr>
                <w:rFonts w:hint="default" w:ascii="Times New Roman" w:hAnsi="Times New Roman" w:eastAsia="方正仿宋_GBK" w:cs="Times New Roman"/>
                <w:kern w:val="0"/>
                <w:sz w:val="18"/>
                <w:szCs w:val="18"/>
                <w:lang w:bidi="ar"/>
              </w:rPr>
            </w:pPr>
            <w:r>
              <w:rPr>
                <w:rFonts w:hint="default" w:ascii="Times New Roman" w:hAnsi="Times New Roman" w:eastAsia="方正仿宋_GBK" w:cs="Times New Roman"/>
                <w:kern w:val="0"/>
                <w:sz w:val="18"/>
                <w:szCs w:val="18"/>
                <w:lang w:bidi="ar"/>
              </w:rPr>
              <w:t>小计</w:t>
            </w:r>
          </w:p>
        </w:tc>
        <w:tc>
          <w:tcPr>
            <w:tcW w:w="1095"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 w:val="18"/>
                <w:szCs w:val="18"/>
              </w:rPr>
            </w:pPr>
          </w:p>
        </w:tc>
        <w:tc>
          <w:tcPr>
            <w:tcW w:w="16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3930.4</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12777</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8376</w:t>
            </w:r>
          </w:p>
        </w:tc>
      </w:tr>
      <w:tr>
        <w:tblPrEx>
          <w:tblCellMar>
            <w:top w:w="15" w:type="dxa"/>
            <w:left w:w="15" w:type="dxa"/>
            <w:bottom w:w="15" w:type="dxa"/>
            <w:right w:w="15" w:type="dxa"/>
          </w:tblCellMar>
        </w:tblPrEx>
        <w:trPr>
          <w:trHeight w:val="90" w:hRule="atLeast"/>
          <w:jc w:val="center"/>
        </w:trPr>
        <w:tc>
          <w:tcPr>
            <w:tcW w:w="5178"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bottom"/>
              <w:rPr>
                <w:rFonts w:hint="default" w:ascii="Times New Roman" w:hAnsi="Times New Roman" w:eastAsia="方正仿宋_GBK" w:cs="Times New Roman"/>
                <w:sz w:val="18"/>
                <w:szCs w:val="18"/>
              </w:rPr>
            </w:pPr>
            <w:r>
              <w:rPr>
                <w:rFonts w:hint="default" w:ascii="Times New Roman" w:hAnsi="Times New Roman" w:eastAsia="方正仿宋_GBK" w:cs="Times New Roman"/>
                <w:b/>
                <w:bCs/>
                <w:kern w:val="0"/>
                <w:sz w:val="18"/>
                <w:szCs w:val="18"/>
                <w:lang w:bidi="ar"/>
              </w:rPr>
              <w:t>全市合计</w:t>
            </w:r>
          </w:p>
        </w:tc>
        <w:tc>
          <w:tcPr>
            <w:tcW w:w="16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b/>
                <w:sz w:val="18"/>
                <w:szCs w:val="18"/>
              </w:rPr>
            </w:pPr>
            <w:r>
              <w:rPr>
                <w:rFonts w:hint="default" w:ascii="Times New Roman" w:hAnsi="Times New Roman" w:eastAsia="方正仿宋_GBK" w:cs="Times New Roman"/>
                <w:b/>
                <w:kern w:val="0"/>
                <w:sz w:val="18"/>
                <w:szCs w:val="18"/>
                <w:lang w:bidi="ar"/>
              </w:rPr>
              <w:t>5582.4</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b/>
                <w:sz w:val="18"/>
                <w:szCs w:val="18"/>
              </w:rPr>
            </w:pPr>
            <w:r>
              <w:rPr>
                <w:rFonts w:hint="default" w:ascii="Times New Roman" w:hAnsi="Times New Roman" w:eastAsia="方正仿宋_GBK" w:cs="Times New Roman"/>
                <w:b/>
                <w:kern w:val="0"/>
                <w:sz w:val="18"/>
                <w:szCs w:val="18"/>
                <w:lang w:bidi="ar"/>
              </w:rPr>
              <w:t>23444</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b/>
                <w:sz w:val="18"/>
                <w:szCs w:val="18"/>
              </w:rPr>
            </w:pPr>
            <w:r>
              <w:rPr>
                <w:rFonts w:hint="default" w:ascii="Times New Roman" w:hAnsi="Times New Roman" w:eastAsia="方正仿宋_GBK" w:cs="Times New Roman"/>
                <w:b/>
                <w:kern w:val="0"/>
                <w:sz w:val="18"/>
                <w:szCs w:val="18"/>
                <w:lang w:bidi="ar"/>
              </w:rPr>
              <w:t>15546</w:t>
            </w:r>
          </w:p>
        </w:tc>
      </w:tr>
    </w:tbl>
    <w:p>
      <w:pPr>
        <w:pStyle w:val="5"/>
        <w:keepNext/>
        <w:keepLines/>
        <w:pageBreakBefore w:val="0"/>
        <w:widowControl w:val="0"/>
        <w:numPr>
          <w:ilvl w:val="0"/>
          <w:numId w:val="0"/>
        </w:numPr>
        <w:kinsoku/>
        <w:wordWrap/>
        <w:overflowPunct/>
        <w:topLinePunct w:val="0"/>
        <w:autoSpaceDE/>
        <w:autoSpaceDN/>
        <w:bidi w:val="0"/>
        <w:spacing w:line="590" w:lineRule="exact"/>
        <w:textAlignment w:val="auto"/>
        <w:rPr>
          <w:rFonts w:hint="eastAsia" w:ascii="方正楷体_GBK" w:hAnsi="方正楷体_GBK" w:eastAsia="方正楷体_GBK" w:cs="方正楷体_GBK"/>
          <w:b w:val="0"/>
          <w:bCs/>
          <w:sz w:val="32"/>
          <w:szCs w:val="32"/>
        </w:rPr>
      </w:pPr>
      <w:bookmarkStart w:id="93" w:name="_Toc6923"/>
      <w:r>
        <w:rPr>
          <w:rFonts w:hint="eastAsia" w:ascii="方正楷体_GBK" w:hAnsi="方正楷体_GBK" w:eastAsia="方正楷体_GBK" w:cs="方正楷体_GBK"/>
          <w:b w:val="0"/>
          <w:bCs/>
          <w:sz w:val="32"/>
          <w:szCs w:val="32"/>
          <w:lang w:eastAsia="zh-CN"/>
        </w:rPr>
        <w:t>五、</w:t>
      </w:r>
      <w:r>
        <w:rPr>
          <w:rFonts w:hint="eastAsia" w:ascii="方正楷体_GBK" w:hAnsi="方正楷体_GBK" w:eastAsia="方正楷体_GBK" w:cs="方正楷体_GBK"/>
          <w:b w:val="0"/>
          <w:bCs/>
          <w:sz w:val="32"/>
          <w:szCs w:val="32"/>
        </w:rPr>
        <w:t>水资源总量</w:t>
      </w:r>
      <w:bookmarkEnd w:id="93"/>
    </w:p>
    <w:p>
      <w:pPr>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淮南市多年平均水资源总量16.53亿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，其中地表水资源量14.06亿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，占区域水资源总量的85.1%；地下水资源量5.75亿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，地下水资源量中与地表水不重复量2.47亿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，不重复量占总量的14.9%。</w:t>
      </w:r>
    </w:p>
    <w:p>
      <w:pPr>
        <w:adjustRightInd w:val="0"/>
        <w:snapToGrid w:val="0"/>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表3.1-7 淮南市分区水资源总量计算成果表  单位：万m³</w:t>
      </w:r>
    </w:p>
    <w:tbl>
      <w:tblPr>
        <w:tblStyle w:val="12"/>
        <w:tblW w:w="0" w:type="auto"/>
        <w:tblInd w:w="0" w:type="dxa"/>
        <w:tblLayout w:type="fixed"/>
        <w:tblCellMar>
          <w:top w:w="15" w:type="dxa"/>
          <w:left w:w="15" w:type="dxa"/>
          <w:bottom w:w="15" w:type="dxa"/>
          <w:right w:w="15" w:type="dxa"/>
        </w:tblCellMar>
      </w:tblPr>
      <w:tblGrid>
        <w:gridCol w:w="1080"/>
        <w:gridCol w:w="1080"/>
        <w:gridCol w:w="1080"/>
        <w:gridCol w:w="1005"/>
        <w:gridCol w:w="1080"/>
        <w:gridCol w:w="945"/>
        <w:gridCol w:w="1245"/>
        <w:gridCol w:w="1050"/>
      </w:tblGrid>
      <w:tr>
        <w:tblPrEx>
          <w:tblCellMar>
            <w:top w:w="15" w:type="dxa"/>
            <w:left w:w="15" w:type="dxa"/>
            <w:bottom w:w="15" w:type="dxa"/>
            <w:right w:w="15" w:type="dxa"/>
          </w:tblCellMar>
        </w:tblPrEx>
        <w:trPr>
          <w:trHeight w:val="319" w:hRule="atLeast"/>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水资源</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三级区</w:t>
            </w:r>
          </w:p>
        </w:tc>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水资源</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四级区</w:t>
            </w:r>
          </w:p>
        </w:tc>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行政分区</w:t>
            </w:r>
          </w:p>
        </w:tc>
        <w:tc>
          <w:tcPr>
            <w:tcW w:w="100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降水量</w:t>
            </w:r>
          </w:p>
        </w:tc>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地表水</w:t>
            </w:r>
          </w:p>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资源量</w:t>
            </w:r>
          </w:p>
        </w:tc>
        <w:tc>
          <w:tcPr>
            <w:tcW w:w="94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地下水</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资源量</w:t>
            </w:r>
          </w:p>
        </w:tc>
        <w:tc>
          <w:tcPr>
            <w:tcW w:w="124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地表与地下</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水不重复量</w:t>
            </w:r>
          </w:p>
        </w:tc>
        <w:tc>
          <w:tcPr>
            <w:tcW w:w="105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水资源</w:t>
            </w:r>
          </w:p>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总量</w:t>
            </w:r>
          </w:p>
        </w:tc>
      </w:tr>
      <w:tr>
        <w:tblPrEx>
          <w:tblCellMar>
            <w:top w:w="15" w:type="dxa"/>
            <w:left w:w="15" w:type="dxa"/>
            <w:bottom w:w="15" w:type="dxa"/>
            <w:right w:w="15" w:type="dxa"/>
          </w:tblCellMar>
        </w:tblPrEx>
        <w:trPr>
          <w:trHeight w:val="319"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00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94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24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0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r>
      <w:tr>
        <w:tblPrEx>
          <w:tblCellMar>
            <w:top w:w="15" w:type="dxa"/>
            <w:left w:w="15" w:type="dxa"/>
            <w:bottom w:w="15" w:type="dxa"/>
            <w:right w:w="15"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王蚌区</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间北岸</w:t>
            </w:r>
          </w:p>
        </w:tc>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西淝河</w:t>
            </w:r>
          </w:p>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下段区</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潘集</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53575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15001</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10939</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6731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21845</w:t>
            </w:r>
          </w:p>
        </w:tc>
      </w:tr>
      <w:tr>
        <w:tblPrEx>
          <w:tblCellMar>
            <w:top w:w="15" w:type="dxa"/>
            <w:left w:w="15" w:type="dxa"/>
            <w:bottom w:w="15" w:type="dxa"/>
            <w:right w:w="15" w:type="dxa"/>
          </w:tblCellMar>
        </w:tblPrEx>
        <w:trPr>
          <w:trHeight w:val="54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凤台县</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、毛集</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88459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24769</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15150</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9323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34261</w:t>
            </w:r>
          </w:p>
        </w:tc>
      </w:tr>
      <w:tr>
        <w:tblPrEx>
          <w:tblCellMar>
            <w:top w:w="15" w:type="dxa"/>
            <w:left w:w="15" w:type="dxa"/>
            <w:bottom w:w="15" w:type="dxa"/>
            <w:right w:w="15"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小计</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142034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39770</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26089</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16054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56106</w:t>
            </w:r>
          </w:p>
        </w:tc>
      </w:tr>
      <w:tr>
        <w:tblPrEx>
          <w:tblCellMar>
            <w:top w:w="15" w:type="dxa"/>
            <w:left w:w="15" w:type="dxa"/>
            <w:bottom w:w="15" w:type="dxa"/>
            <w:right w:w="15" w:type="dxa"/>
          </w:tblCellMar>
        </w:tblPrEx>
        <w:trPr>
          <w:trHeight w:val="54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茨淮</w:t>
            </w:r>
          </w:p>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新河区</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潘集</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1094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306</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182</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414</w:t>
            </w:r>
          </w:p>
        </w:tc>
      </w:tr>
      <w:tr>
        <w:tblPrEx>
          <w:tblCellMar>
            <w:top w:w="15" w:type="dxa"/>
            <w:left w:w="15" w:type="dxa"/>
            <w:bottom w:w="15" w:type="dxa"/>
            <w:right w:w="15"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4468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1251</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729</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449</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1709</w:t>
            </w:r>
          </w:p>
        </w:tc>
      </w:tr>
      <w:tr>
        <w:tblPrEx>
          <w:tblCellMar>
            <w:top w:w="15" w:type="dxa"/>
            <w:left w:w="15" w:type="dxa"/>
            <w:bottom w:w="15" w:type="dxa"/>
            <w:right w:w="15"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小计</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5561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1557</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911</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561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2123</w:t>
            </w:r>
          </w:p>
        </w:tc>
      </w:tr>
      <w:tr>
        <w:tblPrEx>
          <w:tblCellMar>
            <w:top w:w="15" w:type="dxa"/>
            <w:left w:w="15" w:type="dxa"/>
            <w:bottom w:w="15" w:type="dxa"/>
            <w:right w:w="15"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合计</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147595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41327</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27000</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16615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58229</w:t>
            </w:r>
          </w:p>
        </w:tc>
      </w:tr>
      <w:tr>
        <w:tblPrEx>
          <w:tblCellMar>
            <w:top w:w="15" w:type="dxa"/>
            <w:left w:w="15" w:type="dxa"/>
            <w:bottom w:w="15" w:type="dxa"/>
            <w:right w:w="15" w:type="dxa"/>
          </w:tblCellMar>
        </w:tblPrEx>
        <w:trPr>
          <w:trHeight w:val="540" w:hRule="atLeast"/>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王蚌区</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间南岸</w:t>
            </w:r>
          </w:p>
        </w:tc>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王蚌南岸</w:t>
            </w:r>
          </w:p>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沿淮区</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淮河以</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南市区</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80595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22567</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5599</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215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22493</w:t>
            </w:r>
          </w:p>
        </w:tc>
      </w:tr>
      <w:tr>
        <w:tblPrEx>
          <w:tblCellMar>
            <w:top w:w="15" w:type="dxa"/>
            <w:left w:w="15" w:type="dxa"/>
            <w:bottom w:w="15" w:type="dxa"/>
            <w:right w:w="15"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5361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1501</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201</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1588</w:t>
            </w:r>
          </w:p>
        </w:tc>
      </w:tr>
      <w:tr>
        <w:tblPrEx>
          <w:tblCellMar>
            <w:top w:w="15" w:type="dxa"/>
            <w:left w:w="15" w:type="dxa"/>
            <w:bottom w:w="15" w:type="dxa"/>
            <w:right w:w="15"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268561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75197</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24732</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7800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83017</w:t>
            </w:r>
          </w:p>
        </w:tc>
      </w:tr>
      <w:tr>
        <w:tblPrEx>
          <w:tblCellMar>
            <w:top w:w="15" w:type="dxa"/>
            <w:left w:w="15" w:type="dxa"/>
            <w:bottom w:w="15" w:type="dxa"/>
            <w:right w:w="15"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216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小计</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354517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99267</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30532</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8092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107099</w:t>
            </w:r>
          </w:p>
        </w:tc>
      </w:tr>
      <w:tr>
        <w:tblPrEx>
          <w:tblCellMar>
            <w:top w:w="15" w:type="dxa"/>
            <w:left w:w="15" w:type="dxa"/>
            <w:bottom w:w="15" w:type="dxa"/>
            <w:right w:w="15" w:type="dxa"/>
          </w:tblCellMar>
        </w:tblPrEx>
        <w:trPr>
          <w:trHeight w:val="285" w:hRule="atLeast"/>
        </w:trPr>
        <w:tc>
          <w:tcPr>
            <w:tcW w:w="3240"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全市合计</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502113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140594</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57532</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24707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165301</w:t>
            </w:r>
          </w:p>
        </w:tc>
      </w:tr>
    </w:tbl>
    <w:p>
      <w:pPr>
        <w:widowControl/>
        <w:rPr>
          <w:kern w:val="0"/>
          <w:sz w:val="24"/>
          <w:lang w:bidi="ar"/>
        </w:rPr>
      </w:pPr>
    </w:p>
    <w:p>
      <w:pPr>
        <w:widowControl/>
      </w:pPr>
      <w:r>
        <w:rPr>
          <w:kern w:val="0"/>
          <w:sz w:val="24"/>
          <w:lang w:bidi="ar"/>
        </w:rPr>
        <w:drawing>
          <wp:inline distT="0" distB="0" distL="114300" distR="114300">
            <wp:extent cx="5328285" cy="2466340"/>
            <wp:effectExtent l="0" t="0" r="5715" b="10160"/>
            <wp:docPr id="74"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4" descr="IMG_256"/>
                    <pic:cNvPicPr>
                      <a:picLocks noChangeAspect="1"/>
                    </pic:cNvPicPr>
                  </pic:nvPicPr>
                  <pic:blipFill>
                    <a:blip r:embed="rId33"/>
                    <a:stretch>
                      <a:fillRect/>
                    </a:stretch>
                  </pic:blipFill>
                  <pic:spPr>
                    <a:xfrm>
                      <a:off x="0" y="0"/>
                      <a:ext cx="5328285" cy="2466340"/>
                    </a:xfrm>
                    <a:prstGeom prst="rect">
                      <a:avLst/>
                    </a:prstGeom>
                    <a:noFill/>
                    <a:ln>
                      <a:noFill/>
                    </a:ln>
                  </pic:spPr>
                </pic:pic>
              </a:graphicData>
            </a:graphic>
          </wp:inline>
        </w:drawing>
      </w:r>
    </w:p>
    <w:p>
      <w:pPr>
        <w:adjustRightInd w:val="0"/>
        <w:snapToGrid w:val="0"/>
        <w:spacing w:line="360" w:lineRule="auto"/>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图3.1-2 淮南市分区计算单元水资源量柱状图</w:t>
      </w:r>
    </w:p>
    <w:p>
      <w:pPr>
        <w:pStyle w:val="5"/>
        <w:keepNext/>
        <w:keepLines/>
        <w:pageBreakBefore w:val="0"/>
        <w:widowControl w:val="0"/>
        <w:numPr>
          <w:ilvl w:val="0"/>
          <w:numId w:val="0"/>
        </w:numPr>
        <w:kinsoku/>
        <w:wordWrap/>
        <w:overflowPunct/>
        <w:topLinePunct w:val="0"/>
        <w:autoSpaceDE/>
        <w:autoSpaceDN/>
        <w:bidi w:val="0"/>
        <w:spacing w:line="590" w:lineRule="exact"/>
        <w:textAlignment w:val="auto"/>
        <w:rPr>
          <w:rFonts w:hint="eastAsia" w:ascii="方正楷体_GBK" w:hAnsi="方正楷体_GBK" w:eastAsia="方正楷体_GBK" w:cs="方正楷体_GBK"/>
          <w:b w:val="0"/>
          <w:bCs/>
          <w:sz w:val="32"/>
          <w:szCs w:val="32"/>
        </w:rPr>
      </w:pPr>
      <w:bookmarkStart w:id="94" w:name="_Toc16429"/>
      <w:r>
        <w:rPr>
          <w:rFonts w:hint="eastAsia" w:ascii="方正楷体_GBK" w:hAnsi="方正楷体_GBK" w:eastAsia="方正楷体_GBK" w:cs="方正楷体_GBK"/>
          <w:b w:val="0"/>
          <w:bCs/>
          <w:sz w:val="32"/>
          <w:szCs w:val="32"/>
          <w:lang w:eastAsia="zh-CN"/>
        </w:rPr>
        <w:t>六、</w:t>
      </w:r>
      <w:r>
        <w:rPr>
          <w:rFonts w:hint="eastAsia" w:ascii="方正楷体_GBK" w:hAnsi="方正楷体_GBK" w:eastAsia="方正楷体_GBK" w:cs="方正楷体_GBK"/>
          <w:b w:val="0"/>
          <w:bCs/>
          <w:sz w:val="32"/>
          <w:szCs w:val="32"/>
        </w:rPr>
        <w:t>淮河干流入境水资源量</w:t>
      </w:r>
      <w:bookmarkEnd w:id="94"/>
    </w:p>
    <w:p>
      <w:pPr>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sz w:val="32"/>
          <w:szCs w:val="32"/>
        </w:rPr>
        <w:t>淮河干流横穿淮南市而过，是淮南市的重要水源。淮河干流多年平均入境水量204.5亿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。最大入境水量出现在1956年，入境水量达524.8亿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，其次为2003年，464.9亿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；最小入境水量出现在1966年，入境水量只有34.8亿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，其次为1978年，40.5亿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。20%、50%、75%、95%、频率下的入境水量分别为：293.8亿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、184.3亿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、117.5亿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、50.0亿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w:t>
      </w:r>
    </w:p>
    <w:p>
      <w:pPr>
        <w:pStyle w:val="5"/>
        <w:keepNext/>
        <w:keepLines/>
        <w:pageBreakBefore w:val="0"/>
        <w:widowControl w:val="0"/>
        <w:numPr>
          <w:ilvl w:val="0"/>
          <w:numId w:val="0"/>
        </w:numPr>
        <w:kinsoku/>
        <w:wordWrap/>
        <w:overflowPunct/>
        <w:topLinePunct w:val="0"/>
        <w:autoSpaceDE/>
        <w:autoSpaceDN/>
        <w:bidi w:val="0"/>
        <w:spacing w:line="590" w:lineRule="exact"/>
        <w:textAlignment w:val="auto"/>
        <w:rPr>
          <w:rFonts w:hint="default" w:ascii="Times New Roman" w:hAnsi="Times New Roman" w:eastAsia="方正楷体_GBK" w:cs="Times New Roman"/>
          <w:b w:val="0"/>
          <w:bCs/>
          <w:sz w:val="32"/>
          <w:szCs w:val="32"/>
        </w:rPr>
      </w:pPr>
      <w:bookmarkStart w:id="95" w:name="_Toc27155"/>
      <w:bookmarkStart w:id="96" w:name="_Toc312309837"/>
      <w:r>
        <w:rPr>
          <w:rFonts w:hint="default" w:ascii="Times New Roman" w:hAnsi="Times New Roman" w:eastAsia="方正楷体_GBK" w:cs="Times New Roman"/>
          <w:b w:val="0"/>
          <w:bCs/>
          <w:sz w:val="32"/>
          <w:szCs w:val="32"/>
          <w:lang w:eastAsia="zh-CN"/>
        </w:rPr>
        <w:t>七、</w:t>
      </w:r>
      <w:r>
        <w:rPr>
          <w:rFonts w:hint="default" w:ascii="Times New Roman" w:hAnsi="Times New Roman" w:eastAsia="方正楷体_GBK" w:cs="Times New Roman"/>
          <w:b w:val="0"/>
          <w:bCs/>
          <w:sz w:val="32"/>
          <w:szCs w:val="32"/>
        </w:rPr>
        <w:t>水资源可利用量</w:t>
      </w:r>
      <w:bookmarkEnd w:id="95"/>
      <w:bookmarkEnd w:id="96"/>
    </w:p>
    <w:p>
      <w:pPr>
        <w:pageBreakBefore w:val="0"/>
        <w:widowControl w:val="0"/>
        <w:kinsoku/>
        <w:wordWrap/>
        <w:overflowPunct/>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（1）地表水资源可利用量</w:t>
      </w:r>
    </w:p>
    <w:p>
      <w:pPr>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淮南市境内多年平均天然径流量14.06亿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，可利用量7.35亿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，可利用率达52.3%。王蚌区间北岸可利用量2.16亿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，可利用率达52.4%；王蚌区间南岸可利用量5.19亿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，可利用率达52.3%。汛期下泄水量5.67亿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，39.3%的天然径流量随河道下泄至境外。具体计算结果见表3.1-8。</w:t>
      </w:r>
    </w:p>
    <w:p>
      <w:pPr>
        <w:pageBreakBefore w:val="0"/>
        <w:widowControl w:val="0"/>
        <w:kinsoku/>
        <w:wordWrap/>
        <w:overflowPunct/>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_GBK" w:cs="Times New Roman"/>
          <w:b/>
          <w:bCs w:val="0"/>
          <w:sz w:val="32"/>
          <w:szCs w:val="32"/>
        </w:rPr>
      </w:pPr>
      <w:r>
        <w:rPr>
          <w:rFonts w:hint="eastAsia" w:ascii="Times New Roman" w:hAnsi="Times New Roman" w:eastAsia="方正仿宋_GBK" w:cs="Times New Roman"/>
          <w:b/>
          <w:bCs w:val="0"/>
          <w:sz w:val="32"/>
          <w:szCs w:val="32"/>
          <w:lang w:eastAsia="zh-CN"/>
        </w:rPr>
        <w:t>（</w:t>
      </w:r>
      <w:r>
        <w:rPr>
          <w:rFonts w:hint="eastAsia" w:ascii="Times New Roman" w:hAnsi="Times New Roman" w:eastAsia="方正仿宋_GBK" w:cs="Times New Roman"/>
          <w:b/>
          <w:bCs w:val="0"/>
          <w:sz w:val="32"/>
          <w:szCs w:val="32"/>
          <w:lang w:val="en-US" w:eastAsia="zh-CN"/>
        </w:rPr>
        <w:t>2</w:t>
      </w:r>
      <w:r>
        <w:rPr>
          <w:rFonts w:hint="eastAsia" w:ascii="Times New Roman" w:hAnsi="Times New Roman" w:eastAsia="方正仿宋_GBK" w:cs="Times New Roman"/>
          <w:b/>
          <w:bCs w:val="0"/>
          <w:sz w:val="32"/>
          <w:szCs w:val="32"/>
          <w:lang w:eastAsia="zh-CN"/>
        </w:rPr>
        <w:t>）</w:t>
      </w:r>
      <w:r>
        <w:rPr>
          <w:rFonts w:hint="default" w:ascii="Times New Roman" w:hAnsi="Times New Roman" w:eastAsia="方正仿宋_GBK" w:cs="Times New Roman"/>
          <w:b/>
          <w:bCs w:val="0"/>
          <w:sz w:val="32"/>
          <w:szCs w:val="32"/>
        </w:rPr>
        <w:t>淮南市浅层地下水可开采量</w:t>
      </w:r>
    </w:p>
    <w:p>
      <w:pPr>
        <w:pStyle w:val="2"/>
        <w:pageBreakBefore w:val="0"/>
        <w:widowControl w:val="0"/>
        <w:kinsoku/>
        <w:wordWrap/>
        <w:overflowPunct/>
        <w:topLinePunct w:val="0"/>
        <w:autoSpaceDE/>
        <w:autoSpaceDN/>
        <w:bidi w:val="0"/>
        <w:spacing w:line="590" w:lineRule="exact"/>
        <w:ind w:firstLine="480"/>
        <w:textAlignment w:val="auto"/>
        <w:rPr>
          <w:rFonts w:hint="eastAsia" w:ascii="方正黑体_GBK" w:hAnsi="方正黑体_GBK" w:eastAsia="方正黑体_GBK" w:cs="方正黑体_GBK"/>
        </w:rPr>
      </w:pPr>
      <w:r>
        <w:rPr>
          <w:rFonts w:hint="default" w:ascii="Times New Roman" w:hAnsi="Times New Roman" w:eastAsia="方正仿宋_GBK" w:cs="Times New Roman"/>
          <w:sz w:val="32"/>
          <w:szCs w:val="24"/>
        </w:rPr>
        <w:t>淮南市浅层地下水可开采量4.14亿</w:t>
      </w:r>
      <w:r>
        <w:rPr>
          <w:rFonts w:hint="default" w:ascii="Times New Roman" w:hAnsi="Times New Roman" w:eastAsia="方正仿宋_GBK" w:cs="Times New Roman"/>
          <w:sz w:val="32"/>
          <w:szCs w:val="24"/>
          <w:lang w:eastAsia="zh-CN"/>
        </w:rPr>
        <w:t>m³</w:t>
      </w:r>
      <w:r>
        <w:rPr>
          <w:rFonts w:hint="default" w:ascii="Times New Roman" w:hAnsi="Times New Roman" w:eastAsia="方正仿宋_GBK" w:cs="Times New Roman"/>
          <w:sz w:val="32"/>
          <w:szCs w:val="24"/>
        </w:rPr>
        <w:t>，可开采率达71.9%。王蚌区间北岸浅层地下水开采量2.18亿</w:t>
      </w:r>
      <w:r>
        <w:rPr>
          <w:rFonts w:hint="default" w:ascii="Times New Roman" w:hAnsi="Times New Roman" w:eastAsia="方正仿宋_GBK" w:cs="Times New Roman"/>
          <w:sz w:val="32"/>
          <w:szCs w:val="24"/>
          <w:lang w:eastAsia="zh-CN"/>
        </w:rPr>
        <w:t>m³</w:t>
      </w:r>
      <w:r>
        <w:rPr>
          <w:rFonts w:hint="default" w:ascii="Times New Roman" w:hAnsi="Times New Roman" w:eastAsia="方正仿宋_GBK" w:cs="Times New Roman"/>
          <w:sz w:val="32"/>
          <w:szCs w:val="24"/>
        </w:rPr>
        <w:t>，可开采率达80.9%；王蚌区间南岸浅层地下水开采量1.95亿</w:t>
      </w:r>
      <w:r>
        <w:rPr>
          <w:rFonts w:hint="default" w:ascii="Times New Roman" w:hAnsi="Times New Roman" w:eastAsia="方正仿宋_GBK" w:cs="Times New Roman"/>
          <w:sz w:val="32"/>
          <w:szCs w:val="24"/>
          <w:lang w:eastAsia="zh-CN"/>
        </w:rPr>
        <w:t>m³</w:t>
      </w:r>
      <w:r>
        <w:rPr>
          <w:rFonts w:hint="default" w:ascii="Times New Roman" w:hAnsi="Times New Roman" w:eastAsia="方正仿宋_GBK" w:cs="Times New Roman"/>
          <w:sz w:val="32"/>
          <w:szCs w:val="24"/>
        </w:rPr>
        <w:t>，可开采率达64.0%。具体计算结果见表3.1-9。</w:t>
      </w:r>
    </w:p>
    <w:p>
      <w:pPr>
        <w:keepNext w:val="0"/>
        <w:keepLines w:val="0"/>
        <w:pageBreakBefore w:val="0"/>
        <w:widowControl w:val="0"/>
        <w:kinsoku/>
        <w:wordWrap/>
        <w:overflowPunct/>
        <w:topLinePunct w:val="0"/>
        <w:autoSpaceDE/>
        <w:autoSpaceDN/>
        <w:bidi w:val="0"/>
        <w:adjustRightInd w:val="0"/>
        <w:snapToGrid w:val="0"/>
        <w:spacing w:line="590" w:lineRule="exact"/>
        <w:ind w:firstLine="482" w:firstLineChars="200"/>
        <w:jc w:val="center"/>
        <w:textAlignment w:val="auto"/>
        <w:rPr>
          <w:rFonts w:hint="eastAsia" w:ascii="方正黑体_GBK" w:hAnsi="方正黑体_GBK" w:eastAsia="方正黑体_GBK" w:cs="方正黑体_GBK"/>
          <w:b/>
          <w:bCs/>
          <w:szCs w:val="21"/>
        </w:rPr>
      </w:pPr>
      <w:r>
        <w:rPr>
          <w:rFonts w:hint="eastAsia" w:ascii="方正黑体_GBK" w:hAnsi="方正黑体_GBK" w:eastAsia="方正黑体_GBK" w:cs="方正黑体_GBK"/>
          <w:b/>
          <w:bCs/>
          <w:sz w:val="24"/>
        </w:rPr>
        <w:t xml:space="preserve">表3.1-8 淮南市分区地表水资源可利用量  </w:t>
      </w:r>
      <w:r>
        <w:rPr>
          <w:rFonts w:hint="eastAsia" w:ascii="方正黑体_GBK" w:hAnsi="方正黑体_GBK" w:eastAsia="方正黑体_GBK" w:cs="方正黑体_GBK"/>
          <w:b/>
          <w:bCs/>
          <w:szCs w:val="21"/>
        </w:rPr>
        <w:t>单位：万m³</w:t>
      </w:r>
    </w:p>
    <w:tbl>
      <w:tblPr>
        <w:tblStyle w:val="12"/>
        <w:tblW w:w="0" w:type="auto"/>
        <w:jc w:val="center"/>
        <w:tblLayout w:type="fixed"/>
        <w:tblCellMar>
          <w:top w:w="15" w:type="dxa"/>
          <w:left w:w="15" w:type="dxa"/>
          <w:bottom w:w="15" w:type="dxa"/>
          <w:right w:w="15" w:type="dxa"/>
        </w:tblCellMar>
      </w:tblPr>
      <w:tblGrid>
        <w:gridCol w:w="666"/>
        <w:gridCol w:w="728"/>
        <w:gridCol w:w="760"/>
        <w:gridCol w:w="887"/>
        <w:gridCol w:w="949"/>
        <w:gridCol w:w="901"/>
        <w:gridCol w:w="807"/>
        <w:gridCol w:w="775"/>
        <w:gridCol w:w="742"/>
        <w:gridCol w:w="1045"/>
      </w:tblGrid>
      <w:tr>
        <w:tblPrEx>
          <w:tblCellMar>
            <w:top w:w="15" w:type="dxa"/>
            <w:left w:w="15" w:type="dxa"/>
            <w:bottom w:w="15" w:type="dxa"/>
            <w:right w:w="15" w:type="dxa"/>
          </w:tblCellMar>
        </w:tblPrEx>
        <w:trPr>
          <w:trHeight w:val="281" w:hRule="atLeast"/>
          <w:jc w:val="center"/>
        </w:trPr>
        <w:tc>
          <w:tcPr>
            <w:tcW w:w="304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水资源分区</w:t>
            </w:r>
          </w:p>
        </w:tc>
        <w:tc>
          <w:tcPr>
            <w:tcW w:w="949"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kern w:val="0"/>
                <w:sz w:val="18"/>
                <w:szCs w:val="18"/>
                <w:lang w:bidi="ar"/>
              </w:rPr>
            </w:pPr>
            <w:r>
              <w:rPr>
                <w:rFonts w:hint="default" w:ascii="Times New Roman" w:hAnsi="Times New Roman" w:eastAsia="方正仿宋_GBK" w:cs="Times New Roman"/>
                <w:kern w:val="0"/>
                <w:sz w:val="18"/>
                <w:szCs w:val="18"/>
                <w:lang w:bidi="ar"/>
              </w:rPr>
              <w:t>行政</w:t>
            </w:r>
          </w:p>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分区</w:t>
            </w:r>
          </w:p>
        </w:tc>
        <w:tc>
          <w:tcPr>
            <w:tcW w:w="90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kern w:val="0"/>
                <w:sz w:val="18"/>
                <w:szCs w:val="18"/>
                <w:lang w:eastAsia="zh-CN" w:bidi="ar"/>
              </w:rPr>
            </w:pPr>
            <w:r>
              <w:rPr>
                <w:rFonts w:hint="default" w:ascii="Times New Roman" w:hAnsi="Times New Roman" w:eastAsia="方正仿宋_GBK" w:cs="Times New Roman"/>
                <w:kern w:val="0"/>
                <w:sz w:val="18"/>
                <w:szCs w:val="18"/>
                <w:lang w:bidi="ar"/>
              </w:rPr>
              <w:t>天然</w:t>
            </w:r>
          </w:p>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Style w:val="21"/>
                <w:rFonts w:hint="default" w:ascii="Times New Roman" w:hAnsi="Times New Roman" w:eastAsia="方正仿宋_GBK" w:cs="Times New Roman"/>
                <w:color w:val="auto"/>
                <w:sz w:val="18"/>
                <w:szCs w:val="18"/>
                <w:lang w:bidi="ar"/>
              </w:rPr>
              <w:t>径流量</w:t>
            </w:r>
          </w:p>
        </w:tc>
        <w:tc>
          <w:tcPr>
            <w:tcW w:w="1582" w:type="dxa"/>
            <w:gridSpan w:val="2"/>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spacing w:line="200" w:lineRule="atLeast"/>
              <w:jc w:val="center"/>
              <w:textAlignment w:val="bottom"/>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可利用水量</w:t>
            </w:r>
          </w:p>
        </w:tc>
        <w:tc>
          <w:tcPr>
            <w:tcW w:w="1787" w:type="dxa"/>
            <w:gridSpan w:val="2"/>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spacing w:line="200" w:lineRule="atLeast"/>
              <w:jc w:val="center"/>
              <w:textAlignment w:val="bottom"/>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汛期下泄水量</w:t>
            </w:r>
          </w:p>
        </w:tc>
      </w:tr>
      <w:tr>
        <w:tblPrEx>
          <w:tblCellMar>
            <w:top w:w="15" w:type="dxa"/>
            <w:left w:w="15" w:type="dxa"/>
            <w:bottom w:w="15" w:type="dxa"/>
            <w:right w:w="15" w:type="dxa"/>
          </w:tblCellMar>
        </w:tblPrEx>
        <w:trPr>
          <w:trHeight w:val="495" w:hRule="atLeast"/>
          <w:jc w:val="center"/>
        </w:trPr>
        <w:tc>
          <w:tcPr>
            <w:tcW w:w="66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一级区</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二级区</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三级区</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四级区</w:t>
            </w:r>
          </w:p>
        </w:tc>
        <w:tc>
          <w:tcPr>
            <w:tcW w:w="949"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901"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可利用水量</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可利用率</w:t>
            </w:r>
            <w:r>
              <w:rPr>
                <w:rStyle w:val="22"/>
                <w:rFonts w:hint="default" w:ascii="Times New Roman" w:hAnsi="Times New Roman" w:eastAsia="方正仿宋_GBK" w:cs="Times New Roman"/>
                <w:color w:val="auto"/>
                <w:sz w:val="18"/>
                <w:szCs w:val="18"/>
                <w:lang w:bidi="ar"/>
              </w:rPr>
              <w:t>(%)</w:t>
            </w:r>
          </w:p>
        </w:tc>
        <w:tc>
          <w:tcPr>
            <w:tcW w:w="7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汛期下泄水量</w:t>
            </w:r>
          </w:p>
        </w:tc>
        <w:tc>
          <w:tcPr>
            <w:tcW w:w="1045" w:type="dxa"/>
            <w:tcBorders>
              <w:top w:val="single" w:color="000000" w:sz="4" w:space="0"/>
              <w:left w:val="single" w:color="000000" w:sz="4" w:space="0"/>
              <w:bottom w:val="single" w:color="000000" w:sz="4" w:space="0"/>
              <w:right w:val="single" w:color="000000" w:sz="4" w:space="0"/>
            </w:tcBorders>
            <w:noWrap w:val="0"/>
            <w:vAlign w:val="bottom"/>
          </w:tcPr>
          <w:p>
            <w:pPr>
              <w:widowControl/>
              <w:adjustRightInd w:val="0"/>
              <w:snapToGrid w:val="0"/>
              <w:spacing w:line="200" w:lineRule="atLeast"/>
              <w:jc w:val="center"/>
              <w:textAlignment w:val="bottom"/>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占天然径流量</w:t>
            </w:r>
            <w:r>
              <w:rPr>
                <w:rStyle w:val="22"/>
                <w:rFonts w:hint="default" w:ascii="Times New Roman" w:hAnsi="Times New Roman" w:eastAsia="方正仿宋_GBK" w:cs="Times New Roman"/>
                <w:color w:val="auto"/>
                <w:sz w:val="18"/>
                <w:szCs w:val="18"/>
                <w:lang w:bidi="ar"/>
              </w:rPr>
              <w:t>%</w:t>
            </w:r>
          </w:p>
        </w:tc>
      </w:tr>
      <w:tr>
        <w:tblPrEx>
          <w:tblCellMar>
            <w:top w:w="15" w:type="dxa"/>
            <w:left w:w="15" w:type="dxa"/>
            <w:bottom w:w="15" w:type="dxa"/>
            <w:right w:w="15" w:type="dxa"/>
          </w:tblCellMar>
        </w:tblPrEx>
        <w:trPr>
          <w:trHeight w:val="281" w:hRule="atLeast"/>
          <w:jc w:val="center"/>
        </w:trPr>
        <w:tc>
          <w:tcPr>
            <w:tcW w:w="66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淮河</w:t>
            </w:r>
          </w:p>
        </w:tc>
        <w:tc>
          <w:tcPr>
            <w:tcW w:w="72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kern w:val="0"/>
                <w:sz w:val="18"/>
                <w:szCs w:val="18"/>
                <w:lang w:eastAsia="zh-CN" w:bidi="ar"/>
              </w:rPr>
            </w:pPr>
            <w:r>
              <w:rPr>
                <w:rFonts w:hint="default" w:ascii="Times New Roman" w:hAnsi="Times New Roman" w:eastAsia="方正仿宋_GBK" w:cs="Times New Roman"/>
                <w:kern w:val="0"/>
                <w:sz w:val="18"/>
                <w:szCs w:val="18"/>
                <w:lang w:bidi="ar"/>
              </w:rPr>
              <w:t>淮河</w:t>
            </w:r>
          </w:p>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Style w:val="18"/>
                <w:rFonts w:hint="default" w:ascii="Times New Roman" w:hAnsi="Times New Roman" w:eastAsia="方正仿宋_GBK" w:cs="Times New Roman"/>
                <w:color w:val="auto"/>
                <w:sz w:val="18"/>
                <w:szCs w:val="18"/>
                <w:lang w:bidi="ar"/>
              </w:rPr>
              <w:t>中游</w:t>
            </w:r>
          </w:p>
        </w:tc>
        <w:tc>
          <w:tcPr>
            <w:tcW w:w="76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王蚌区间北岸</w:t>
            </w:r>
          </w:p>
        </w:tc>
        <w:tc>
          <w:tcPr>
            <w:tcW w:w="88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kern w:val="0"/>
                <w:sz w:val="18"/>
                <w:szCs w:val="18"/>
                <w:lang w:eastAsia="zh-CN" w:bidi="ar"/>
              </w:rPr>
            </w:pPr>
            <w:r>
              <w:rPr>
                <w:rFonts w:hint="default" w:ascii="Times New Roman" w:hAnsi="Times New Roman" w:eastAsia="方正仿宋_GBK" w:cs="Times New Roman"/>
                <w:kern w:val="0"/>
                <w:sz w:val="18"/>
                <w:szCs w:val="18"/>
                <w:lang w:bidi="ar"/>
              </w:rPr>
              <w:t>西淝河</w:t>
            </w:r>
          </w:p>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Style w:val="18"/>
                <w:rFonts w:hint="default" w:ascii="Times New Roman" w:hAnsi="Times New Roman" w:eastAsia="方正仿宋_GBK" w:cs="Times New Roman"/>
                <w:color w:val="auto"/>
                <w:sz w:val="18"/>
                <w:szCs w:val="18"/>
                <w:lang w:bidi="ar"/>
              </w:rPr>
              <w:t>下段区</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潘集区</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15001 </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7846 </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52.3</w:t>
            </w:r>
          </w:p>
        </w:tc>
        <w:tc>
          <w:tcPr>
            <w:tcW w:w="7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5625.4 </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37.5</w:t>
            </w:r>
          </w:p>
        </w:tc>
      </w:tr>
      <w:tr>
        <w:tblPrEx>
          <w:tblCellMar>
            <w:top w:w="15" w:type="dxa"/>
            <w:left w:w="15" w:type="dxa"/>
            <w:bottom w:w="15" w:type="dxa"/>
            <w:right w:w="15" w:type="dxa"/>
          </w:tblCellMar>
        </w:tblPrEx>
        <w:trPr>
          <w:trHeight w:val="495" w:hRule="atLeast"/>
          <w:jc w:val="center"/>
        </w:trPr>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72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76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kern w:val="0"/>
                <w:sz w:val="18"/>
                <w:szCs w:val="18"/>
                <w:lang w:eastAsia="zh-CN" w:bidi="ar"/>
              </w:rPr>
            </w:pPr>
            <w:r>
              <w:rPr>
                <w:rFonts w:hint="default" w:ascii="Times New Roman" w:hAnsi="Times New Roman" w:eastAsia="方正仿宋_GBK" w:cs="Times New Roman"/>
                <w:kern w:val="0"/>
                <w:sz w:val="18"/>
                <w:szCs w:val="18"/>
                <w:lang w:bidi="ar"/>
              </w:rPr>
              <w:t>凤台县</w:t>
            </w:r>
          </w:p>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Style w:val="18"/>
                <w:rFonts w:hint="default" w:ascii="Times New Roman" w:hAnsi="Times New Roman" w:eastAsia="方正仿宋_GBK" w:cs="Times New Roman"/>
                <w:color w:val="auto"/>
                <w:sz w:val="18"/>
                <w:szCs w:val="18"/>
                <w:lang w:bidi="ar"/>
              </w:rPr>
              <w:t>毛集区</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24769 </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12954 </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52.3</w:t>
            </w:r>
          </w:p>
        </w:tc>
        <w:tc>
          <w:tcPr>
            <w:tcW w:w="7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9288.2 </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37.5</w:t>
            </w:r>
          </w:p>
        </w:tc>
      </w:tr>
      <w:tr>
        <w:tblPrEx>
          <w:tblCellMar>
            <w:top w:w="15" w:type="dxa"/>
            <w:left w:w="15" w:type="dxa"/>
            <w:bottom w:w="15" w:type="dxa"/>
            <w:right w:w="15" w:type="dxa"/>
          </w:tblCellMar>
        </w:tblPrEx>
        <w:trPr>
          <w:trHeight w:val="281" w:hRule="atLeast"/>
          <w:jc w:val="center"/>
        </w:trPr>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72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76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sz w:val="18"/>
                <w:szCs w:val="18"/>
              </w:rPr>
            </w:pPr>
            <w:r>
              <w:rPr>
                <w:rFonts w:hint="default" w:ascii="Times New Roman" w:hAnsi="Times New Roman" w:eastAsia="方正仿宋_GBK" w:cs="Times New Roman"/>
                <w:b/>
                <w:kern w:val="0"/>
                <w:sz w:val="18"/>
                <w:szCs w:val="18"/>
                <w:lang w:bidi="ar"/>
              </w:rPr>
              <w:t>小计</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39770 </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20799 </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52.3</w:t>
            </w:r>
          </w:p>
        </w:tc>
        <w:tc>
          <w:tcPr>
            <w:tcW w:w="7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14913.6 </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37.5</w:t>
            </w:r>
          </w:p>
        </w:tc>
      </w:tr>
      <w:tr>
        <w:tblPrEx>
          <w:tblCellMar>
            <w:top w:w="15" w:type="dxa"/>
            <w:left w:w="15" w:type="dxa"/>
            <w:bottom w:w="15" w:type="dxa"/>
            <w:right w:w="15" w:type="dxa"/>
          </w:tblCellMar>
        </w:tblPrEx>
        <w:trPr>
          <w:trHeight w:val="281" w:hRule="atLeast"/>
          <w:jc w:val="center"/>
        </w:trPr>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72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76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88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kern w:val="0"/>
                <w:sz w:val="18"/>
                <w:szCs w:val="18"/>
                <w:lang w:eastAsia="zh-CN" w:bidi="ar"/>
              </w:rPr>
            </w:pPr>
            <w:r>
              <w:rPr>
                <w:rFonts w:hint="default" w:ascii="Times New Roman" w:hAnsi="Times New Roman" w:eastAsia="方正仿宋_GBK" w:cs="Times New Roman"/>
                <w:kern w:val="0"/>
                <w:sz w:val="18"/>
                <w:szCs w:val="18"/>
                <w:lang w:bidi="ar"/>
              </w:rPr>
              <w:t>茨淮新</w:t>
            </w:r>
          </w:p>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Style w:val="18"/>
                <w:rFonts w:hint="default" w:ascii="Times New Roman" w:hAnsi="Times New Roman" w:eastAsia="方正仿宋_GBK" w:cs="Times New Roman"/>
                <w:color w:val="auto"/>
                <w:sz w:val="18"/>
                <w:szCs w:val="18"/>
                <w:lang w:bidi="ar"/>
              </w:rPr>
              <w:t>河区</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潘集区</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306 </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161 </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52.5</w:t>
            </w:r>
          </w:p>
        </w:tc>
        <w:tc>
          <w:tcPr>
            <w:tcW w:w="7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112.7 </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36.8</w:t>
            </w:r>
          </w:p>
        </w:tc>
      </w:tr>
      <w:tr>
        <w:tblPrEx>
          <w:tblCellMar>
            <w:top w:w="15" w:type="dxa"/>
            <w:left w:w="15" w:type="dxa"/>
            <w:bottom w:w="15" w:type="dxa"/>
            <w:right w:w="15" w:type="dxa"/>
          </w:tblCellMar>
        </w:tblPrEx>
        <w:trPr>
          <w:trHeight w:val="281" w:hRule="atLeast"/>
          <w:jc w:val="center"/>
        </w:trPr>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72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76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凤台县</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1251 </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657 </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52.5</w:t>
            </w:r>
          </w:p>
        </w:tc>
        <w:tc>
          <w:tcPr>
            <w:tcW w:w="7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460.3 </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36.8</w:t>
            </w:r>
          </w:p>
        </w:tc>
      </w:tr>
      <w:tr>
        <w:tblPrEx>
          <w:tblCellMar>
            <w:top w:w="15" w:type="dxa"/>
            <w:left w:w="15" w:type="dxa"/>
            <w:bottom w:w="15" w:type="dxa"/>
            <w:right w:w="15" w:type="dxa"/>
          </w:tblCellMar>
        </w:tblPrEx>
        <w:trPr>
          <w:trHeight w:val="281" w:hRule="atLeast"/>
          <w:jc w:val="center"/>
        </w:trPr>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72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76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sz w:val="18"/>
                <w:szCs w:val="18"/>
              </w:rPr>
            </w:pPr>
            <w:r>
              <w:rPr>
                <w:rFonts w:hint="default" w:ascii="Times New Roman" w:hAnsi="Times New Roman" w:eastAsia="方正仿宋_GBK" w:cs="Times New Roman"/>
                <w:b/>
                <w:kern w:val="0"/>
                <w:sz w:val="18"/>
                <w:szCs w:val="18"/>
                <w:lang w:bidi="ar"/>
              </w:rPr>
              <w:t>小计</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1557 </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817 </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52.5</w:t>
            </w:r>
          </w:p>
        </w:tc>
        <w:tc>
          <w:tcPr>
            <w:tcW w:w="7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573.0 </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36.8</w:t>
            </w:r>
          </w:p>
        </w:tc>
      </w:tr>
      <w:tr>
        <w:tblPrEx>
          <w:tblCellMar>
            <w:top w:w="15" w:type="dxa"/>
            <w:left w:w="15" w:type="dxa"/>
            <w:bottom w:w="15" w:type="dxa"/>
            <w:right w:w="15" w:type="dxa"/>
          </w:tblCellMar>
        </w:tblPrEx>
        <w:trPr>
          <w:trHeight w:val="281" w:hRule="atLeast"/>
          <w:jc w:val="center"/>
        </w:trPr>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72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76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183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sz w:val="18"/>
                <w:szCs w:val="18"/>
              </w:rPr>
            </w:pPr>
            <w:r>
              <w:rPr>
                <w:rFonts w:hint="default" w:ascii="Times New Roman" w:hAnsi="Times New Roman" w:eastAsia="方正仿宋_GBK" w:cs="Times New Roman"/>
                <w:b/>
                <w:kern w:val="0"/>
                <w:sz w:val="18"/>
                <w:szCs w:val="18"/>
                <w:lang w:bidi="ar"/>
              </w:rPr>
              <w:t>合计</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bCs/>
                <w:sz w:val="18"/>
                <w:szCs w:val="18"/>
              </w:rPr>
            </w:pPr>
            <w:r>
              <w:rPr>
                <w:rFonts w:hint="default" w:ascii="Times New Roman" w:hAnsi="Times New Roman" w:eastAsia="方正仿宋_GBK" w:cs="Times New Roman"/>
                <w:b/>
                <w:bCs/>
                <w:kern w:val="0"/>
                <w:sz w:val="18"/>
                <w:szCs w:val="18"/>
                <w:lang w:bidi="ar"/>
              </w:rPr>
              <w:t xml:space="preserve">41327 </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bCs/>
                <w:sz w:val="18"/>
                <w:szCs w:val="18"/>
              </w:rPr>
            </w:pPr>
            <w:r>
              <w:rPr>
                <w:rFonts w:hint="default" w:ascii="Times New Roman" w:hAnsi="Times New Roman" w:eastAsia="方正仿宋_GBK" w:cs="Times New Roman"/>
                <w:b/>
                <w:bCs/>
                <w:kern w:val="0"/>
                <w:sz w:val="18"/>
                <w:szCs w:val="18"/>
                <w:lang w:bidi="ar"/>
              </w:rPr>
              <w:t xml:space="preserve">21655 </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bCs/>
                <w:sz w:val="18"/>
                <w:szCs w:val="18"/>
              </w:rPr>
            </w:pPr>
            <w:r>
              <w:rPr>
                <w:rFonts w:hint="default" w:ascii="Times New Roman" w:hAnsi="Times New Roman" w:eastAsia="方正仿宋_GBK" w:cs="Times New Roman"/>
                <w:b/>
                <w:bCs/>
                <w:kern w:val="0"/>
                <w:sz w:val="18"/>
                <w:szCs w:val="18"/>
                <w:lang w:bidi="ar"/>
              </w:rPr>
              <w:t>52.4</w:t>
            </w:r>
          </w:p>
        </w:tc>
        <w:tc>
          <w:tcPr>
            <w:tcW w:w="7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bCs/>
                <w:sz w:val="18"/>
                <w:szCs w:val="18"/>
              </w:rPr>
            </w:pPr>
            <w:r>
              <w:rPr>
                <w:rFonts w:hint="default" w:ascii="Times New Roman" w:hAnsi="Times New Roman" w:eastAsia="方正仿宋_GBK" w:cs="Times New Roman"/>
                <w:b/>
                <w:bCs/>
                <w:kern w:val="0"/>
                <w:sz w:val="18"/>
                <w:szCs w:val="18"/>
                <w:lang w:bidi="ar"/>
              </w:rPr>
              <w:t xml:space="preserve">15486.6 </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bCs/>
                <w:sz w:val="18"/>
                <w:szCs w:val="18"/>
              </w:rPr>
            </w:pPr>
            <w:r>
              <w:rPr>
                <w:rFonts w:hint="default" w:ascii="Times New Roman" w:hAnsi="Times New Roman" w:eastAsia="方正仿宋_GBK" w:cs="Times New Roman"/>
                <w:b/>
                <w:bCs/>
                <w:kern w:val="0"/>
                <w:sz w:val="18"/>
                <w:szCs w:val="18"/>
                <w:lang w:bidi="ar"/>
              </w:rPr>
              <w:t>37.5</w:t>
            </w:r>
          </w:p>
        </w:tc>
      </w:tr>
      <w:tr>
        <w:tblPrEx>
          <w:tblCellMar>
            <w:top w:w="15" w:type="dxa"/>
            <w:left w:w="15" w:type="dxa"/>
            <w:bottom w:w="15" w:type="dxa"/>
            <w:right w:w="15" w:type="dxa"/>
          </w:tblCellMar>
        </w:tblPrEx>
        <w:trPr>
          <w:trHeight w:val="495" w:hRule="atLeast"/>
          <w:jc w:val="center"/>
        </w:trPr>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72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76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kern w:val="0"/>
                <w:sz w:val="18"/>
                <w:szCs w:val="18"/>
                <w:lang w:eastAsia="zh-CN" w:bidi="ar"/>
              </w:rPr>
            </w:pPr>
            <w:r>
              <w:rPr>
                <w:rFonts w:hint="default" w:ascii="Times New Roman" w:hAnsi="Times New Roman" w:eastAsia="方正仿宋_GBK" w:cs="Times New Roman"/>
                <w:kern w:val="0"/>
                <w:sz w:val="18"/>
                <w:szCs w:val="18"/>
                <w:lang w:bidi="ar"/>
              </w:rPr>
              <w:t>王蚌区间</w:t>
            </w:r>
          </w:p>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Style w:val="18"/>
                <w:rFonts w:hint="default" w:ascii="Times New Roman" w:hAnsi="Times New Roman" w:eastAsia="方正仿宋_GBK" w:cs="Times New Roman"/>
                <w:color w:val="auto"/>
                <w:sz w:val="18"/>
                <w:szCs w:val="18"/>
                <w:lang w:bidi="ar"/>
              </w:rPr>
              <w:t>南岸</w:t>
            </w:r>
          </w:p>
        </w:tc>
        <w:tc>
          <w:tcPr>
            <w:tcW w:w="88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kern w:val="0"/>
                <w:sz w:val="18"/>
                <w:szCs w:val="18"/>
                <w:lang w:eastAsia="zh-CN" w:bidi="ar"/>
              </w:rPr>
            </w:pPr>
            <w:r>
              <w:rPr>
                <w:rFonts w:hint="default" w:ascii="Times New Roman" w:hAnsi="Times New Roman" w:eastAsia="方正仿宋_GBK" w:cs="Times New Roman"/>
                <w:kern w:val="0"/>
                <w:sz w:val="18"/>
                <w:szCs w:val="18"/>
                <w:lang w:bidi="ar"/>
              </w:rPr>
              <w:t>王蚌南</w:t>
            </w:r>
          </w:p>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Style w:val="18"/>
                <w:rFonts w:hint="default" w:ascii="Times New Roman" w:hAnsi="Times New Roman" w:eastAsia="方正仿宋_GBK" w:cs="Times New Roman"/>
                <w:color w:val="auto"/>
                <w:sz w:val="18"/>
                <w:szCs w:val="18"/>
                <w:lang w:bidi="ar"/>
              </w:rPr>
              <w:t>岸沿淮区</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kern w:val="0"/>
                <w:sz w:val="18"/>
                <w:szCs w:val="18"/>
                <w:lang w:eastAsia="zh-CN" w:bidi="ar"/>
              </w:rPr>
            </w:pPr>
            <w:r>
              <w:rPr>
                <w:rFonts w:hint="default" w:ascii="Times New Roman" w:hAnsi="Times New Roman" w:eastAsia="方正仿宋_GBK" w:cs="Times New Roman"/>
                <w:kern w:val="0"/>
                <w:sz w:val="18"/>
                <w:szCs w:val="18"/>
                <w:lang w:bidi="ar"/>
              </w:rPr>
              <w:t>淮河以</w:t>
            </w:r>
          </w:p>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Style w:val="18"/>
                <w:rFonts w:hint="default" w:ascii="Times New Roman" w:hAnsi="Times New Roman" w:eastAsia="方正仿宋_GBK" w:cs="Times New Roman"/>
                <w:color w:val="auto"/>
                <w:sz w:val="18"/>
                <w:szCs w:val="18"/>
                <w:lang w:bidi="ar"/>
              </w:rPr>
              <w:t>南市区</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22567 </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11802 </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52.3</w:t>
            </w:r>
          </w:p>
        </w:tc>
        <w:tc>
          <w:tcPr>
            <w:tcW w:w="7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9365.2 </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41.5</w:t>
            </w:r>
          </w:p>
        </w:tc>
      </w:tr>
      <w:tr>
        <w:tblPrEx>
          <w:tblCellMar>
            <w:top w:w="15" w:type="dxa"/>
            <w:left w:w="15" w:type="dxa"/>
            <w:bottom w:w="15" w:type="dxa"/>
            <w:right w:w="15" w:type="dxa"/>
          </w:tblCellMar>
        </w:tblPrEx>
        <w:trPr>
          <w:trHeight w:val="281" w:hRule="atLeast"/>
          <w:jc w:val="center"/>
        </w:trPr>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72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76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凤台县</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1501 </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785 </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52.3</w:t>
            </w:r>
          </w:p>
        </w:tc>
        <w:tc>
          <w:tcPr>
            <w:tcW w:w="7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623.0 </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41.5</w:t>
            </w:r>
          </w:p>
        </w:tc>
      </w:tr>
      <w:tr>
        <w:tblPrEx>
          <w:tblCellMar>
            <w:top w:w="15" w:type="dxa"/>
            <w:left w:w="15" w:type="dxa"/>
            <w:bottom w:w="15" w:type="dxa"/>
            <w:right w:w="15" w:type="dxa"/>
          </w:tblCellMar>
        </w:tblPrEx>
        <w:trPr>
          <w:trHeight w:val="281" w:hRule="atLeast"/>
          <w:jc w:val="center"/>
        </w:trPr>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72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76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寿县</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75197 </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39328 </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52.3</w:t>
            </w:r>
          </w:p>
        </w:tc>
        <w:tc>
          <w:tcPr>
            <w:tcW w:w="7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31206.8 </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41.5</w:t>
            </w:r>
          </w:p>
        </w:tc>
      </w:tr>
      <w:tr>
        <w:tblPrEx>
          <w:tblCellMar>
            <w:top w:w="15" w:type="dxa"/>
            <w:left w:w="15" w:type="dxa"/>
            <w:bottom w:w="15" w:type="dxa"/>
            <w:right w:w="15" w:type="dxa"/>
          </w:tblCellMar>
        </w:tblPrEx>
        <w:trPr>
          <w:trHeight w:val="281" w:hRule="atLeast"/>
          <w:jc w:val="center"/>
        </w:trPr>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72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76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rPr>
                <w:rFonts w:hint="default" w:ascii="Times New Roman" w:hAnsi="Times New Roman" w:eastAsia="方正仿宋_GBK" w:cs="Times New Roman"/>
                <w:sz w:val="18"/>
                <w:szCs w:val="18"/>
              </w:rPr>
            </w:pP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sz w:val="18"/>
                <w:szCs w:val="18"/>
              </w:rPr>
            </w:pPr>
            <w:r>
              <w:rPr>
                <w:rFonts w:hint="default" w:ascii="Times New Roman" w:hAnsi="Times New Roman" w:eastAsia="方正仿宋_GBK" w:cs="Times New Roman"/>
                <w:b/>
                <w:kern w:val="0"/>
                <w:sz w:val="18"/>
                <w:szCs w:val="18"/>
                <w:lang w:bidi="ar"/>
              </w:rPr>
              <w:t>小计</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sz w:val="18"/>
                <w:szCs w:val="18"/>
              </w:rPr>
            </w:pPr>
            <w:r>
              <w:rPr>
                <w:rFonts w:hint="default" w:ascii="Times New Roman" w:hAnsi="Times New Roman" w:eastAsia="方正仿宋_GBK" w:cs="Times New Roman"/>
                <w:b/>
                <w:kern w:val="0"/>
                <w:sz w:val="18"/>
                <w:szCs w:val="18"/>
                <w:lang w:bidi="ar"/>
              </w:rPr>
              <w:t xml:space="preserve">99265 </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sz w:val="18"/>
                <w:szCs w:val="18"/>
              </w:rPr>
            </w:pPr>
            <w:r>
              <w:rPr>
                <w:rFonts w:hint="default" w:ascii="Times New Roman" w:hAnsi="Times New Roman" w:eastAsia="方正仿宋_GBK" w:cs="Times New Roman"/>
                <w:b/>
                <w:kern w:val="0"/>
                <w:sz w:val="18"/>
                <w:szCs w:val="18"/>
                <w:lang w:bidi="ar"/>
              </w:rPr>
              <w:t xml:space="preserve">51916 </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sz w:val="18"/>
                <w:szCs w:val="18"/>
              </w:rPr>
            </w:pPr>
            <w:r>
              <w:rPr>
                <w:rFonts w:hint="default" w:ascii="Times New Roman" w:hAnsi="Times New Roman" w:eastAsia="方正仿宋_GBK" w:cs="Times New Roman"/>
                <w:b/>
                <w:kern w:val="0"/>
                <w:sz w:val="18"/>
                <w:szCs w:val="18"/>
                <w:lang w:bidi="ar"/>
              </w:rPr>
              <w:t>52.3</w:t>
            </w:r>
          </w:p>
        </w:tc>
        <w:tc>
          <w:tcPr>
            <w:tcW w:w="7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sz w:val="18"/>
                <w:szCs w:val="18"/>
              </w:rPr>
            </w:pPr>
            <w:r>
              <w:rPr>
                <w:rFonts w:hint="default" w:ascii="Times New Roman" w:hAnsi="Times New Roman" w:eastAsia="方正仿宋_GBK" w:cs="Times New Roman"/>
                <w:b/>
                <w:kern w:val="0"/>
                <w:sz w:val="18"/>
                <w:szCs w:val="18"/>
                <w:lang w:bidi="ar"/>
              </w:rPr>
              <w:t xml:space="preserve">41194.9 </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sz w:val="18"/>
                <w:szCs w:val="18"/>
              </w:rPr>
            </w:pPr>
            <w:r>
              <w:rPr>
                <w:rFonts w:hint="default" w:ascii="Times New Roman" w:hAnsi="Times New Roman" w:eastAsia="方正仿宋_GBK" w:cs="Times New Roman"/>
                <w:b/>
                <w:kern w:val="0"/>
                <w:sz w:val="18"/>
                <w:szCs w:val="18"/>
                <w:lang w:bidi="ar"/>
              </w:rPr>
              <w:t>41.5</w:t>
            </w:r>
          </w:p>
        </w:tc>
      </w:tr>
      <w:tr>
        <w:tblPrEx>
          <w:tblCellMar>
            <w:top w:w="15" w:type="dxa"/>
            <w:left w:w="15" w:type="dxa"/>
            <w:bottom w:w="15" w:type="dxa"/>
            <w:right w:w="15" w:type="dxa"/>
          </w:tblCellMar>
        </w:tblPrEx>
        <w:trPr>
          <w:trHeight w:val="495" w:hRule="atLeast"/>
          <w:jc w:val="center"/>
        </w:trPr>
        <w:tc>
          <w:tcPr>
            <w:tcW w:w="3041" w:type="dxa"/>
            <w:gridSpan w:val="4"/>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行政区合计</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kern w:val="0"/>
                <w:sz w:val="18"/>
                <w:szCs w:val="18"/>
                <w:lang w:eastAsia="zh-CN" w:bidi="ar"/>
              </w:rPr>
            </w:pPr>
            <w:r>
              <w:rPr>
                <w:rFonts w:hint="default" w:ascii="Times New Roman" w:hAnsi="Times New Roman" w:eastAsia="方正仿宋_GBK" w:cs="Times New Roman"/>
                <w:kern w:val="0"/>
                <w:sz w:val="18"/>
                <w:szCs w:val="18"/>
                <w:lang w:bidi="ar"/>
              </w:rPr>
              <w:t>凤台县</w:t>
            </w:r>
          </w:p>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Style w:val="18"/>
                <w:rFonts w:hint="default" w:ascii="Times New Roman" w:hAnsi="Times New Roman" w:eastAsia="方正仿宋_GBK" w:cs="Times New Roman"/>
                <w:color w:val="auto"/>
                <w:sz w:val="18"/>
                <w:szCs w:val="18"/>
                <w:lang w:bidi="ar"/>
              </w:rPr>
              <w:t>毛集区</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27521 </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14396 </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52.4</w:t>
            </w:r>
          </w:p>
        </w:tc>
        <w:tc>
          <w:tcPr>
            <w:tcW w:w="7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10371.5 </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38.6</w:t>
            </w:r>
          </w:p>
        </w:tc>
      </w:tr>
      <w:tr>
        <w:tblPrEx>
          <w:tblCellMar>
            <w:top w:w="15" w:type="dxa"/>
            <w:left w:w="15" w:type="dxa"/>
            <w:bottom w:w="15" w:type="dxa"/>
            <w:right w:w="15" w:type="dxa"/>
          </w:tblCellMar>
        </w:tblPrEx>
        <w:trPr>
          <w:trHeight w:val="281" w:hRule="atLeast"/>
          <w:jc w:val="center"/>
        </w:trPr>
        <w:tc>
          <w:tcPr>
            <w:tcW w:w="3041" w:type="dxa"/>
            <w:gridSpan w:val="4"/>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潘集区</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15307 </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8006 </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52.4</w:t>
            </w:r>
          </w:p>
        </w:tc>
        <w:tc>
          <w:tcPr>
            <w:tcW w:w="7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5738.1 </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37.2</w:t>
            </w:r>
          </w:p>
        </w:tc>
      </w:tr>
      <w:tr>
        <w:tblPrEx>
          <w:tblCellMar>
            <w:top w:w="15" w:type="dxa"/>
            <w:left w:w="15" w:type="dxa"/>
            <w:bottom w:w="15" w:type="dxa"/>
            <w:right w:w="15" w:type="dxa"/>
          </w:tblCellMar>
        </w:tblPrEx>
        <w:trPr>
          <w:trHeight w:val="495" w:hRule="atLeast"/>
          <w:jc w:val="center"/>
        </w:trPr>
        <w:tc>
          <w:tcPr>
            <w:tcW w:w="3041" w:type="dxa"/>
            <w:gridSpan w:val="4"/>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kern w:val="0"/>
                <w:sz w:val="18"/>
                <w:szCs w:val="18"/>
                <w:lang w:eastAsia="zh-CN" w:bidi="ar"/>
              </w:rPr>
            </w:pPr>
            <w:r>
              <w:rPr>
                <w:rFonts w:hint="default" w:ascii="Times New Roman" w:hAnsi="Times New Roman" w:eastAsia="方正仿宋_GBK" w:cs="Times New Roman"/>
                <w:kern w:val="0"/>
                <w:sz w:val="18"/>
                <w:szCs w:val="18"/>
                <w:lang w:bidi="ar"/>
              </w:rPr>
              <w:t>淮河以</w:t>
            </w:r>
          </w:p>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Style w:val="18"/>
                <w:rFonts w:hint="default" w:ascii="Times New Roman" w:hAnsi="Times New Roman" w:eastAsia="方正仿宋_GBK" w:cs="Times New Roman"/>
                <w:color w:val="auto"/>
                <w:sz w:val="18"/>
                <w:szCs w:val="18"/>
                <w:lang w:bidi="ar"/>
              </w:rPr>
              <w:t>南市区</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22567 </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11802 </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52.3</w:t>
            </w:r>
          </w:p>
        </w:tc>
        <w:tc>
          <w:tcPr>
            <w:tcW w:w="7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9365.2 </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41.5</w:t>
            </w:r>
          </w:p>
        </w:tc>
      </w:tr>
      <w:tr>
        <w:tblPrEx>
          <w:tblCellMar>
            <w:top w:w="15" w:type="dxa"/>
            <w:left w:w="15" w:type="dxa"/>
            <w:bottom w:w="15" w:type="dxa"/>
            <w:right w:w="15" w:type="dxa"/>
          </w:tblCellMar>
        </w:tblPrEx>
        <w:trPr>
          <w:trHeight w:val="281" w:hRule="atLeast"/>
          <w:jc w:val="center"/>
        </w:trPr>
        <w:tc>
          <w:tcPr>
            <w:tcW w:w="3041" w:type="dxa"/>
            <w:gridSpan w:val="4"/>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18"/>
                <w:szCs w:val="18"/>
              </w:rPr>
            </w:pP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寿县</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75197 </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39328 </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52.3</w:t>
            </w:r>
          </w:p>
        </w:tc>
        <w:tc>
          <w:tcPr>
            <w:tcW w:w="7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 xml:space="preserve">31206.8 </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kern w:val="0"/>
                <w:sz w:val="18"/>
                <w:szCs w:val="18"/>
                <w:lang w:bidi="ar"/>
              </w:rPr>
              <w:t>41.5</w:t>
            </w:r>
          </w:p>
        </w:tc>
      </w:tr>
      <w:tr>
        <w:tblPrEx>
          <w:tblCellMar>
            <w:top w:w="15" w:type="dxa"/>
            <w:left w:w="15" w:type="dxa"/>
            <w:bottom w:w="15" w:type="dxa"/>
            <w:right w:w="15" w:type="dxa"/>
          </w:tblCellMar>
        </w:tblPrEx>
        <w:trPr>
          <w:trHeight w:val="306" w:hRule="atLeast"/>
          <w:jc w:val="center"/>
        </w:trPr>
        <w:tc>
          <w:tcPr>
            <w:tcW w:w="3990"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bCs/>
                <w:sz w:val="18"/>
                <w:szCs w:val="18"/>
              </w:rPr>
            </w:pPr>
            <w:r>
              <w:rPr>
                <w:rFonts w:hint="default" w:ascii="Times New Roman" w:hAnsi="Times New Roman" w:eastAsia="方正仿宋_GBK" w:cs="Times New Roman"/>
                <w:b/>
                <w:bCs/>
                <w:kern w:val="0"/>
                <w:sz w:val="18"/>
                <w:szCs w:val="18"/>
                <w:lang w:bidi="ar"/>
              </w:rPr>
              <w:t>全市</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bCs/>
                <w:sz w:val="18"/>
                <w:szCs w:val="18"/>
              </w:rPr>
            </w:pPr>
            <w:r>
              <w:rPr>
                <w:rFonts w:hint="default" w:ascii="Times New Roman" w:hAnsi="Times New Roman" w:eastAsia="方正仿宋_GBK" w:cs="Times New Roman"/>
                <w:b/>
                <w:bCs/>
                <w:kern w:val="0"/>
                <w:sz w:val="18"/>
                <w:szCs w:val="18"/>
                <w:lang w:bidi="ar"/>
              </w:rPr>
              <w:t xml:space="preserve">140592 </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bCs/>
                <w:sz w:val="18"/>
                <w:szCs w:val="18"/>
              </w:rPr>
            </w:pPr>
            <w:r>
              <w:rPr>
                <w:rFonts w:hint="default" w:ascii="Times New Roman" w:hAnsi="Times New Roman" w:eastAsia="方正仿宋_GBK" w:cs="Times New Roman"/>
                <w:b/>
                <w:bCs/>
                <w:kern w:val="0"/>
                <w:sz w:val="18"/>
                <w:szCs w:val="18"/>
                <w:lang w:bidi="ar"/>
              </w:rPr>
              <w:t xml:space="preserve">73532 </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bCs/>
                <w:sz w:val="18"/>
                <w:szCs w:val="18"/>
              </w:rPr>
            </w:pPr>
            <w:r>
              <w:rPr>
                <w:rFonts w:hint="default" w:ascii="Times New Roman" w:hAnsi="Times New Roman" w:eastAsia="方正仿宋_GBK" w:cs="Times New Roman"/>
                <w:b/>
                <w:bCs/>
                <w:kern w:val="0"/>
                <w:sz w:val="18"/>
                <w:szCs w:val="18"/>
                <w:lang w:bidi="ar"/>
              </w:rPr>
              <w:t>52.4</w:t>
            </w:r>
          </w:p>
        </w:tc>
        <w:tc>
          <w:tcPr>
            <w:tcW w:w="7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bCs/>
                <w:sz w:val="18"/>
                <w:szCs w:val="18"/>
              </w:rPr>
            </w:pPr>
            <w:r>
              <w:rPr>
                <w:rFonts w:hint="default" w:ascii="Times New Roman" w:hAnsi="Times New Roman" w:eastAsia="方正仿宋_GBK" w:cs="Times New Roman"/>
                <w:b/>
                <w:bCs/>
                <w:kern w:val="0"/>
                <w:sz w:val="18"/>
                <w:szCs w:val="18"/>
                <w:lang w:bidi="ar"/>
              </w:rPr>
              <w:t xml:space="preserve">56681.5 </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bCs/>
                <w:sz w:val="18"/>
                <w:szCs w:val="18"/>
              </w:rPr>
            </w:pPr>
            <w:r>
              <w:rPr>
                <w:rFonts w:hint="default" w:ascii="Times New Roman" w:hAnsi="Times New Roman" w:eastAsia="方正仿宋_GBK" w:cs="Times New Roman"/>
                <w:b/>
                <w:bCs/>
                <w:kern w:val="0"/>
                <w:sz w:val="18"/>
                <w:szCs w:val="18"/>
                <w:lang w:bidi="ar"/>
              </w:rPr>
              <w:t>39.7</w:t>
            </w:r>
          </w:p>
        </w:tc>
      </w:tr>
    </w:tbl>
    <w:p>
      <w:pPr>
        <w:adjustRightInd w:val="0"/>
        <w:snapToGrid w:val="0"/>
        <w:jc w:val="center"/>
        <w:rPr>
          <w:rFonts w:hint="eastAsia" w:ascii="方正黑体_GBK" w:hAnsi="方正黑体_GBK" w:eastAsia="方正黑体_GBK" w:cs="方正黑体_GBK"/>
          <w:b/>
          <w:bCs/>
          <w:szCs w:val="21"/>
        </w:rPr>
      </w:pPr>
      <w:r>
        <w:rPr>
          <w:rFonts w:hint="eastAsia" w:ascii="方正黑体_GBK" w:hAnsi="方正黑体_GBK" w:eastAsia="方正黑体_GBK" w:cs="方正黑体_GBK"/>
          <w:b/>
          <w:bCs/>
          <w:sz w:val="24"/>
        </w:rPr>
        <w:t xml:space="preserve">表3.1-9 淮南市浅层地下水资源开采量   </w:t>
      </w:r>
      <w:r>
        <w:rPr>
          <w:rFonts w:hint="eastAsia" w:ascii="方正黑体_GBK" w:hAnsi="方正黑体_GBK" w:eastAsia="方正黑体_GBK" w:cs="方正黑体_GBK"/>
          <w:b/>
          <w:bCs/>
          <w:szCs w:val="21"/>
        </w:rPr>
        <w:t>单位： 万m³</w:t>
      </w:r>
    </w:p>
    <w:tbl>
      <w:tblPr>
        <w:tblStyle w:val="12"/>
        <w:tblW w:w="0" w:type="auto"/>
        <w:jc w:val="center"/>
        <w:tblLayout w:type="fixed"/>
        <w:tblCellMar>
          <w:top w:w="15" w:type="dxa"/>
          <w:left w:w="15" w:type="dxa"/>
          <w:bottom w:w="15" w:type="dxa"/>
          <w:right w:w="15" w:type="dxa"/>
        </w:tblCellMar>
      </w:tblPr>
      <w:tblGrid>
        <w:gridCol w:w="802"/>
        <w:gridCol w:w="837"/>
        <w:gridCol w:w="802"/>
        <w:gridCol w:w="1070"/>
        <w:gridCol w:w="1070"/>
        <w:gridCol w:w="1160"/>
        <w:gridCol w:w="1307"/>
        <w:gridCol w:w="1273"/>
      </w:tblGrid>
      <w:tr>
        <w:tblPrEx>
          <w:tblCellMar>
            <w:top w:w="15" w:type="dxa"/>
            <w:left w:w="15" w:type="dxa"/>
            <w:bottom w:w="15" w:type="dxa"/>
            <w:right w:w="15" w:type="dxa"/>
          </w:tblCellMar>
        </w:tblPrEx>
        <w:trPr>
          <w:trHeight w:val="90" w:hRule="atLeast"/>
          <w:jc w:val="center"/>
        </w:trPr>
        <w:tc>
          <w:tcPr>
            <w:tcW w:w="351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水资源分区</w:t>
            </w:r>
          </w:p>
        </w:tc>
        <w:tc>
          <w:tcPr>
            <w:tcW w:w="1069"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行政分区</w:t>
            </w:r>
          </w:p>
        </w:tc>
        <w:tc>
          <w:tcPr>
            <w:tcW w:w="116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kern w:val="0"/>
                <w:sz w:val="20"/>
                <w:szCs w:val="20"/>
                <w:lang w:eastAsia="zh-CN" w:bidi="ar"/>
              </w:rPr>
            </w:pPr>
            <w:r>
              <w:rPr>
                <w:rFonts w:hint="default" w:ascii="Times New Roman" w:hAnsi="Times New Roman" w:eastAsia="方正仿宋_GBK" w:cs="Times New Roman"/>
                <w:kern w:val="0"/>
                <w:sz w:val="20"/>
                <w:szCs w:val="20"/>
                <w:lang w:bidi="ar"/>
              </w:rPr>
              <w:t>浅层地下水</w:t>
            </w:r>
          </w:p>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资源量</w:t>
            </w:r>
          </w:p>
        </w:tc>
        <w:tc>
          <w:tcPr>
            <w:tcW w:w="130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kern w:val="0"/>
                <w:sz w:val="20"/>
                <w:szCs w:val="20"/>
                <w:lang w:eastAsia="zh-CN" w:bidi="ar"/>
              </w:rPr>
            </w:pPr>
            <w:r>
              <w:rPr>
                <w:rFonts w:hint="default" w:ascii="Times New Roman" w:hAnsi="Times New Roman" w:eastAsia="方正仿宋_GBK" w:cs="Times New Roman"/>
                <w:kern w:val="0"/>
                <w:sz w:val="20"/>
                <w:szCs w:val="20"/>
                <w:lang w:bidi="ar"/>
              </w:rPr>
              <w:t>年均可</w:t>
            </w:r>
          </w:p>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开采量</w:t>
            </w:r>
          </w:p>
        </w:tc>
        <w:tc>
          <w:tcPr>
            <w:tcW w:w="127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kern w:val="0"/>
                <w:sz w:val="20"/>
                <w:szCs w:val="20"/>
                <w:lang w:eastAsia="zh-CN" w:bidi="ar"/>
              </w:rPr>
            </w:pPr>
            <w:r>
              <w:rPr>
                <w:rFonts w:hint="default" w:ascii="Times New Roman" w:hAnsi="Times New Roman" w:eastAsia="方正仿宋_GBK" w:cs="Times New Roman"/>
                <w:kern w:val="0"/>
                <w:sz w:val="20"/>
                <w:szCs w:val="20"/>
                <w:lang w:bidi="ar"/>
              </w:rPr>
              <w:t>占总量</w:t>
            </w:r>
          </w:p>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w:t>
            </w:r>
          </w:p>
        </w:tc>
      </w:tr>
      <w:tr>
        <w:tblPrEx>
          <w:tblCellMar>
            <w:top w:w="15" w:type="dxa"/>
            <w:left w:w="15" w:type="dxa"/>
            <w:bottom w:w="15" w:type="dxa"/>
            <w:right w:w="15" w:type="dxa"/>
          </w:tblCellMar>
        </w:tblPrEx>
        <w:trPr>
          <w:trHeight w:val="90" w:hRule="atLeast"/>
          <w:jc w:val="center"/>
        </w:trPr>
        <w:tc>
          <w:tcPr>
            <w:tcW w:w="80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一级区</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二级区</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三级区</w:t>
            </w:r>
          </w:p>
        </w:tc>
        <w:tc>
          <w:tcPr>
            <w:tcW w:w="10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四级区</w:t>
            </w:r>
          </w:p>
        </w:tc>
        <w:tc>
          <w:tcPr>
            <w:tcW w:w="1069"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1307"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127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r>
      <w:tr>
        <w:tblPrEx>
          <w:tblCellMar>
            <w:top w:w="15" w:type="dxa"/>
            <w:left w:w="15" w:type="dxa"/>
            <w:bottom w:w="15" w:type="dxa"/>
            <w:right w:w="15" w:type="dxa"/>
          </w:tblCellMar>
        </w:tblPrEx>
        <w:trPr>
          <w:trHeight w:val="90" w:hRule="atLeast"/>
          <w:jc w:val="center"/>
        </w:trPr>
        <w:tc>
          <w:tcPr>
            <w:tcW w:w="80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淮河</w:t>
            </w:r>
          </w:p>
        </w:tc>
        <w:tc>
          <w:tcPr>
            <w:tcW w:w="83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淮河中游</w:t>
            </w:r>
          </w:p>
        </w:tc>
        <w:tc>
          <w:tcPr>
            <w:tcW w:w="80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kern w:val="0"/>
                <w:sz w:val="20"/>
                <w:szCs w:val="20"/>
                <w:lang w:eastAsia="zh-CN" w:bidi="ar"/>
              </w:rPr>
            </w:pPr>
            <w:r>
              <w:rPr>
                <w:rFonts w:hint="default" w:ascii="Times New Roman" w:hAnsi="Times New Roman" w:eastAsia="方正仿宋_GBK" w:cs="Times New Roman"/>
                <w:kern w:val="0"/>
                <w:sz w:val="20"/>
                <w:szCs w:val="20"/>
                <w:lang w:bidi="ar"/>
              </w:rPr>
              <w:t>王蚌区间</w:t>
            </w:r>
          </w:p>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北岸</w:t>
            </w:r>
          </w:p>
        </w:tc>
        <w:tc>
          <w:tcPr>
            <w:tcW w:w="107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西淝河下段区</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潘集区</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10939</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8817</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80.6</w:t>
            </w:r>
          </w:p>
        </w:tc>
      </w:tr>
      <w:tr>
        <w:tblPrEx>
          <w:tblCellMar>
            <w:top w:w="15" w:type="dxa"/>
            <w:left w:w="15" w:type="dxa"/>
            <w:bottom w:w="15" w:type="dxa"/>
            <w:right w:w="15" w:type="dxa"/>
          </w:tblCellMar>
        </w:tblPrEx>
        <w:trPr>
          <w:trHeight w:val="90" w:hRule="atLeast"/>
          <w:jc w:val="center"/>
        </w:trPr>
        <w:tc>
          <w:tcPr>
            <w:tcW w:w="80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837"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80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107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kern w:val="0"/>
                <w:sz w:val="20"/>
                <w:szCs w:val="20"/>
                <w:lang w:eastAsia="zh-CN" w:bidi="ar"/>
              </w:rPr>
            </w:pPr>
            <w:r>
              <w:rPr>
                <w:rFonts w:hint="default" w:ascii="Times New Roman" w:hAnsi="Times New Roman" w:eastAsia="方正仿宋_GBK" w:cs="Times New Roman"/>
                <w:kern w:val="0"/>
                <w:sz w:val="20"/>
                <w:szCs w:val="20"/>
                <w:lang w:bidi="ar"/>
              </w:rPr>
              <w:t>凤台县</w:t>
            </w:r>
          </w:p>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毛集区</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15150</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12211</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80.6</w:t>
            </w:r>
          </w:p>
        </w:tc>
      </w:tr>
      <w:tr>
        <w:tblPrEx>
          <w:tblCellMar>
            <w:top w:w="15" w:type="dxa"/>
            <w:left w:w="15" w:type="dxa"/>
            <w:bottom w:w="15" w:type="dxa"/>
            <w:right w:w="15" w:type="dxa"/>
          </w:tblCellMar>
        </w:tblPrEx>
        <w:trPr>
          <w:trHeight w:val="90" w:hRule="atLeast"/>
          <w:jc w:val="center"/>
        </w:trPr>
        <w:tc>
          <w:tcPr>
            <w:tcW w:w="80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837"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80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107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sz w:val="20"/>
                <w:szCs w:val="20"/>
              </w:rPr>
            </w:pPr>
            <w:r>
              <w:rPr>
                <w:rFonts w:hint="default" w:ascii="Times New Roman" w:hAnsi="Times New Roman" w:eastAsia="方正仿宋_GBK" w:cs="Times New Roman"/>
                <w:b/>
                <w:kern w:val="0"/>
                <w:sz w:val="20"/>
                <w:szCs w:val="20"/>
                <w:lang w:bidi="ar"/>
              </w:rPr>
              <w:t>小计</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26089</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21028</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80.6</w:t>
            </w:r>
          </w:p>
        </w:tc>
      </w:tr>
      <w:tr>
        <w:tblPrEx>
          <w:tblCellMar>
            <w:top w:w="15" w:type="dxa"/>
            <w:left w:w="15" w:type="dxa"/>
            <w:bottom w:w="15" w:type="dxa"/>
            <w:right w:w="15" w:type="dxa"/>
          </w:tblCellMar>
        </w:tblPrEx>
        <w:trPr>
          <w:trHeight w:val="90" w:hRule="atLeast"/>
          <w:jc w:val="center"/>
        </w:trPr>
        <w:tc>
          <w:tcPr>
            <w:tcW w:w="80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837"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80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107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茨淮新河区</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潘集区</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182</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163</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89.7</w:t>
            </w:r>
          </w:p>
        </w:tc>
      </w:tr>
      <w:tr>
        <w:tblPrEx>
          <w:tblCellMar>
            <w:top w:w="15" w:type="dxa"/>
            <w:left w:w="15" w:type="dxa"/>
            <w:bottom w:w="15" w:type="dxa"/>
            <w:right w:w="15" w:type="dxa"/>
          </w:tblCellMar>
        </w:tblPrEx>
        <w:trPr>
          <w:trHeight w:val="90" w:hRule="atLeast"/>
          <w:jc w:val="center"/>
        </w:trPr>
        <w:tc>
          <w:tcPr>
            <w:tcW w:w="80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837"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80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107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凤台县</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729</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654</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89.7</w:t>
            </w:r>
          </w:p>
        </w:tc>
      </w:tr>
      <w:tr>
        <w:tblPrEx>
          <w:tblCellMar>
            <w:top w:w="15" w:type="dxa"/>
            <w:left w:w="15" w:type="dxa"/>
            <w:bottom w:w="15" w:type="dxa"/>
            <w:right w:w="15" w:type="dxa"/>
          </w:tblCellMar>
        </w:tblPrEx>
        <w:trPr>
          <w:trHeight w:val="90" w:hRule="atLeast"/>
          <w:jc w:val="center"/>
        </w:trPr>
        <w:tc>
          <w:tcPr>
            <w:tcW w:w="80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837"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80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107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sz w:val="20"/>
                <w:szCs w:val="20"/>
              </w:rPr>
            </w:pPr>
            <w:r>
              <w:rPr>
                <w:rFonts w:hint="default" w:ascii="Times New Roman" w:hAnsi="Times New Roman" w:eastAsia="方正仿宋_GBK" w:cs="Times New Roman"/>
                <w:b/>
                <w:kern w:val="0"/>
                <w:sz w:val="20"/>
                <w:szCs w:val="20"/>
                <w:lang w:bidi="ar"/>
              </w:rPr>
              <w:t>小计</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911</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817</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89.7</w:t>
            </w:r>
          </w:p>
        </w:tc>
      </w:tr>
      <w:tr>
        <w:tblPrEx>
          <w:tblCellMar>
            <w:top w:w="15" w:type="dxa"/>
            <w:left w:w="15" w:type="dxa"/>
            <w:bottom w:w="15" w:type="dxa"/>
            <w:right w:w="15" w:type="dxa"/>
          </w:tblCellMar>
        </w:tblPrEx>
        <w:trPr>
          <w:trHeight w:val="90" w:hRule="atLeast"/>
          <w:jc w:val="center"/>
        </w:trPr>
        <w:tc>
          <w:tcPr>
            <w:tcW w:w="80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837"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80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2139"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sz w:val="20"/>
                <w:szCs w:val="20"/>
              </w:rPr>
            </w:pPr>
            <w:r>
              <w:rPr>
                <w:rFonts w:hint="default" w:ascii="Times New Roman" w:hAnsi="Times New Roman" w:eastAsia="方正仿宋_GBK" w:cs="Times New Roman"/>
                <w:b/>
                <w:kern w:val="0"/>
                <w:sz w:val="20"/>
                <w:szCs w:val="20"/>
                <w:lang w:bidi="ar"/>
              </w:rPr>
              <w:t>合计</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27000</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21845</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80.9</w:t>
            </w:r>
          </w:p>
        </w:tc>
      </w:tr>
      <w:tr>
        <w:tblPrEx>
          <w:tblCellMar>
            <w:top w:w="15" w:type="dxa"/>
            <w:left w:w="15" w:type="dxa"/>
            <w:bottom w:w="15" w:type="dxa"/>
            <w:right w:w="15" w:type="dxa"/>
          </w:tblCellMar>
        </w:tblPrEx>
        <w:trPr>
          <w:trHeight w:val="90" w:hRule="atLeast"/>
          <w:jc w:val="center"/>
        </w:trPr>
        <w:tc>
          <w:tcPr>
            <w:tcW w:w="80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837"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80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王蚌区间</w:t>
            </w:r>
          </w:p>
        </w:tc>
        <w:tc>
          <w:tcPr>
            <w:tcW w:w="1069" w:type="dxa"/>
            <w:vMerge w:val="restart"/>
            <w:tcBorders>
              <w:top w:val="single" w:color="000000" w:sz="4" w:space="0"/>
              <w:left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王蚌南岸沿淮区</w:t>
            </w:r>
          </w:p>
        </w:tc>
        <w:tc>
          <w:tcPr>
            <w:tcW w:w="10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kern w:val="0"/>
                <w:sz w:val="20"/>
                <w:szCs w:val="20"/>
                <w:lang w:eastAsia="zh-CN" w:bidi="ar"/>
              </w:rPr>
            </w:pPr>
            <w:r>
              <w:rPr>
                <w:rFonts w:hint="default" w:ascii="Times New Roman" w:hAnsi="Times New Roman" w:eastAsia="方正仿宋_GBK" w:cs="Times New Roman"/>
                <w:kern w:val="0"/>
                <w:sz w:val="20"/>
                <w:szCs w:val="20"/>
                <w:lang w:bidi="ar"/>
              </w:rPr>
              <w:t>淮河以</w:t>
            </w:r>
          </w:p>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南市区</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5599</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3583</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64.0</w:t>
            </w:r>
          </w:p>
        </w:tc>
      </w:tr>
      <w:tr>
        <w:tblPrEx>
          <w:tblCellMar>
            <w:top w:w="15" w:type="dxa"/>
            <w:left w:w="15" w:type="dxa"/>
            <w:bottom w:w="15" w:type="dxa"/>
            <w:right w:w="15" w:type="dxa"/>
          </w:tblCellMar>
        </w:tblPrEx>
        <w:trPr>
          <w:trHeight w:val="90" w:hRule="atLeast"/>
          <w:jc w:val="center"/>
        </w:trPr>
        <w:tc>
          <w:tcPr>
            <w:tcW w:w="80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837"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80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1069" w:type="dxa"/>
            <w:vMerge w:val="continue"/>
            <w:tcBorders>
              <w:left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10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凤台县</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201</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129</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64.2</w:t>
            </w:r>
          </w:p>
        </w:tc>
      </w:tr>
      <w:tr>
        <w:tblPrEx>
          <w:tblCellMar>
            <w:top w:w="15" w:type="dxa"/>
            <w:left w:w="15" w:type="dxa"/>
            <w:bottom w:w="15" w:type="dxa"/>
            <w:right w:w="15" w:type="dxa"/>
          </w:tblCellMar>
        </w:tblPrEx>
        <w:trPr>
          <w:trHeight w:val="90" w:hRule="atLeast"/>
          <w:jc w:val="center"/>
        </w:trPr>
        <w:tc>
          <w:tcPr>
            <w:tcW w:w="80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837"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80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1069" w:type="dxa"/>
            <w:vMerge w:val="continue"/>
            <w:tcBorders>
              <w:left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10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寿县</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24732</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15828</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64.0</w:t>
            </w:r>
          </w:p>
        </w:tc>
      </w:tr>
      <w:tr>
        <w:tblPrEx>
          <w:tblCellMar>
            <w:top w:w="15" w:type="dxa"/>
            <w:left w:w="15" w:type="dxa"/>
            <w:bottom w:w="15" w:type="dxa"/>
            <w:right w:w="15" w:type="dxa"/>
          </w:tblCellMar>
        </w:tblPrEx>
        <w:trPr>
          <w:trHeight w:val="90" w:hRule="atLeast"/>
          <w:jc w:val="center"/>
        </w:trPr>
        <w:tc>
          <w:tcPr>
            <w:tcW w:w="80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837"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80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1069" w:type="dxa"/>
            <w:vMerge w:val="continue"/>
            <w:tcBorders>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10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sz w:val="20"/>
                <w:szCs w:val="20"/>
              </w:rPr>
            </w:pPr>
            <w:r>
              <w:rPr>
                <w:rFonts w:hint="default" w:ascii="Times New Roman" w:hAnsi="Times New Roman" w:eastAsia="方正仿宋_GBK" w:cs="Times New Roman"/>
                <w:b/>
                <w:kern w:val="0"/>
                <w:sz w:val="20"/>
                <w:szCs w:val="20"/>
                <w:lang w:bidi="ar"/>
              </w:rPr>
              <w:t>小计</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30532</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19540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64.0</w:t>
            </w:r>
          </w:p>
        </w:tc>
      </w:tr>
      <w:tr>
        <w:tblPrEx>
          <w:tblCellMar>
            <w:top w:w="15" w:type="dxa"/>
            <w:left w:w="15" w:type="dxa"/>
            <w:bottom w:w="15" w:type="dxa"/>
            <w:right w:w="15" w:type="dxa"/>
          </w:tblCellMar>
        </w:tblPrEx>
        <w:trPr>
          <w:trHeight w:val="90" w:hRule="atLeast"/>
          <w:jc w:val="center"/>
        </w:trPr>
        <w:tc>
          <w:tcPr>
            <w:tcW w:w="3510" w:type="dxa"/>
            <w:gridSpan w:val="4"/>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行政区合计</w:t>
            </w:r>
          </w:p>
        </w:tc>
        <w:tc>
          <w:tcPr>
            <w:tcW w:w="10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kern w:val="0"/>
                <w:sz w:val="20"/>
                <w:szCs w:val="20"/>
                <w:lang w:eastAsia="zh-CN" w:bidi="ar"/>
              </w:rPr>
            </w:pPr>
            <w:r>
              <w:rPr>
                <w:rFonts w:hint="default" w:ascii="Times New Roman" w:hAnsi="Times New Roman" w:eastAsia="方正仿宋_GBK" w:cs="Times New Roman"/>
                <w:kern w:val="0"/>
                <w:sz w:val="20"/>
                <w:szCs w:val="20"/>
                <w:lang w:bidi="ar"/>
              </w:rPr>
              <w:t>凤台县</w:t>
            </w:r>
          </w:p>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毛集区</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 xml:space="preserve">16080 </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 xml:space="preserve">12993 </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80.8</w:t>
            </w:r>
          </w:p>
        </w:tc>
      </w:tr>
      <w:tr>
        <w:tblPrEx>
          <w:tblCellMar>
            <w:top w:w="15" w:type="dxa"/>
            <w:left w:w="15" w:type="dxa"/>
            <w:bottom w:w="15" w:type="dxa"/>
            <w:right w:w="15" w:type="dxa"/>
          </w:tblCellMar>
        </w:tblPrEx>
        <w:trPr>
          <w:trHeight w:val="90" w:hRule="atLeast"/>
          <w:jc w:val="center"/>
        </w:trPr>
        <w:tc>
          <w:tcPr>
            <w:tcW w:w="3510" w:type="dxa"/>
            <w:gridSpan w:val="4"/>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10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潘集区</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11121</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 xml:space="preserve">8980 </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80.7</w:t>
            </w:r>
          </w:p>
        </w:tc>
      </w:tr>
      <w:tr>
        <w:tblPrEx>
          <w:tblCellMar>
            <w:top w:w="15" w:type="dxa"/>
            <w:left w:w="15" w:type="dxa"/>
            <w:bottom w:w="15" w:type="dxa"/>
            <w:right w:w="15" w:type="dxa"/>
          </w:tblCellMar>
        </w:tblPrEx>
        <w:trPr>
          <w:trHeight w:val="90" w:hRule="atLeast"/>
          <w:jc w:val="center"/>
        </w:trPr>
        <w:tc>
          <w:tcPr>
            <w:tcW w:w="3510" w:type="dxa"/>
            <w:gridSpan w:val="4"/>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10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kern w:val="0"/>
                <w:sz w:val="20"/>
                <w:szCs w:val="20"/>
                <w:lang w:eastAsia="zh-CN" w:bidi="ar"/>
              </w:rPr>
            </w:pPr>
            <w:r>
              <w:rPr>
                <w:rFonts w:hint="default" w:ascii="Times New Roman" w:hAnsi="Times New Roman" w:eastAsia="方正仿宋_GBK" w:cs="Times New Roman"/>
                <w:kern w:val="0"/>
                <w:sz w:val="20"/>
                <w:szCs w:val="20"/>
                <w:lang w:bidi="ar"/>
              </w:rPr>
              <w:t>淮河以</w:t>
            </w:r>
          </w:p>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南市区</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5599</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 xml:space="preserve">3583 </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64.0</w:t>
            </w:r>
          </w:p>
        </w:tc>
      </w:tr>
      <w:tr>
        <w:tblPrEx>
          <w:tblCellMar>
            <w:top w:w="15" w:type="dxa"/>
            <w:left w:w="15" w:type="dxa"/>
            <w:bottom w:w="15" w:type="dxa"/>
            <w:right w:w="15" w:type="dxa"/>
          </w:tblCellMar>
        </w:tblPrEx>
        <w:trPr>
          <w:trHeight w:val="90" w:hRule="atLeast"/>
          <w:jc w:val="center"/>
        </w:trPr>
        <w:tc>
          <w:tcPr>
            <w:tcW w:w="3510" w:type="dxa"/>
            <w:gridSpan w:val="4"/>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00" w:lineRule="atLeast"/>
              <w:jc w:val="center"/>
              <w:rPr>
                <w:rFonts w:hint="default" w:ascii="Times New Roman" w:hAnsi="Times New Roman" w:eastAsia="方正仿宋_GBK" w:cs="Times New Roman"/>
                <w:sz w:val="20"/>
                <w:szCs w:val="20"/>
              </w:rPr>
            </w:pPr>
          </w:p>
        </w:tc>
        <w:tc>
          <w:tcPr>
            <w:tcW w:w="107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寿县</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24732</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 xml:space="preserve">15828 </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kern w:val="0"/>
                <w:sz w:val="20"/>
                <w:szCs w:val="20"/>
                <w:lang w:bidi="ar"/>
              </w:rPr>
              <w:t>64.0</w:t>
            </w:r>
          </w:p>
        </w:tc>
      </w:tr>
      <w:tr>
        <w:tblPrEx>
          <w:tblCellMar>
            <w:top w:w="15" w:type="dxa"/>
            <w:left w:w="15" w:type="dxa"/>
            <w:bottom w:w="15" w:type="dxa"/>
            <w:right w:w="15" w:type="dxa"/>
          </w:tblCellMar>
        </w:tblPrEx>
        <w:trPr>
          <w:trHeight w:val="90" w:hRule="atLeast"/>
          <w:jc w:val="center"/>
        </w:trPr>
        <w:tc>
          <w:tcPr>
            <w:tcW w:w="4580"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bCs/>
                <w:sz w:val="20"/>
                <w:szCs w:val="20"/>
              </w:rPr>
            </w:pPr>
            <w:r>
              <w:rPr>
                <w:rFonts w:hint="default" w:ascii="Times New Roman" w:hAnsi="Times New Roman" w:eastAsia="方正仿宋_GBK" w:cs="Times New Roman"/>
                <w:b/>
                <w:bCs/>
                <w:kern w:val="0"/>
                <w:sz w:val="20"/>
                <w:szCs w:val="20"/>
                <w:lang w:bidi="ar"/>
              </w:rPr>
              <w:t>全市</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bCs/>
                <w:sz w:val="20"/>
                <w:szCs w:val="20"/>
              </w:rPr>
            </w:pPr>
            <w:r>
              <w:rPr>
                <w:rFonts w:hint="default" w:ascii="Times New Roman" w:hAnsi="Times New Roman" w:eastAsia="方正仿宋_GBK" w:cs="Times New Roman"/>
                <w:b/>
                <w:bCs/>
                <w:kern w:val="0"/>
                <w:sz w:val="20"/>
                <w:szCs w:val="20"/>
                <w:lang w:bidi="ar"/>
              </w:rPr>
              <w:t>57532</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bCs/>
                <w:sz w:val="20"/>
                <w:szCs w:val="20"/>
              </w:rPr>
            </w:pPr>
            <w:r>
              <w:rPr>
                <w:rFonts w:hint="default" w:ascii="Times New Roman" w:hAnsi="Times New Roman" w:eastAsia="方正仿宋_GBK" w:cs="Times New Roman"/>
                <w:b/>
                <w:bCs/>
                <w:kern w:val="0"/>
                <w:sz w:val="20"/>
                <w:szCs w:val="20"/>
                <w:lang w:bidi="ar"/>
              </w:rPr>
              <w:t xml:space="preserve">41385 </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00" w:lineRule="atLeast"/>
              <w:jc w:val="center"/>
              <w:textAlignment w:val="center"/>
              <w:rPr>
                <w:rFonts w:hint="default" w:ascii="Times New Roman" w:hAnsi="Times New Roman" w:eastAsia="方正仿宋_GBK" w:cs="Times New Roman"/>
                <w:b/>
                <w:bCs/>
                <w:sz w:val="20"/>
                <w:szCs w:val="20"/>
              </w:rPr>
            </w:pPr>
            <w:r>
              <w:rPr>
                <w:rFonts w:hint="default" w:ascii="Times New Roman" w:hAnsi="Times New Roman" w:eastAsia="方正仿宋_GBK" w:cs="Times New Roman"/>
                <w:b/>
                <w:bCs/>
                <w:kern w:val="0"/>
                <w:sz w:val="20"/>
                <w:szCs w:val="20"/>
                <w:lang w:bidi="ar"/>
              </w:rPr>
              <w:t>71.9</w:t>
            </w:r>
          </w:p>
        </w:tc>
      </w:tr>
    </w:tbl>
    <w:p>
      <w:pPr>
        <w:keepNext w:val="0"/>
        <w:keepLines w:val="0"/>
        <w:pageBreakBefore w:val="0"/>
        <w:widowControl w:val="0"/>
        <w:kinsoku/>
        <w:wordWrap/>
        <w:overflowPunct/>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w:t>
      </w:r>
      <w:r>
        <w:rPr>
          <w:rFonts w:hint="default" w:ascii="Times New Roman" w:hAnsi="Times New Roman" w:eastAsia="方正仿宋_GBK" w:cs="Times New Roman"/>
          <w:b/>
          <w:bCs w:val="0"/>
          <w:sz w:val="32"/>
          <w:szCs w:val="32"/>
          <w:lang w:val="en-US" w:eastAsia="zh-CN"/>
        </w:rPr>
        <w:t>3</w:t>
      </w:r>
      <w:r>
        <w:rPr>
          <w:rFonts w:hint="default" w:ascii="Times New Roman" w:hAnsi="Times New Roman" w:eastAsia="方正仿宋_GBK" w:cs="Times New Roman"/>
          <w:b/>
          <w:bCs w:val="0"/>
          <w:sz w:val="32"/>
          <w:szCs w:val="32"/>
        </w:rPr>
        <w:t>）当地水资源可利用量</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综上所述可知，淮南市当地水资源可利用量为13.05亿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。其中，地表水可利用量7.35亿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（塌陷区蓄水量有近1.37亿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水可利用而没利用），浅层地下水可开采量4.14亿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，中深层地下水允许开采量1.55亿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；三者分别占总可用量的56.3%、31.7%、12.0%。</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王蚌区间北岸水资源可利用量亿5.078亿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，占总可利用量的38.9%；王蚌区间北岸水资源可利用量7.970</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，占总可利用量的61.1%。</w:t>
      </w:r>
    </w:p>
    <w:p>
      <w:pPr>
        <w:adjustRightInd w:val="0"/>
        <w:snapToGrid w:val="0"/>
        <w:jc w:val="center"/>
        <w:rPr>
          <w:rFonts w:hint="eastAsia" w:ascii="方正黑体_GBK" w:hAnsi="方正黑体_GBK" w:eastAsia="方正黑体_GBK" w:cs="方正黑体_GBK"/>
          <w:b/>
          <w:bCs/>
          <w:szCs w:val="21"/>
        </w:rPr>
      </w:pPr>
      <w:r>
        <w:rPr>
          <w:rFonts w:hint="eastAsia" w:ascii="方正黑体_GBK" w:hAnsi="方正黑体_GBK" w:eastAsia="方正黑体_GBK" w:cs="方正黑体_GBK"/>
          <w:b/>
          <w:bCs/>
          <w:sz w:val="24"/>
        </w:rPr>
        <w:t xml:space="preserve">表3.1-10 各行政分区水资源可利用量计算成果表   </w:t>
      </w:r>
      <w:r>
        <w:rPr>
          <w:rFonts w:hint="eastAsia" w:ascii="方正黑体_GBK" w:hAnsi="方正黑体_GBK" w:eastAsia="方正黑体_GBK" w:cs="方正黑体_GBK"/>
          <w:b/>
          <w:bCs/>
          <w:szCs w:val="21"/>
        </w:rPr>
        <w:t xml:space="preserve"> 单位：万m³</w:t>
      </w:r>
    </w:p>
    <w:tbl>
      <w:tblPr>
        <w:tblStyle w:val="12"/>
        <w:tblW w:w="0" w:type="auto"/>
        <w:jc w:val="center"/>
        <w:tblLayout w:type="fixed"/>
        <w:tblCellMar>
          <w:top w:w="15" w:type="dxa"/>
          <w:left w:w="15" w:type="dxa"/>
          <w:bottom w:w="15" w:type="dxa"/>
          <w:right w:w="15" w:type="dxa"/>
        </w:tblCellMar>
      </w:tblPr>
      <w:tblGrid>
        <w:gridCol w:w="1081"/>
        <w:gridCol w:w="1797"/>
        <w:gridCol w:w="2000"/>
        <w:gridCol w:w="1951"/>
        <w:gridCol w:w="1451"/>
      </w:tblGrid>
      <w:tr>
        <w:tblPrEx>
          <w:tblCellMar>
            <w:top w:w="15" w:type="dxa"/>
            <w:left w:w="15" w:type="dxa"/>
            <w:bottom w:w="15" w:type="dxa"/>
            <w:right w:w="15" w:type="dxa"/>
          </w:tblCellMar>
        </w:tblPrEx>
        <w:trPr>
          <w:trHeight w:val="356" w:hRule="atLeas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行政区</w:t>
            </w:r>
          </w:p>
        </w:tc>
        <w:tc>
          <w:tcPr>
            <w:tcW w:w="1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地表水可利用量</w:t>
            </w:r>
          </w:p>
        </w:tc>
        <w:tc>
          <w:tcPr>
            <w:tcW w:w="20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浅层水可利用量</w:t>
            </w:r>
          </w:p>
        </w:tc>
        <w:tc>
          <w:tcPr>
            <w:tcW w:w="19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中深层水可利用量</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水资源可利用</w:t>
            </w:r>
          </w:p>
        </w:tc>
      </w:tr>
      <w:tr>
        <w:tblPrEx>
          <w:tblCellMar>
            <w:top w:w="15" w:type="dxa"/>
            <w:left w:w="15" w:type="dxa"/>
            <w:bottom w:w="15" w:type="dxa"/>
            <w:right w:w="15" w:type="dxa"/>
          </w:tblCellMar>
        </w:tblPrEx>
        <w:trPr>
          <w:trHeight w:val="356" w:hRule="atLeas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w:t>
            </w:r>
          </w:p>
        </w:tc>
        <w:tc>
          <w:tcPr>
            <w:tcW w:w="1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14442</w:t>
            </w:r>
          </w:p>
        </w:tc>
        <w:tc>
          <w:tcPr>
            <w:tcW w:w="20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12993 </w:t>
            </w:r>
          </w:p>
        </w:tc>
        <w:tc>
          <w:tcPr>
            <w:tcW w:w="19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3920</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31355 </w:t>
            </w:r>
          </w:p>
        </w:tc>
      </w:tr>
      <w:tr>
        <w:tblPrEx>
          <w:tblCellMar>
            <w:top w:w="15" w:type="dxa"/>
            <w:left w:w="15" w:type="dxa"/>
            <w:bottom w:w="15" w:type="dxa"/>
            <w:right w:w="15" w:type="dxa"/>
          </w:tblCellMar>
        </w:tblPrEx>
        <w:trPr>
          <w:trHeight w:val="356" w:hRule="atLeas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潘集</w:t>
            </w:r>
          </w:p>
        </w:tc>
        <w:tc>
          <w:tcPr>
            <w:tcW w:w="1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7846</w:t>
            </w:r>
          </w:p>
        </w:tc>
        <w:tc>
          <w:tcPr>
            <w:tcW w:w="20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8817 </w:t>
            </w:r>
          </w:p>
        </w:tc>
        <w:tc>
          <w:tcPr>
            <w:tcW w:w="19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3232</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19895 </w:t>
            </w:r>
          </w:p>
        </w:tc>
      </w:tr>
      <w:tr>
        <w:tblPrEx>
          <w:tblCellMar>
            <w:top w:w="15" w:type="dxa"/>
            <w:left w:w="15" w:type="dxa"/>
            <w:bottom w:w="15" w:type="dxa"/>
            <w:right w:w="15" w:type="dxa"/>
          </w:tblCellMar>
        </w:tblPrEx>
        <w:trPr>
          <w:trHeight w:val="356" w:hRule="atLeas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市区</w:t>
            </w:r>
          </w:p>
        </w:tc>
        <w:tc>
          <w:tcPr>
            <w:tcW w:w="1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11962</w:t>
            </w:r>
          </w:p>
        </w:tc>
        <w:tc>
          <w:tcPr>
            <w:tcW w:w="20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3747 </w:t>
            </w:r>
          </w:p>
        </w:tc>
        <w:tc>
          <w:tcPr>
            <w:tcW w:w="19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1027</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16736 </w:t>
            </w:r>
          </w:p>
        </w:tc>
      </w:tr>
      <w:tr>
        <w:tblPrEx>
          <w:tblCellMar>
            <w:top w:w="15" w:type="dxa"/>
            <w:left w:w="15" w:type="dxa"/>
            <w:bottom w:w="15" w:type="dxa"/>
            <w:right w:w="15" w:type="dxa"/>
          </w:tblCellMar>
        </w:tblPrEx>
        <w:trPr>
          <w:trHeight w:val="356" w:hRule="atLeas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1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39328</w:t>
            </w:r>
          </w:p>
        </w:tc>
        <w:tc>
          <w:tcPr>
            <w:tcW w:w="20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15828 </w:t>
            </w:r>
          </w:p>
        </w:tc>
        <w:tc>
          <w:tcPr>
            <w:tcW w:w="19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7367</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62523 </w:t>
            </w:r>
          </w:p>
        </w:tc>
      </w:tr>
      <w:tr>
        <w:tblPrEx>
          <w:tblCellMar>
            <w:top w:w="15" w:type="dxa"/>
            <w:left w:w="15" w:type="dxa"/>
            <w:bottom w:w="15" w:type="dxa"/>
            <w:right w:w="15" w:type="dxa"/>
          </w:tblCellMar>
        </w:tblPrEx>
        <w:trPr>
          <w:trHeight w:val="373" w:hRule="atLeas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全市</w:t>
            </w:r>
          </w:p>
        </w:tc>
        <w:tc>
          <w:tcPr>
            <w:tcW w:w="1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73578</w:t>
            </w:r>
          </w:p>
        </w:tc>
        <w:tc>
          <w:tcPr>
            <w:tcW w:w="20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 xml:space="preserve">41385 </w:t>
            </w:r>
          </w:p>
        </w:tc>
        <w:tc>
          <w:tcPr>
            <w:tcW w:w="19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15546</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 xml:space="preserve">130509 </w:t>
            </w:r>
          </w:p>
        </w:tc>
      </w:tr>
    </w:tbl>
    <w:p>
      <w:pPr>
        <w:adjustRightInd w:val="0"/>
        <w:snapToGrid w:val="0"/>
        <w:spacing w:line="360" w:lineRule="auto"/>
        <w:jc w:val="center"/>
        <w:rPr>
          <w:b/>
          <w:bCs/>
          <w:sz w:val="24"/>
        </w:rPr>
      </w:pPr>
    </w:p>
    <w:p>
      <w:pPr>
        <w:adjustRightInd w:val="0"/>
        <w:snapToGrid w:val="0"/>
        <w:jc w:val="center"/>
        <w:rPr>
          <w:rFonts w:hint="eastAsia" w:ascii="方正黑体_GBK" w:hAnsi="方正黑体_GBK" w:eastAsia="方正黑体_GBK" w:cs="方正黑体_GBK"/>
          <w:b/>
          <w:bCs/>
          <w:szCs w:val="21"/>
        </w:rPr>
      </w:pPr>
      <w:r>
        <w:rPr>
          <w:rFonts w:hint="eastAsia" w:ascii="方正黑体_GBK" w:hAnsi="方正黑体_GBK" w:eastAsia="方正黑体_GBK" w:cs="方正黑体_GBK"/>
          <w:b/>
          <w:bCs/>
          <w:sz w:val="24"/>
        </w:rPr>
        <w:t xml:space="preserve"> 表3.1-11 淮南市区域内水资源可利用量计算成果表  </w:t>
      </w:r>
      <w:r>
        <w:rPr>
          <w:rFonts w:hint="eastAsia" w:ascii="方正黑体_GBK" w:hAnsi="方正黑体_GBK" w:eastAsia="方正黑体_GBK" w:cs="方正黑体_GBK"/>
          <w:b/>
          <w:bCs/>
          <w:szCs w:val="21"/>
        </w:rPr>
        <w:t xml:space="preserve"> 单位：万m³</w:t>
      </w:r>
    </w:p>
    <w:tbl>
      <w:tblPr>
        <w:tblStyle w:val="12"/>
        <w:tblW w:w="0" w:type="auto"/>
        <w:jc w:val="center"/>
        <w:tblLayout w:type="fixed"/>
        <w:tblCellMar>
          <w:top w:w="15" w:type="dxa"/>
          <w:left w:w="15" w:type="dxa"/>
          <w:bottom w:w="15" w:type="dxa"/>
          <w:right w:w="15" w:type="dxa"/>
        </w:tblCellMar>
      </w:tblPr>
      <w:tblGrid>
        <w:gridCol w:w="723"/>
        <w:gridCol w:w="753"/>
        <w:gridCol w:w="723"/>
        <w:gridCol w:w="963"/>
        <w:gridCol w:w="963"/>
        <w:gridCol w:w="1042"/>
        <w:gridCol w:w="1178"/>
        <w:gridCol w:w="1147"/>
        <w:gridCol w:w="1388"/>
      </w:tblGrid>
      <w:tr>
        <w:tblPrEx>
          <w:tblCellMar>
            <w:top w:w="15" w:type="dxa"/>
            <w:left w:w="15" w:type="dxa"/>
            <w:bottom w:w="15" w:type="dxa"/>
            <w:right w:w="15" w:type="dxa"/>
          </w:tblCellMar>
        </w:tblPrEx>
        <w:trPr>
          <w:trHeight w:val="90" w:hRule="atLeast"/>
          <w:jc w:val="center"/>
        </w:trPr>
        <w:tc>
          <w:tcPr>
            <w:tcW w:w="3162"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水资源分区</w:t>
            </w:r>
          </w:p>
        </w:tc>
        <w:tc>
          <w:tcPr>
            <w:tcW w:w="96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行政分区</w:t>
            </w:r>
          </w:p>
        </w:tc>
        <w:tc>
          <w:tcPr>
            <w:tcW w:w="104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地表水</w:t>
            </w:r>
          </w:p>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可利用量</w:t>
            </w:r>
          </w:p>
        </w:tc>
        <w:tc>
          <w:tcPr>
            <w:tcW w:w="117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浅层地下水</w:t>
            </w:r>
          </w:p>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可利用量</w:t>
            </w:r>
          </w:p>
        </w:tc>
        <w:tc>
          <w:tcPr>
            <w:tcW w:w="114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中深层地下水可利用量</w:t>
            </w:r>
          </w:p>
        </w:tc>
        <w:tc>
          <w:tcPr>
            <w:tcW w:w="138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当地水资源</w:t>
            </w:r>
          </w:p>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可利用量</w:t>
            </w:r>
          </w:p>
        </w:tc>
      </w:tr>
      <w:tr>
        <w:tblPrEx>
          <w:tblCellMar>
            <w:top w:w="15" w:type="dxa"/>
            <w:left w:w="15" w:type="dxa"/>
            <w:bottom w:w="15" w:type="dxa"/>
            <w:right w:w="15" w:type="dxa"/>
          </w:tblCellMar>
        </w:tblPrEx>
        <w:trPr>
          <w:trHeight w:val="90" w:hRule="atLeast"/>
          <w:jc w:val="center"/>
        </w:trPr>
        <w:tc>
          <w:tcPr>
            <w:tcW w:w="72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一级区</w:t>
            </w:r>
          </w:p>
        </w:tc>
        <w:tc>
          <w:tcPr>
            <w:tcW w:w="75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二级区</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三级区</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四级区</w:t>
            </w:r>
          </w:p>
        </w:tc>
        <w:tc>
          <w:tcPr>
            <w:tcW w:w="96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04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17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147"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388"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r>
      <w:tr>
        <w:tblPrEx>
          <w:tblCellMar>
            <w:top w:w="15" w:type="dxa"/>
            <w:left w:w="15" w:type="dxa"/>
            <w:bottom w:w="15" w:type="dxa"/>
            <w:right w:w="15" w:type="dxa"/>
          </w:tblCellMar>
        </w:tblPrEx>
        <w:trPr>
          <w:trHeight w:val="90" w:hRule="atLeast"/>
          <w:jc w:val="center"/>
        </w:trPr>
        <w:tc>
          <w:tcPr>
            <w:tcW w:w="72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w:t>
            </w:r>
          </w:p>
        </w:tc>
        <w:tc>
          <w:tcPr>
            <w:tcW w:w="75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淮河中游</w:t>
            </w:r>
          </w:p>
        </w:tc>
        <w:tc>
          <w:tcPr>
            <w:tcW w:w="72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王蚌区间</w:t>
            </w:r>
          </w:p>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北岸</w:t>
            </w:r>
          </w:p>
        </w:tc>
        <w:tc>
          <w:tcPr>
            <w:tcW w:w="96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西淝河下段区</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潘集区</w:t>
            </w:r>
          </w:p>
        </w:tc>
        <w:tc>
          <w:tcPr>
            <w:tcW w:w="10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7846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8817 </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3232 </w:t>
            </w:r>
          </w:p>
        </w:tc>
        <w:tc>
          <w:tcPr>
            <w:tcW w:w="138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19894 </w:t>
            </w:r>
          </w:p>
        </w:tc>
      </w:tr>
      <w:tr>
        <w:tblPrEx>
          <w:tblCellMar>
            <w:top w:w="15" w:type="dxa"/>
            <w:left w:w="15" w:type="dxa"/>
            <w:bottom w:w="15" w:type="dxa"/>
            <w:right w:w="15" w:type="dxa"/>
          </w:tblCellMar>
        </w:tblPrEx>
        <w:trPr>
          <w:trHeight w:val="90"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5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2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6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凤台县</w:t>
            </w:r>
          </w:p>
          <w:p>
            <w:pPr>
              <w:widowControl/>
              <w:adjustRightInd w:val="0"/>
              <w:snapToGrid w:val="0"/>
              <w:jc w:val="center"/>
              <w:textAlignment w:val="center"/>
              <w:rPr>
                <w:rFonts w:hint="default" w:ascii="Times New Roman" w:hAnsi="Times New Roman" w:eastAsia="方正仿宋_GBK" w:cs="Times New Roman"/>
                <w:szCs w:val="21"/>
              </w:rPr>
            </w:pPr>
            <w:r>
              <w:rPr>
                <w:rStyle w:val="23"/>
                <w:rFonts w:hint="default" w:ascii="Times New Roman" w:hAnsi="Times New Roman" w:eastAsia="方正仿宋_GBK" w:cs="Times New Roman"/>
                <w:color w:val="auto"/>
                <w:sz w:val="21"/>
                <w:szCs w:val="21"/>
                <w:lang w:bidi="ar"/>
              </w:rPr>
              <w:t>毛集区</w:t>
            </w:r>
          </w:p>
        </w:tc>
        <w:tc>
          <w:tcPr>
            <w:tcW w:w="10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12954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12211 </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3622 </w:t>
            </w:r>
          </w:p>
        </w:tc>
        <w:tc>
          <w:tcPr>
            <w:tcW w:w="138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28787 </w:t>
            </w:r>
          </w:p>
        </w:tc>
      </w:tr>
      <w:tr>
        <w:tblPrEx>
          <w:tblCellMar>
            <w:top w:w="15" w:type="dxa"/>
            <w:left w:w="15" w:type="dxa"/>
            <w:bottom w:w="15" w:type="dxa"/>
            <w:right w:w="15" w:type="dxa"/>
          </w:tblCellMar>
        </w:tblPrEx>
        <w:trPr>
          <w:trHeight w:val="90"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5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2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6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小计</w:t>
            </w:r>
          </w:p>
        </w:tc>
        <w:tc>
          <w:tcPr>
            <w:tcW w:w="10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20799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21028 </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6854 </w:t>
            </w:r>
          </w:p>
        </w:tc>
        <w:tc>
          <w:tcPr>
            <w:tcW w:w="138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48681 </w:t>
            </w:r>
          </w:p>
        </w:tc>
      </w:tr>
      <w:tr>
        <w:tblPrEx>
          <w:tblCellMar>
            <w:top w:w="15" w:type="dxa"/>
            <w:left w:w="15" w:type="dxa"/>
            <w:bottom w:w="15" w:type="dxa"/>
            <w:right w:w="15" w:type="dxa"/>
          </w:tblCellMar>
        </w:tblPrEx>
        <w:trPr>
          <w:trHeight w:val="90"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5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2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6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茨淮新河区</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潘集区</w:t>
            </w:r>
          </w:p>
        </w:tc>
        <w:tc>
          <w:tcPr>
            <w:tcW w:w="10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161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163 </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75 </w:t>
            </w:r>
          </w:p>
        </w:tc>
        <w:tc>
          <w:tcPr>
            <w:tcW w:w="138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399 </w:t>
            </w:r>
          </w:p>
        </w:tc>
      </w:tr>
      <w:tr>
        <w:tblPrEx>
          <w:tblCellMar>
            <w:top w:w="15" w:type="dxa"/>
            <w:left w:w="15" w:type="dxa"/>
            <w:bottom w:w="15" w:type="dxa"/>
            <w:right w:w="15" w:type="dxa"/>
          </w:tblCellMar>
        </w:tblPrEx>
        <w:trPr>
          <w:trHeight w:val="90"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5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2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6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w:t>
            </w:r>
          </w:p>
        </w:tc>
        <w:tc>
          <w:tcPr>
            <w:tcW w:w="10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657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654 </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241 </w:t>
            </w:r>
          </w:p>
        </w:tc>
        <w:tc>
          <w:tcPr>
            <w:tcW w:w="138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1552 </w:t>
            </w:r>
          </w:p>
        </w:tc>
      </w:tr>
      <w:tr>
        <w:tblPrEx>
          <w:tblCellMar>
            <w:top w:w="15" w:type="dxa"/>
            <w:left w:w="15" w:type="dxa"/>
            <w:bottom w:w="15" w:type="dxa"/>
            <w:right w:w="15" w:type="dxa"/>
          </w:tblCellMar>
        </w:tblPrEx>
        <w:trPr>
          <w:trHeight w:val="90"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5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2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6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小计</w:t>
            </w:r>
          </w:p>
        </w:tc>
        <w:tc>
          <w:tcPr>
            <w:tcW w:w="10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817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817 </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316 </w:t>
            </w:r>
          </w:p>
        </w:tc>
        <w:tc>
          <w:tcPr>
            <w:tcW w:w="138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1951 </w:t>
            </w:r>
          </w:p>
        </w:tc>
      </w:tr>
      <w:tr>
        <w:tblPrEx>
          <w:tblCellMar>
            <w:top w:w="15" w:type="dxa"/>
            <w:left w:w="15" w:type="dxa"/>
            <w:bottom w:w="15" w:type="dxa"/>
            <w:right w:w="15" w:type="dxa"/>
          </w:tblCellMar>
        </w:tblPrEx>
        <w:trPr>
          <w:trHeight w:val="90"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5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2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92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合计</w:t>
            </w:r>
          </w:p>
        </w:tc>
        <w:tc>
          <w:tcPr>
            <w:tcW w:w="10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21655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21845 </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7170 </w:t>
            </w:r>
          </w:p>
        </w:tc>
        <w:tc>
          <w:tcPr>
            <w:tcW w:w="138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50670 </w:t>
            </w:r>
          </w:p>
        </w:tc>
      </w:tr>
      <w:tr>
        <w:tblPrEx>
          <w:tblCellMar>
            <w:top w:w="15" w:type="dxa"/>
            <w:left w:w="15" w:type="dxa"/>
            <w:bottom w:w="15" w:type="dxa"/>
            <w:right w:w="15" w:type="dxa"/>
          </w:tblCellMar>
        </w:tblPrEx>
        <w:trPr>
          <w:trHeight w:val="90"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5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2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王蚌区间</w:t>
            </w:r>
          </w:p>
        </w:tc>
        <w:tc>
          <w:tcPr>
            <w:tcW w:w="96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王蚌南岸沿淮区</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淮河以</w:t>
            </w:r>
          </w:p>
          <w:p>
            <w:pPr>
              <w:widowControl/>
              <w:adjustRightInd w:val="0"/>
              <w:snapToGrid w:val="0"/>
              <w:jc w:val="center"/>
              <w:textAlignment w:val="center"/>
              <w:rPr>
                <w:rFonts w:hint="default" w:ascii="Times New Roman" w:hAnsi="Times New Roman" w:eastAsia="方正仿宋_GBK" w:cs="Times New Roman"/>
                <w:szCs w:val="21"/>
              </w:rPr>
            </w:pPr>
            <w:r>
              <w:rPr>
                <w:rStyle w:val="23"/>
                <w:rFonts w:hint="default" w:ascii="Times New Roman" w:hAnsi="Times New Roman" w:eastAsia="方正仿宋_GBK" w:cs="Times New Roman"/>
                <w:color w:val="auto"/>
                <w:sz w:val="21"/>
                <w:szCs w:val="21"/>
                <w:lang w:bidi="ar"/>
              </w:rPr>
              <w:t>南市区</w:t>
            </w:r>
          </w:p>
        </w:tc>
        <w:tc>
          <w:tcPr>
            <w:tcW w:w="10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11802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3583 </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952 </w:t>
            </w:r>
          </w:p>
        </w:tc>
        <w:tc>
          <w:tcPr>
            <w:tcW w:w="138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16337 </w:t>
            </w:r>
          </w:p>
        </w:tc>
      </w:tr>
      <w:tr>
        <w:tblPrEx>
          <w:tblCellMar>
            <w:top w:w="15" w:type="dxa"/>
            <w:left w:w="15" w:type="dxa"/>
            <w:bottom w:w="15" w:type="dxa"/>
            <w:right w:w="15" w:type="dxa"/>
          </w:tblCellMar>
        </w:tblPrEx>
        <w:trPr>
          <w:trHeight w:val="90"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5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2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6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w:t>
            </w:r>
          </w:p>
        </w:tc>
        <w:tc>
          <w:tcPr>
            <w:tcW w:w="10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785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129 </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57 </w:t>
            </w:r>
          </w:p>
        </w:tc>
        <w:tc>
          <w:tcPr>
            <w:tcW w:w="138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970 </w:t>
            </w:r>
          </w:p>
        </w:tc>
      </w:tr>
      <w:tr>
        <w:tblPrEx>
          <w:tblCellMar>
            <w:top w:w="15" w:type="dxa"/>
            <w:left w:w="15" w:type="dxa"/>
            <w:bottom w:w="15" w:type="dxa"/>
            <w:right w:w="15" w:type="dxa"/>
          </w:tblCellMar>
        </w:tblPrEx>
        <w:trPr>
          <w:trHeight w:val="90"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5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2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6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10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39328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15828 </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7367 </w:t>
            </w:r>
          </w:p>
        </w:tc>
        <w:tc>
          <w:tcPr>
            <w:tcW w:w="138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62524 </w:t>
            </w:r>
          </w:p>
        </w:tc>
      </w:tr>
      <w:tr>
        <w:tblPrEx>
          <w:tblCellMar>
            <w:top w:w="15" w:type="dxa"/>
            <w:left w:w="15" w:type="dxa"/>
            <w:bottom w:w="15" w:type="dxa"/>
            <w:right w:w="15" w:type="dxa"/>
          </w:tblCellMar>
        </w:tblPrEx>
        <w:trPr>
          <w:trHeight w:val="90"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5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72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rPr>
                <w:rFonts w:hint="default" w:ascii="Times New Roman" w:hAnsi="Times New Roman" w:eastAsia="方正仿宋_GBK" w:cs="Times New Roman"/>
                <w:szCs w:val="21"/>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小计</w:t>
            </w:r>
          </w:p>
        </w:tc>
        <w:tc>
          <w:tcPr>
            <w:tcW w:w="10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51916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19540 </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8376 </w:t>
            </w:r>
          </w:p>
        </w:tc>
        <w:tc>
          <w:tcPr>
            <w:tcW w:w="138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79832 </w:t>
            </w:r>
          </w:p>
        </w:tc>
      </w:tr>
      <w:tr>
        <w:tblPrEx>
          <w:tblCellMar>
            <w:top w:w="15" w:type="dxa"/>
            <w:left w:w="15" w:type="dxa"/>
            <w:bottom w:w="15" w:type="dxa"/>
            <w:right w:w="15" w:type="dxa"/>
          </w:tblCellMar>
        </w:tblPrEx>
        <w:trPr>
          <w:trHeight w:val="90" w:hRule="atLeast"/>
          <w:jc w:val="center"/>
        </w:trPr>
        <w:tc>
          <w:tcPr>
            <w:tcW w:w="3162" w:type="dxa"/>
            <w:gridSpan w:val="4"/>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行政区合计</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凤台县</w:t>
            </w:r>
          </w:p>
          <w:p>
            <w:pPr>
              <w:widowControl/>
              <w:adjustRightInd w:val="0"/>
              <w:snapToGrid w:val="0"/>
              <w:jc w:val="center"/>
              <w:textAlignment w:val="center"/>
              <w:rPr>
                <w:rFonts w:hint="default" w:ascii="Times New Roman" w:hAnsi="Times New Roman" w:eastAsia="方正仿宋_GBK" w:cs="Times New Roman"/>
                <w:szCs w:val="21"/>
              </w:rPr>
            </w:pPr>
            <w:r>
              <w:rPr>
                <w:rStyle w:val="23"/>
                <w:rFonts w:hint="default" w:ascii="Times New Roman" w:hAnsi="Times New Roman" w:eastAsia="方正仿宋_GBK" w:cs="Times New Roman"/>
                <w:color w:val="auto"/>
                <w:sz w:val="21"/>
                <w:szCs w:val="21"/>
                <w:lang w:bidi="ar"/>
              </w:rPr>
              <w:t>毛集区</w:t>
            </w:r>
          </w:p>
        </w:tc>
        <w:tc>
          <w:tcPr>
            <w:tcW w:w="10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14396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12993 </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3920 </w:t>
            </w:r>
          </w:p>
        </w:tc>
        <w:tc>
          <w:tcPr>
            <w:tcW w:w="138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31309 </w:t>
            </w:r>
          </w:p>
        </w:tc>
      </w:tr>
      <w:tr>
        <w:tblPrEx>
          <w:tblCellMar>
            <w:top w:w="15" w:type="dxa"/>
            <w:left w:w="15" w:type="dxa"/>
            <w:bottom w:w="15" w:type="dxa"/>
            <w:right w:w="15" w:type="dxa"/>
          </w:tblCellMar>
        </w:tblPrEx>
        <w:trPr>
          <w:trHeight w:val="90" w:hRule="atLeast"/>
          <w:jc w:val="center"/>
        </w:trPr>
        <w:tc>
          <w:tcPr>
            <w:tcW w:w="3162" w:type="dxa"/>
            <w:gridSpan w:val="4"/>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潘集区</w:t>
            </w:r>
          </w:p>
        </w:tc>
        <w:tc>
          <w:tcPr>
            <w:tcW w:w="10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8006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8980 </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3307 </w:t>
            </w:r>
          </w:p>
        </w:tc>
        <w:tc>
          <w:tcPr>
            <w:tcW w:w="138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20293 </w:t>
            </w:r>
          </w:p>
        </w:tc>
      </w:tr>
      <w:tr>
        <w:tblPrEx>
          <w:tblCellMar>
            <w:top w:w="15" w:type="dxa"/>
            <w:left w:w="15" w:type="dxa"/>
            <w:bottom w:w="15" w:type="dxa"/>
            <w:right w:w="15" w:type="dxa"/>
          </w:tblCellMar>
        </w:tblPrEx>
        <w:trPr>
          <w:trHeight w:val="90" w:hRule="atLeast"/>
          <w:jc w:val="center"/>
        </w:trPr>
        <w:tc>
          <w:tcPr>
            <w:tcW w:w="3162" w:type="dxa"/>
            <w:gridSpan w:val="4"/>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淮河以</w:t>
            </w:r>
          </w:p>
          <w:p>
            <w:pPr>
              <w:widowControl/>
              <w:adjustRightInd w:val="0"/>
              <w:snapToGrid w:val="0"/>
              <w:jc w:val="center"/>
              <w:textAlignment w:val="center"/>
              <w:rPr>
                <w:rFonts w:hint="default" w:ascii="Times New Roman" w:hAnsi="Times New Roman" w:eastAsia="方正仿宋_GBK" w:cs="Times New Roman"/>
                <w:szCs w:val="21"/>
              </w:rPr>
            </w:pPr>
            <w:r>
              <w:rPr>
                <w:rStyle w:val="23"/>
                <w:rFonts w:hint="default" w:ascii="Times New Roman" w:hAnsi="Times New Roman" w:eastAsia="方正仿宋_GBK" w:cs="Times New Roman"/>
                <w:color w:val="auto"/>
                <w:sz w:val="21"/>
                <w:szCs w:val="21"/>
                <w:lang w:bidi="ar"/>
              </w:rPr>
              <w:t>南市区</w:t>
            </w:r>
          </w:p>
        </w:tc>
        <w:tc>
          <w:tcPr>
            <w:tcW w:w="10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11802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3583 </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952 </w:t>
            </w:r>
          </w:p>
        </w:tc>
        <w:tc>
          <w:tcPr>
            <w:tcW w:w="138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16337 </w:t>
            </w:r>
          </w:p>
        </w:tc>
      </w:tr>
      <w:tr>
        <w:tblPrEx>
          <w:tblCellMar>
            <w:top w:w="15" w:type="dxa"/>
            <w:left w:w="15" w:type="dxa"/>
            <w:bottom w:w="15" w:type="dxa"/>
            <w:right w:w="15" w:type="dxa"/>
          </w:tblCellMar>
        </w:tblPrEx>
        <w:trPr>
          <w:trHeight w:val="90" w:hRule="atLeast"/>
          <w:jc w:val="center"/>
        </w:trPr>
        <w:tc>
          <w:tcPr>
            <w:tcW w:w="3162" w:type="dxa"/>
            <w:gridSpan w:val="4"/>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10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39328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15828 </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7367 </w:t>
            </w:r>
          </w:p>
        </w:tc>
        <w:tc>
          <w:tcPr>
            <w:tcW w:w="138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62524 </w:t>
            </w:r>
          </w:p>
        </w:tc>
      </w:tr>
      <w:tr>
        <w:tblPrEx>
          <w:tblCellMar>
            <w:top w:w="15" w:type="dxa"/>
            <w:left w:w="15" w:type="dxa"/>
            <w:bottom w:w="15" w:type="dxa"/>
            <w:right w:w="15" w:type="dxa"/>
          </w:tblCellMar>
        </w:tblPrEx>
        <w:trPr>
          <w:trHeight w:val="90" w:hRule="atLeast"/>
          <w:jc w:val="center"/>
        </w:trPr>
        <w:tc>
          <w:tcPr>
            <w:tcW w:w="412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全市</w:t>
            </w:r>
          </w:p>
        </w:tc>
        <w:tc>
          <w:tcPr>
            <w:tcW w:w="10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 xml:space="preserve">73532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 xml:space="preserve">41385 </w:t>
            </w: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 xml:space="preserve">15546 </w:t>
            </w:r>
          </w:p>
        </w:tc>
        <w:tc>
          <w:tcPr>
            <w:tcW w:w="138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 xml:space="preserve">130464 </w:t>
            </w:r>
          </w:p>
        </w:tc>
      </w:tr>
    </w:tbl>
    <w:p>
      <w:pPr>
        <w:keepNext w:val="0"/>
        <w:keepLines w:val="0"/>
        <w:pageBreakBefore w:val="0"/>
        <w:widowControl w:val="0"/>
        <w:kinsoku/>
        <w:wordWrap/>
        <w:overflowPunct/>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w:t>
      </w:r>
      <w:r>
        <w:rPr>
          <w:rFonts w:hint="default" w:ascii="Times New Roman" w:hAnsi="Times New Roman" w:eastAsia="方正仿宋_GBK" w:cs="Times New Roman"/>
          <w:b/>
          <w:bCs w:val="0"/>
          <w:sz w:val="32"/>
          <w:szCs w:val="32"/>
          <w:lang w:val="en-US" w:eastAsia="zh-CN"/>
        </w:rPr>
        <w:t>4</w:t>
      </w:r>
      <w:r>
        <w:rPr>
          <w:rFonts w:hint="default" w:ascii="Times New Roman" w:hAnsi="Times New Roman" w:eastAsia="方正仿宋_GBK" w:cs="Times New Roman"/>
          <w:b/>
          <w:bCs w:val="0"/>
          <w:sz w:val="32"/>
          <w:szCs w:val="32"/>
        </w:rPr>
        <w:t>）淮河干流过境水资源可利用量</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淮河干流多年平均入境水量204.5亿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，多年平均汛期下泄洪水量142.5亿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。根据《安徽省十三五水资源保护规划》中确定的干流鲁台子段生态流量非汛期为76.5m³/s，蚌埠闸正常蓄水位18.00m时槽蓄量为3.18亿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，则淮河干流过境水资源可利用量为41.08亿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（这水量阜阳、淮南、亳州、蚌埠都可用）。</w:t>
      </w:r>
    </w:p>
    <w:p>
      <w:pPr>
        <w:adjustRightInd w:val="0"/>
        <w:snapToGrid w:val="0"/>
        <w:spacing w:line="520" w:lineRule="exact"/>
        <w:ind w:firstLine="482" w:firstLineChars="200"/>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表3.1-12 淮河干流过境水资源可利用量计算成果表  单位：亿m³</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272"/>
        <w:gridCol w:w="1123"/>
        <w:gridCol w:w="1959"/>
        <w:gridCol w:w="1756"/>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904"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资源</w:t>
            </w:r>
          </w:p>
          <w:p>
            <w:pPr>
              <w:widowControl/>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分类</w:t>
            </w:r>
          </w:p>
        </w:tc>
        <w:tc>
          <w:tcPr>
            <w:tcW w:w="1272"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多年平均入</w:t>
            </w:r>
          </w:p>
          <w:p>
            <w:pPr>
              <w:widowControl/>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境水资源量</w:t>
            </w:r>
          </w:p>
        </w:tc>
        <w:tc>
          <w:tcPr>
            <w:tcW w:w="1123"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生态</w:t>
            </w:r>
          </w:p>
          <w:p>
            <w:pPr>
              <w:widowControl/>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需水量</w:t>
            </w:r>
          </w:p>
        </w:tc>
        <w:tc>
          <w:tcPr>
            <w:tcW w:w="1959" w:type="dxa"/>
            <w:noWrap w:val="0"/>
            <w:vAlign w:val="center"/>
          </w:tcPr>
          <w:p>
            <w:pPr>
              <w:widowControl/>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shd w:val="clear" w:color="auto" w:fill="FFFFFF"/>
              </w:rPr>
              <w:t>蚌埠闸正常蓄水位18.00m时槽蓄量</w:t>
            </w:r>
          </w:p>
        </w:tc>
        <w:tc>
          <w:tcPr>
            <w:tcW w:w="1756"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多年平均汛期</w:t>
            </w:r>
          </w:p>
          <w:p>
            <w:pPr>
              <w:widowControl/>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洪水下泄量</w:t>
            </w:r>
          </w:p>
        </w:tc>
        <w:tc>
          <w:tcPr>
            <w:tcW w:w="1326"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w:t>
            </w:r>
          </w:p>
          <w:p>
            <w:pPr>
              <w:widowControl/>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可利用量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904" w:type="dxa"/>
            <w:noWrap w:val="0"/>
            <w:vAlign w:val="center"/>
          </w:tcPr>
          <w:p>
            <w:pPr>
              <w:widowControl/>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数值</w:t>
            </w:r>
          </w:p>
        </w:tc>
        <w:tc>
          <w:tcPr>
            <w:tcW w:w="1272" w:type="dxa"/>
            <w:noWrap w:val="0"/>
            <w:vAlign w:val="center"/>
          </w:tcPr>
          <w:p>
            <w:pPr>
              <w:widowControl/>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 xml:space="preserve">204.5 </w:t>
            </w:r>
          </w:p>
        </w:tc>
        <w:tc>
          <w:tcPr>
            <w:tcW w:w="1123" w:type="dxa"/>
            <w:noWrap w:val="0"/>
            <w:vAlign w:val="center"/>
          </w:tcPr>
          <w:p>
            <w:pPr>
              <w:widowControl/>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 xml:space="preserve">24.1 </w:t>
            </w:r>
          </w:p>
        </w:tc>
        <w:tc>
          <w:tcPr>
            <w:tcW w:w="1959" w:type="dxa"/>
            <w:noWrap w:val="0"/>
            <w:vAlign w:val="center"/>
          </w:tcPr>
          <w:p>
            <w:pPr>
              <w:widowControl/>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3.18</w:t>
            </w:r>
          </w:p>
        </w:tc>
        <w:tc>
          <w:tcPr>
            <w:tcW w:w="1756" w:type="dxa"/>
            <w:noWrap w:val="0"/>
            <w:vAlign w:val="center"/>
          </w:tcPr>
          <w:p>
            <w:pPr>
              <w:widowControl/>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142.5</w:t>
            </w:r>
          </w:p>
        </w:tc>
        <w:tc>
          <w:tcPr>
            <w:tcW w:w="1326" w:type="dxa"/>
            <w:noWrap w:val="0"/>
            <w:vAlign w:val="center"/>
          </w:tcPr>
          <w:p>
            <w:pPr>
              <w:widowControl/>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41.08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340" w:type="dxa"/>
            <w:gridSpan w:val="6"/>
            <w:noWrap w:val="0"/>
            <w:vAlign w:val="top"/>
          </w:tcPr>
          <w:p>
            <w:pPr>
              <w:rPr>
                <w:rFonts w:hint="default" w:ascii="Times New Roman" w:hAnsi="Times New Roman" w:eastAsia="方正仿宋_GBK" w:cs="Times New Roman"/>
                <w:szCs w:val="21"/>
              </w:rPr>
            </w:pPr>
            <w:r>
              <w:rPr>
                <w:rFonts w:hint="default" w:ascii="Times New Roman" w:hAnsi="Times New Roman" w:eastAsia="方正仿宋_GBK" w:cs="Times New Roman"/>
                <w:szCs w:val="21"/>
              </w:rPr>
              <w:t>备注：生态需水流量76.5m³/s，</w:t>
            </w:r>
            <w:r>
              <w:rPr>
                <w:rFonts w:hint="default" w:ascii="Times New Roman" w:hAnsi="Times New Roman" w:eastAsia="方正仿宋_GBK" w:cs="Times New Roman"/>
                <w:szCs w:val="21"/>
                <w:shd w:val="clear" w:color="auto" w:fill="FFFFFF"/>
              </w:rPr>
              <w:t>蚌埠闸正常蓄水位18.00m时槽蓄量3.18</w:t>
            </w:r>
            <w:r>
              <w:rPr>
                <w:rFonts w:hint="default" w:ascii="Times New Roman" w:hAnsi="Times New Roman" w:eastAsia="方正仿宋_GBK" w:cs="Times New Roman"/>
                <w:szCs w:val="21"/>
              </w:rPr>
              <w:t>亿</w:t>
            </w:r>
            <w:r>
              <w:rPr>
                <w:rFonts w:hint="default" w:ascii="Times New Roman" w:hAnsi="Times New Roman" w:eastAsia="方正仿宋_GBK" w:cs="Times New Roman"/>
                <w:szCs w:val="21"/>
                <w:lang w:eastAsia="zh-CN"/>
              </w:rPr>
              <w:t>m³</w:t>
            </w:r>
            <w:r>
              <w:rPr>
                <w:rFonts w:hint="default" w:ascii="Times New Roman" w:hAnsi="Times New Roman" w:eastAsia="方正仿宋_GBK" w:cs="Times New Roman"/>
                <w:szCs w:val="21"/>
              </w:rPr>
              <w:t>.</w:t>
            </w:r>
          </w:p>
        </w:tc>
      </w:tr>
    </w:tbl>
    <w:p>
      <w:bookmarkStart w:id="97" w:name="_Toc312309838"/>
    </w:p>
    <w:p>
      <w:pPr>
        <w:pStyle w:val="4"/>
        <w:pageBreakBefore w:val="0"/>
        <w:widowControl w:val="0"/>
        <w:kinsoku/>
        <w:wordWrap/>
        <w:overflowPunct/>
        <w:autoSpaceDE/>
        <w:autoSpaceDN/>
        <w:bidi w:val="0"/>
        <w:spacing w:line="590" w:lineRule="exact"/>
        <w:rPr>
          <w:rFonts w:hint="eastAsia" w:ascii="方正黑体_GBK" w:hAnsi="方正黑体_GBK" w:eastAsia="方正黑体_GBK" w:cs="方正黑体_GBK"/>
          <w:b w:val="0"/>
          <w:bCs w:val="0"/>
          <w:sz w:val="32"/>
          <w:szCs w:val="36"/>
        </w:rPr>
      </w:pPr>
      <w:bookmarkStart w:id="98" w:name="_Toc3242"/>
      <w:r>
        <w:rPr>
          <w:rFonts w:hint="eastAsia" w:ascii="方正黑体_GBK" w:hAnsi="方正黑体_GBK" w:eastAsia="方正黑体_GBK" w:cs="方正黑体_GBK"/>
          <w:b w:val="0"/>
          <w:bCs w:val="0"/>
          <w:sz w:val="32"/>
          <w:szCs w:val="36"/>
        </w:rPr>
        <w:t>第二节  水资源质量调查评价</w:t>
      </w:r>
      <w:bookmarkEnd w:id="97"/>
      <w:bookmarkEnd w:id="98"/>
    </w:p>
    <w:p>
      <w:pPr>
        <w:pStyle w:val="5"/>
        <w:pageBreakBefore w:val="0"/>
        <w:widowControl w:val="0"/>
        <w:kinsoku/>
        <w:wordWrap/>
        <w:overflowPunct/>
        <w:autoSpaceDE/>
        <w:autoSpaceDN/>
        <w:bidi w:val="0"/>
        <w:spacing w:line="590" w:lineRule="exact"/>
        <w:ind w:firstLine="562"/>
        <w:rPr>
          <w:rFonts w:hint="eastAsia" w:ascii="方正楷体_GBK" w:hAnsi="方正楷体_GBK" w:eastAsia="方正楷体_GBK" w:cs="方正楷体_GBK"/>
          <w:b w:val="0"/>
          <w:bCs/>
          <w:sz w:val="32"/>
          <w:szCs w:val="32"/>
        </w:rPr>
      </w:pPr>
      <w:bookmarkStart w:id="99" w:name="_Toc16254"/>
      <w:bookmarkStart w:id="100" w:name="_Toc312309839"/>
      <w:r>
        <w:rPr>
          <w:rFonts w:hint="eastAsia" w:ascii="方正楷体_GBK" w:hAnsi="方正楷体_GBK" w:eastAsia="方正楷体_GBK" w:cs="方正楷体_GBK"/>
          <w:b w:val="0"/>
          <w:bCs/>
          <w:sz w:val="32"/>
          <w:szCs w:val="32"/>
        </w:rPr>
        <w:t>一、地表水水质</w:t>
      </w:r>
      <w:bookmarkEnd w:id="99"/>
      <w:bookmarkEnd w:id="100"/>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2015年淮南市境内地表水质量较好，境内主要以淮河、西淝河（下段）及淠东干渠三条河流为监测目标，水质类别评价项目为已监测的GB3838-2002所规定的基本项目。Ⅱ～Ⅲ类水占44.8%，Ⅳ～Ⅴ类水占54.2%，劣Ⅴ类水占1.0%；汛期Ⅱ～Ⅲ类水占27.5%，Ⅳ～Ⅴ类水占72.5%；非汛期Ⅱ～Ⅲ类水占57.1%，Ⅳ～Ⅴ类水占41.1%，劣Ⅴ类水占1.8%。</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2015年共监测淮南市境内水功能区10个，每月监测一次，全年共监测12次。水功能区达标评价项目为：氨氮、高锰酸盐指数。年测次达标率不小于80%的水功能区为达标水功能区。</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安徽省人民政府办公厅《关于印发安徽省实行最严格水资源管理制度考核办法的通知》（皖政办〔2013〕49号）确定2015年淮南市全国重要水功能区达标率为85.0%。淮南市纳入考核的水功能区有8个，其中达标水功能区有7个，达标率87.5%。</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2015年全市8个集中式饮用水源地全部达标，达标率为100%。</w:t>
      </w:r>
    </w:p>
    <w:p>
      <w:pPr>
        <w:pStyle w:val="5"/>
        <w:pageBreakBefore w:val="0"/>
        <w:widowControl w:val="0"/>
        <w:kinsoku/>
        <w:wordWrap/>
        <w:overflowPunct/>
        <w:autoSpaceDE/>
        <w:autoSpaceDN/>
        <w:bidi w:val="0"/>
        <w:spacing w:line="590" w:lineRule="exact"/>
        <w:ind w:firstLine="562"/>
        <w:rPr>
          <w:rFonts w:hint="eastAsia" w:ascii="方正楷体_GBK" w:hAnsi="方正楷体_GBK" w:eastAsia="方正楷体_GBK" w:cs="方正楷体_GBK"/>
          <w:b w:val="0"/>
          <w:bCs/>
          <w:sz w:val="32"/>
          <w:szCs w:val="32"/>
        </w:rPr>
      </w:pPr>
      <w:bookmarkStart w:id="101" w:name="_Toc312309840"/>
      <w:bookmarkStart w:id="102" w:name="_Toc9451"/>
      <w:r>
        <w:rPr>
          <w:rFonts w:hint="eastAsia" w:ascii="方正楷体_GBK" w:hAnsi="方正楷体_GBK" w:eastAsia="方正楷体_GBK" w:cs="方正楷体_GBK"/>
          <w:b w:val="0"/>
          <w:bCs/>
          <w:sz w:val="32"/>
          <w:szCs w:val="32"/>
        </w:rPr>
        <w:t>二、地下水水质</w:t>
      </w:r>
      <w:bookmarkEnd w:id="101"/>
      <w:bookmarkEnd w:id="102"/>
    </w:p>
    <w:p>
      <w:pPr>
        <w:keepNext w:val="0"/>
        <w:keepLines w:val="0"/>
        <w:pageBreakBefore w:val="0"/>
        <w:kinsoku/>
        <w:overflowPunct/>
        <w:topLinePunct w:val="0"/>
        <w:autoSpaceDE/>
        <w:autoSpaceDN/>
        <w:bidi w:val="0"/>
        <w:adjustRightInd/>
        <w:snapToGrid/>
        <w:spacing w:beforeAutospacing="0" w:afterAutospacing="0" w:line="590" w:lineRule="exact"/>
        <w:ind w:left="0" w:leftChars="0" w:right="0" w:right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2015年安徽省水环境监测中心监测淮南市浅层地下水井6个，全年共监测两次，按照地下水质量标准</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（GB14848-1993）进行评价。年平均水质类别比例分别为：Ⅲ类16.7%、Ⅳ类66.7%、Ⅴ类16.6%。主要超标项目为锰、亚硝酸盐氮和氨氮。</w:t>
      </w:r>
    </w:p>
    <w:p>
      <w:pPr>
        <w:pStyle w:val="5"/>
        <w:pageBreakBefore w:val="0"/>
        <w:widowControl w:val="0"/>
        <w:kinsoku/>
        <w:wordWrap/>
        <w:overflowPunct/>
        <w:autoSpaceDE/>
        <w:autoSpaceDN/>
        <w:bidi w:val="0"/>
        <w:spacing w:line="590" w:lineRule="exact"/>
        <w:ind w:firstLine="562"/>
        <w:rPr>
          <w:rFonts w:hint="eastAsia" w:ascii="方正楷体_GBK" w:hAnsi="方正楷体_GBK" w:eastAsia="方正楷体_GBK" w:cs="方正楷体_GBK"/>
          <w:b w:val="0"/>
          <w:bCs/>
          <w:sz w:val="32"/>
          <w:szCs w:val="32"/>
        </w:rPr>
      </w:pPr>
      <w:bookmarkStart w:id="103" w:name="_Toc32067"/>
      <w:bookmarkStart w:id="104" w:name="_Toc15127"/>
      <w:bookmarkStart w:id="105" w:name="_Toc20953"/>
      <w:bookmarkStart w:id="106" w:name="_Toc312309841"/>
      <w:r>
        <w:rPr>
          <w:rFonts w:hint="eastAsia" w:ascii="方正楷体_GBK" w:hAnsi="方正楷体_GBK" w:eastAsia="方正楷体_GBK" w:cs="方正楷体_GBK"/>
          <w:b w:val="0"/>
          <w:bCs/>
          <w:sz w:val="32"/>
          <w:szCs w:val="32"/>
        </w:rPr>
        <w:t>三、入河废污水量</w:t>
      </w:r>
      <w:bookmarkEnd w:id="103"/>
      <w:bookmarkEnd w:id="104"/>
      <w:bookmarkEnd w:id="105"/>
      <w:bookmarkEnd w:id="106"/>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2015年对其中的51个入河排污口进行了实际监测。51个主要排污口日平均污水入河量73.6万t，年污水入河量2.69亿t（按折扣天数计算）。各类污染物年入河量：化学需氧量1.18万t，氨氮0.28万t，总氮0.62万t，总磷0.021万t；五日生化需氧量0.42万t；分别相当于33.3t/d、7.8 t/d、17.1t/d、0.6t/d、11.5t/d。2015年监测污水入河量分析计算结果见表3.2-1，入河排污口位置见附图2。</w:t>
      </w:r>
    </w:p>
    <w:p>
      <w:pPr>
        <w:jc w:val="center"/>
        <w:rPr>
          <w:rFonts w:hint="eastAsia" w:ascii="方正黑体_GBK" w:hAnsi="方正黑体_GBK" w:eastAsia="方正黑体_GBK" w:cs="方正黑体_GBK"/>
          <w:b/>
          <w:bCs/>
          <w:kern w:val="0"/>
          <w:sz w:val="24"/>
        </w:rPr>
      </w:pPr>
      <w:r>
        <w:rPr>
          <w:rFonts w:hint="eastAsia" w:ascii="方正黑体_GBK" w:hAnsi="方正黑体_GBK" w:eastAsia="方正黑体_GBK" w:cs="方正黑体_GBK"/>
          <w:b/>
          <w:bCs/>
          <w:kern w:val="0"/>
          <w:sz w:val="24"/>
        </w:rPr>
        <w:t>表3.2-1  2015年淮南市监测排污口入河污水及污染物排放量表</w:t>
      </w:r>
    </w:p>
    <w:tbl>
      <w:tblPr>
        <w:tblStyle w:val="12"/>
        <w:tblW w:w="0" w:type="auto"/>
        <w:jc w:val="center"/>
        <w:tblLayout w:type="fixed"/>
        <w:tblCellMar>
          <w:top w:w="0" w:type="dxa"/>
          <w:left w:w="108" w:type="dxa"/>
          <w:bottom w:w="0" w:type="dxa"/>
          <w:right w:w="108" w:type="dxa"/>
        </w:tblCellMar>
      </w:tblPr>
      <w:tblGrid>
        <w:gridCol w:w="1690"/>
        <w:gridCol w:w="734"/>
        <w:gridCol w:w="1392"/>
        <w:gridCol w:w="894"/>
        <w:gridCol w:w="787"/>
        <w:gridCol w:w="938"/>
        <w:gridCol w:w="919"/>
        <w:gridCol w:w="1223"/>
        <w:gridCol w:w="803"/>
      </w:tblGrid>
      <w:tr>
        <w:tblPrEx>
          <w:tblCellMar>
            <w:top w:w="0" w:type="dxa"/>
            <w:left w:w="108" w:type="dxa"/>
            <w:bottom w:w="0" w:type="dxa"/>
            <w:right w:w="108" w:type="dxa"/>
          </w:tblCellMar>
        </w:tblPrEx>
        <w:trPr>
          <w:trHeight w:val="539" w:hRule="atLeast"/>
          <w:jc w:val="center"/>
        </w:trPr>
        <w:tc>
          <w:tcPr>
            <w:tcW w:w="169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行政区</w:t>
            </w:r>
          </w:p>
        </w:tc>
        <w:tc>
          <w:tcPr>
            <w:tcW w:w="734"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排污口个数</w:t>
            </w:r>
          </w:p>
        </w:tc>
        <w:tc>
          <w:tcPr>
            <w:tcW w:w="1392"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入河污水排放量</w:t>
            </w:r>
          </w:p>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（万m³/a）</w:t>
            </w:r>
          </w:p>
        </w:tc>
        <w:tc>
          <w:tcPr>
            <w:tcW w:w="5564" w:type="dxa"/>
            <w:gridSpan w:val="6"/>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污染物入河排放量（t/a）</w:t>
            </w:r>
          </w:p>
        </w:tc>
      </w:tr>
      <w:tr>
        <w:tblPrEx>
          <w:tblCellMar>
            <w:top w:w="0" w:type="dxa"/>
            <w:left w:w="108" w:type="dxa"/>
            <w:bottom w:w="0" w:type="dxa"/>
            <w:right w:w="108" w:type="dxa"/>
          </w:tblCellMar>
        </w:tblPrEx>
        <w:trPr>
          <w:trHeight w:val="1231" w:hRule="atLeast"/>
          <w:jc w:val="center"/>
        </w:trPr>
        <w:tc>
          <w:tcPr>
            <w:tcW w:w="169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7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39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9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化学需氧量</w:t>
            </w:r>
          </w:p>
        </w:tc>
        <w:tc>
          <w:tcPr>
            <w:tcW w:w="787"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氨氮</w:t>
            </w:r>
          </w:p>
        </w:tc>
        <w:tc>
          <w:tcPr>
            <w:tcW w:w="93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总磷</w:t>
            </w:r>
          </w:p>
        </w:tc>
        <w:tc>
          <w:tcPr>
            <w:tcW w:w="91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总氮</w:t>
            </w:r>
          </w:p>
        </w:tc>
        <w:tc>
          <w:tcPr>
            <w:tcW w:w="122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五日生化需氧量</w:t>
            </w:r>
          </w:p>
        </w:tc>
        <w:tc>
          <w:tcPr>
            <w:tcW w:w="80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挥发酚</w:t>
            </w:r>
          </w:p>
        </w:tc>
      </w:tr>
      <w:tr>
        <w:tblPrEx>
          <w:tblCellMar>
            <w:top w:w="0" w:type="dxa"/>
            <w:left w:w="108" w:type="dxa"/>
            <w:bottom w:w="0" w:type="dxa"/>
            <w:right w:w="108" w:type="dxa"/>
          </w:tblCellMar>
        </w:tblPrEx>
        <w:trPr>
          <w:trHeight w:val="388" w:hRule="atLeast"/>
          <w:jc w:val="center"/>
        </w:trPr>
        <w:tc>
          <w:tcPr>
            <w:tcW w:w="169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八公山区</w:t>
            </w:r>
          </w:p>
        </w:tc>
        <w:tc>
          <w:tcPr>
            <w:tcW w:w="73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4</w:t>
            </w:r>
          </w:p>
        </w:tc>
        <w:tc>
          <w:tcPr>
            <w:tcW w:w="1392"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4241.1</w:t>
            </w:r>
          </w:p>
        </w:tc>
        <w:tc>
          <w:tcPr>
            <w:tcW w:w="894"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1086.0</w:t>
            </w:r>
          </w:p>
        </w:tc>
        <w:tc>
          <w:tcPr>
            <w:tcW w:w="787"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82.6</w:t>
            </w:r>
          </w:p>
        </w:tc>
        <w:tc>
          <w:tcPr>
            <w:tcW w:w="938"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49.0</w:t>
            </w:r>
          </w:p>
        </w:tc>
        <w:tc>
          <w:tcPr>
            <w:tcW w:w="919"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729.0</w:t>
            </w:r>
          </w:p>
        </w:tc>
        <w:tc>
          <w:tcPr>
            <w:tcW w:w="1223"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377.9</w:t>
            </w:r>
          </w:p>
        </w:tc>
        <w:tc>
          <w:tcPr>
            <w:tcW w:w="803"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0.055</w:t>
            </w:r>
          </w:p>
        </w:tc>
      </w:tr>
      <w:tr>
        <w:tblPrEx>
          <w:tblCellMar>
            <w:top w:w="0" w:type="dxa"/>
            <w:left w:w="108" w:type="dxa"/>
            <w:bottom w:w="0" w:type="dxa"/>
            <w:right w:w="108" w:type="dxa"/>
          </w:tblCellMar>
        </w:tblPrEx>
        <w:trPr>
          <w:trHeight w:val="388" w:hRule="atLeast"/>
          <w:jc w:val="center"/>
        </w:trPr>
        <w:tc>
          <w:tcPr>
            <w:tcW w:w="169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大通区</w:t>
            </w:r>
          </w:p>
        </w:tc>
        <w:tc>
          <w:tcPr>
            <w:tcW w:w="734"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w:t>
            </w:r>
          </w:p>
        </w:tc>
        <w:tc>
          <w:tcPr>
            <w:tcW w:w="139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3556.1</w:t>
            </w:r>
          </w:p>
        </w:tc>
        <w:tc>
          <w:tcPr>
            <w:tcW w:w="89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1416.8</w:t>
            </w:r>
          </w:p>
        </w:tc>
        <w:tc>
          <w:tcPr>
            <w:tcW w:w="787"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89.2</w:t>
            </w:r>
          </w:p>
        </w:tc>
        <w:tc>
          <w:tcPr>
            <w:tcW w:w="93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17.0</w:t>
            </w:r>
          </w:p>
        </w:tc>
        <w:tc>
          <w:tcPr>
            <w:tcW w:w="91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333.3</w:t>
            </w:r>
          </w:p>
        </w:tc>
        <w:tc>
          <w:tcPr>
            <w:tcW w:w="122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695.2</w:t>
            </w:r>
          </w:p>
        </w:tc>
        <w:tc>
          <w:tcPr>
            <w:tcW w:w="80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0.056</w:t>
            </w:r>
          </w:p>
        </w:tc>
      </w:tr>
      <w:tr>
        <w:tblPrEx>
          <w:tblCellMar>
            <w:top w:w="0" w:type="dxa"/>
            <w:left w:w="108" w:type="dxa"/>
            <w:bottom w:w="0" w:type="dxa"/>
            <w:right w:w="108" w:type="dxa"/>
          </w:tblCellMar>
        </w:tblPrEx>
        <w:trPr>
          <w:trHeight w:val="388" w:hRule="atLeast"/>
          <w:jc w:val="center"/>
        </w:trPr>
        <w:tc>
          <w:tcPr>
            <w:tcW w:w="169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w:t>
            </w:r>
          </w:p>
        </w:tc>
        <w:tc>
          <w:tcPr>
            <w:tcW w:w="734"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15</w:t>
            </w:r>
          </w:p>
        </w:tc>
        <w:tc>
          <w:tcPr>
            <w:tcW w:w="139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4805.6</w:t>
            </w:r>
          </w:p>
        </w:tc>
        <w:tc>
          <w:tcPr>
            <w:tcW w:w="89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1396.7</w:t>
            </w:r>
          </w:p>
        </w:tc>
        <w:tc>
          <w:tcPr>
            <w:tcW w:w="787"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151.2</w:t>
            </w:r>
          </w:p>
        </w:tc>
        <w:tc>
          <w:tcPr>
            <w:tcW w:w="93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27.9</w:t>
            </w:r>
          </w:p>
        </w:tc>
        <w:tc>
          <w:tcPr>
            <w:tcW w:w="91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502.1</w:t>
            </w:r>
          </w:p>
        </w:tc>
        <w:tc>
          <w:tcPr>
            <w:tcW w:w="122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532.1</w:t>
            </w:r>
          </w:p>
        </w:tc>
        <w:tc>
          <w:tcPr>
            <w:tcW w:w="80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0.068</w:t>
            </w:r>
          </w:p>
        </w:tc>
      </w:tr>
      <w:tr>
        <w:tblPrEx>
          <w:tblCellMar>
            <w:top w:w="0" w:type="dxa"/>
            <w:left w:w="108" w:type="dxa"/>
            <w:bottom w:w="0" w:type="dxa"/>
            <w:right w:w="108" w:type="dxa"/>
          </w:tblCellMar>
        </w:tblPrEx>
        <w:trPr>
          <w:trHeight w:val="388" w:hRule="atLeast"/>
          <w:jc w:val="center"/>
        </w:trPr>
        <w:tc>
          <w:tcPr>
            <w:tcW w:w="169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毛集综合试验区</w:t>
            </w:r>
          </w:p>
        </w:tc>
        <w:tc>
          <w:tcPr>
            <w:tcW w:w="734"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w:t>
            </w:r>
          </w:p>
        </w:tc>
        <w:tc>
          <w:tcPr>
            <w:tcW w:w="139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345.8</w:t>
            </w:r>
          </w:p>
        </w:tc>
        <w:tc>
          <w:tcPr>
            <w:tcW w:w="89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78.2</w:t>
            </w:r>
          </w:p>
        </w:tc>
        <w:tc>
          <w:tcPr>
            <w:tcW w:w="787"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5.4</w:t>
            </w:r>
          </w:p>
        </w:tc>
        <w:tc>
          <w:tcPr>
            <w:tcW w:w="93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0.9</w:t>
            </w:r>
          </w:p>
        </w:tc>
        <w:tc>
          <w:tcPr>
            <w:tcW w:w="91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10.1</w:t>
            </w:r>
          </w:p>
        </w:tc>
        <w:tc>
          <w:tcPr>
            <w:tcW w:w="122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28.1</w:t>
            </w:r>
          </w:p>
        </w:tc>
        <w:tc>
          <w:tcPr>
            <w:tcW w:w="80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0.004</w:t>
            </w:r>
          </w:p>
        </w:tc>
      </w:tr>
      <w:tr>
        <w:tblPrEx>
          <w:tblCellMar>
            <w:top w:w="0" w:type="dxa"/>
            <w:left w:w="108" w:type="dxa"/>
            <w:bottom w:w="0" w:type="dxa"/>
            <w:right w:w="108" w:type="dxa"/>
          </w:tblCellMar>
        </w:tblPrEx>
        <w:trPr>
          <w:trHeight w:val="388" w:hRule="atLeast"/>
          <w:jc w:val="center"/>
        </w:trPr>
        <w:tc>
          <w:tcPr>
            <w:tcW w:w="169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734"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14</w:t>
            </w:r>
          </w:p>
        </w:tc>
        <w:tc>
          <w:tcPr>
            <w:tcW w:w="139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1781.0</w:t>
            </w:r>
          </w:p>
        </w:tc>
        <w:tc>
          <w:tcPr>
            <w:tcW w:w="89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1523.8</w:t>
            </w:r>
          </w:p>
        </w:tc>
        <w:tc>
          <w:tcPr>
            <w:tcW w:w="787"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102.5</w:t>
            </w:r>
          </w:p>
        </w:tc>
        <w:tc>
          <w:tcPr>
            <w:tcW w:w="93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11.2</w:t>
            </w:r>
          </w:p>
        </w:tc>
        <w:tc>
          <w:tcPr>
            <w:tcW w:w="91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153.9</w:t>
            </w:r>
          </w:p>
        </w:tc>
        <w:tc>
          <w:tcPr>
            <w:tcW w:w="122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666.9</w:t>
            </w:r>
          </w:p>
        </w:tc>
        <w:tc>
          <w:tcPr>
            <w:tcW w:w="80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0.030</w:t>
            </w:r>
          </w:p>
        </w:tc>
      </w:tr>
      <w:tr>
        <w:tblPrEx>
          <w:tblCellMar>
            <w:top w:w="0" w:type="dxa"/>
            <w:left w:w="108" w:type="dxa"/>
            <w:bottom w:w="0" w:type="dxa"/>
            <w:right w:w="108" w:type="dxa"/>
          </w:tblCellMar>
        </w:tblPrEx>
        <w:trPr>
          <w:trHeight w:val="388" w:hRule="atLeast"/>
          <w:jc w:val="center"/>
        </w:trPr>
        <w:tc>
          <w:tcPr>
            <w:tcW w:w="169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田家庵区</w:t>
            </w:r>
          </w:p>
        </w:tc>
        <w:tc>
          <w:tcPr>
            <w:tcW w:w="734"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w:t>
            </w:r>
          </w:p>
        </w:tc>
        <w:tc>
          <w:tcPr>
            <w:tcW w:w="139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11911.1</w:t>
            </w:r>
          </w:p>
        </w:tc>
        <w:tc>
          <w:tcPr>
            <w:tcW w:w="89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6178.3</w:t>
            </w:r>
          </w:p>
        </w:tc>
        <w:tc>
          <w:tcPr>
            <w:tcW w:w="787"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2374.3</w:t>
            </w:r>
          </w:p>
        </w:tc>
        <w:tc>
          <w:tcPr>
            <w:tcW w:w="93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96.8</w:t>
            </w:r>
          </w:p>
        </w:tc>
        <w:tc>
          <w:tcPr>
            <w:tcW w:w="91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4464.9</w:t>
            </w:r>
          </w:p>
        </w:tc>
        <w:tc>
          <w:tcPr>
            <w:tcW w:w="122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1864.5</w:t>
            </w:r>
          </w:p>
        </w:tc>
        <w:tc>
          <w:tcPr>
            <w:tcW w:w="80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0.437</w:t>
            </w:r>
          </w:p>
        </w:tc>
      </w:tr>
      <w:tr>
        <w:tblPrEx>
          <w:tblCellMar>
            <w:top w:w="0" w:type="dxa"/>
            <w:left w:w="108" w:type="dxa"/>
            <w:bottom w:w="0" w:type="dxa"/>
            <w:right w:w="108" w:type="dxa"/>
          </w:tblCellMar>
        </w:tblPrEx>
        <w:trPr>
          <w:trHeight w:val="388" w:hRule="atLeast"/>
          <w:jc w:val="center"/>
        </w:trPr>
        <w:tc>
          <w:tcPr>
            <w:tcW w:w="169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谢家集区</w:t>
            </w:r>
          </w:p>
        </w:tc>
        <w:tc>
          <w:tcPr>
            <w:tcW w:w="734"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w:t>
            </w:r>
          </w:p>
        </w:tc>
        <w:tc>
          <w:tcPr>
            <w:tcW w:w="139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116.6</w:t>
            </w:r>
          </w:p>
        </w:tc>
        <w:tc>
          <w:tcPr>
            <w:tcW w:w="89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100.8</w:t>
            </w:r>
          </w:p>
        </w:tc>
        <w:tc>
          <w:tcPr>
            <w:tcW w:w="787"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42.5</w:t>
            </w:r>
          </w:p>
        </w:tc>
        <w:tc>
          <w:tcPr>
            <w:tcW w:w="93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3.5</w:t>
            </w:r>
          </w:p>
        </w:tc>
        <w:tc>
          <w:tcPr>
            <w:tcW w:w="91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44.6</w:t>
            </w:r>
          </w:p>
        </w:tc>
        <w:tc>
          <w:tcPr>
            <w:tcW w:w="122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32.9</w:t>
            </w:r>
          </w:p>
        </w:tc>
        <w:tc>
          <w:tcPr>
            <w:tcW w:w="80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0.004</w:t>
            </w:r>
          </w:p>
        </w:tc>
      </w:tr>
      <w:tr>
        <w:tblPrEx>
          <w:tblCellMar>
            <w:top w:w="0" w:type="dxa"/>
            <w:left w:w="108" w:type="dxa"/>
            <w:bottom w:w="0" w:type="dxa"/>
            <w:right w:w="108" w:type="dxa"/>
          </w:tblCellMar>
        </w:tblPrEx>
        <w:trPr>
          <w:trHeight w:val="388" w:hRule="atLeast"/>
          <w:jc w:val="center"/>
        </w:trPr>
        <w:tc>
          <w:tcPr>
            <w:tcW w:w="169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734"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w:t>
            </w:r>
          </w:p>
        </w:tc>
        <w:tc>
          <w:tcPr>
            <w:tcW w:w="139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94.6</w:t>
            </w:r>
          </w:p>
        </w:tc>
        <w:tc>
          <w:tcPr>
            <w:tcW w:w="89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13.4</w:t>
            </w:r>
          </w:p>
        </w:tc>
        <w:tc>
          <w:tcPr>
            <w:tcW w:w="787"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1.2</w:t>
            </w:r>
          </w:p>
        </w:tc>
        <w:tc>
          <w:tcPr>
            <w:tcW w:w="93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1.6</w:t>
            </w:r>
          </w:p>
        </w:tc>
        <w:tc>
          <w:tcPr>
            <w:tcW w:w="91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8.7</w:t>
            </w:r>
          </w:p>
        </w:tc>
        <w:tc>
          <w:tcPr>
            <w:tcW w:w="122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3.2</w:t>
            </w:r>
          </w:p>
        </w:tc>
        <w:tc>
          <w:tcPr>
            <w:tcW w:w="80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0.001</w:t>
            </w:r>
          </w:p>
        </w:tc>
      </w:tr>
      <w:tr>
        <w:tblPrEx>
          <w:tblCellMar>
            <w:top w:w="0" w:type="dxa"/>
            <w:left w:w="108" w:type="dxa"/>
            <w:bottom w:w="0" w:type="dxa"/>
            <w:right w:w="108" w:type="dxa"/>
          </w:tblCellMar>
        </w:tblPrEx>
        <w:trPr>
          <w:trHeight w:val="410" w:hRule="atLeast"/>
          <w:jc w:val="center"/>
        </w:trPr>
        <w:tc>
          <w:tcPr>
            <w:tcW w:w="169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合计</w:t>
            </w:r>
          </w:p>
        </w:tc>
        <w:tc>
          <w:tcPr>
            <w:tcW w:w="734"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51</w:t>
            </w:r>
          </w:p>
        </w:tc>
        <w:tc>
          <w:tcPr>
            <w:tcW w:w="139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26851.9</w:t>
            </w:r>
          </w:p>
        </w:tc>
        <w:tc>
          <w:tcPr>
            <w:tcW w:w="89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11794</w:t>
            </w:r>
          </w:p>
        </w:tc>
        <w:tc>
          <w:tcPr>
            <w:tcW w:w="787"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2848.9</w:t>
            </w:r>
          </w:p>
        </w:tc>
        <w:tc>
          <w:tcPr>
            <w:tcW w:w="93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207.9</w:t>
            </w:r>
          </w:p>
        </w:tc>
        <w:tc>
          <w:tcPr>
            <w:tcW w:w="91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6246.6</w:t>
            </w:r>
          </w:p>
        </w:tc>
        <w:tc>
          <w:tcPr>
            <w:tcW w:w="122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4200.8</w:t>
            </w:r>
          </w:p>
        </w:tc>
        <w:tc>
          <w:tcPr>
            <w:tcW w:w="80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0.655</w:t>
            </w:r>
          </w:p>
        </w:tc>
      </w:tr>
    </w:tbl>
    <w:p>
      <w:pPr>
        <w:pStyle w:val="2"/>
        <w:pageBreakBefore w:val="0"/>
        <w:widowControl w:val="0"/>
        <w:kinsoku/>
        <w:wordWrap/>
        <w:overflowPunct/>
        <w:autoSpaceDE/>
        <w:autoSpaceDN/>
        <w:bidi w:val="0"/>
        <w:spacing w:line="590" w:lineRule="exact"/>
        <w:ind w:firstLine="480"/>
        <w:rPr>
          <w:rFonts w:ascii="Times New Roman" w:hAnsi="Times New Roman"/>
        </w:rPr>
      </w:pPr>
    </w:p>
    <w:p>
      <w:pPr>
        <w:pStyle w:val="4"/>
        <w:pageBreakBefore w:val="0"/>
        <w:widowControl w:val="0"/>
        <w:kinsoku/>
        <w:wordWrap/>
        <w:overflowPunct/>
        <w:autoSpaceDE/>
        <w:autoSpaceDN/>
        <w:bidi w:val="0"/>
        <w:spacing w:line="590" w:lineRule="exact"/>
        <w:rPr>
          <w:rFonts w:hint="eastAsia" w:ascii="方正黑体_GBK" w:hAnsi="方正黑体_GBK" w:eastAsia="方正黑体_GBK" w:cs="方正黑体_GBK"/>
          <w:b w:val="0"/>
          <w:bCs w:val="0"/>
          <w:sz w:val="32"/>
          <w:szCs w:val="32"/>
        </w:rPr>
      </w:pPr>
      <w:bookmarkStart w:id="107" w:name="_Toc28318"/>
      <w:r>
        <w:rPr>
          <w:rFonts w:hint="eastAsia" w:ascii="方正黑体_GBK" w:hAnsi="方正黑体_GBK" w:eastAsia="方正黑体_GBK" w:cs="方正黑体_GBK"/>
          <w:b w:val="0"/>
          <w:bCs w:val="0"/>
          <w:sz w:val="32"/>
          <w:szCs w:val="32"/>
        </w:rPr>
        <w:t>第三节  水资源开发利用现状</w:t>
      </w:r>
      <w:bookmarkEnd w:id="107"/>
    </w:p>
    <w:p>
      <w:pPr>
        <w:pStyle w:val="5"/>
        <w:pageBreakBefore w:val="0"/>
        <w:widowControl w:val="0"/>
        <w:kinsoku/>
        <w:wordWrap/>
        <w:overflowPunct/>
        <w:autoSpaceDE/>
        <w:autoSpaceDN/>
        <w:bidi w:val="0"/>
        <w:spacing w:before="95" w:beforeLines="30" w:after="95" w:afterLines="30" w:line="590" w:lineRule="exact"/>
        <w:ind w:firstLine="562"/>
        <w:rPr>
          <w:rFonts w:hint="eastAsia" w:ascii="方正楷体_GBK" w:hAnsi="方正楷体_GBK" w:eastAsia="方正楷体_GBK" w:cs="方正楷体_GBK"/>
          <w:b w:val="0"/>
          <w:bCs w:val="0"/>
          <w:sz w:val="32"/>
          <w:szCs w:val="32"/>
        </w:rPr>
      </w:pPr>
      <w:bookmarkStart w:id="108" w:name="_Toc15373"/>
      <w:bookmarkStart w:id="109" w:name="_Toc312309844"/>
      <w:r>
        <w:rPr>
          <w:rFonts w:hint="eastAsia" w:ascii="方正楷体_GBK" w:hAnsi="方正楷体_GBK" w:eastAsia="方正楷体_GBK" w:cs="方正楷体_GBK"/>
          <w:b w:val="0"/>
          <w:bCs w:val="0"/>
          <w:sz w:val="32"/>
          <w:szCs w:val="32"/>
        </w:rPr>
        <w:t>一、供水量</w:t>
      </w:r>
      <w:bookmarkEnd w:id="108"/>
      <w:bookmarkEnd w:id="109"/>
    </w:p>
    <w:p>
      <w:pPr>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2015年供水量</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2015年淮南市总供水量18.05万</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。其中地表水供水量16.80亿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，占供水总量的93.1%；地下水供水量1.07亿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，占供水总量的5.9%；其他水源供水量0.18亿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，占供水总量的1.0%。在地表水供水量中，蓄水6.60亿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，引水1.36亿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，提水8.84亿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；三者分别占地表水总量的39.3%、8.1%、52.6%。2015年淮南市各水资源分区供水量见表3.3-1。</w:t>
      </w:r>
    </w:p>
    <w:p>
      <w:pPr>
        <w:adjustRightInd w:val="0"/>
        <w:snapToGrid w:val="0"/>
        <w:ind w:firstLine="482" w:firstLineChars="200"/>
        <w:jc w:val="center"/>
        <w:rPr>
          <w:rFonts w:hint="eastAsia" w:ascii="方正黑体_GBK" w:hAnsi="方正黑体_GBK" w:eastAsia="方正黑体_GBK" w:cs="方正黑体_GBK"/>
          <w:b/>
          <w:bCs/>
          <w:sz w:val="24"/>
          <w:lang w:eastAsia="zh-CN"/>
        </w:rPr>
      </w:pPr>
      <w:r>
        <w:rPr>
          <w:rFonts w:hint="eastAsia" w:ascii="方正黑体_GBK" w:hAnsi="方正黑体_GBK" w:eastAsia="方正黑体_GBK" w:cs="方正黑体_GBK"/>
          <w:b/>
          <w:bCs/>
          <w:sz w:val="24"/>
        </w:rPr>
        <w:t>表3.3-1  2015年淮南市供水构成表    单位：亿</w:t>
      </w:r>
      <w:r>
        <w:rPr>
          <w:rFonts w:hint="eastAsia" w:ascii="方正黑体_GBK" w:hAnsi="方正黑体_GBK" w:eastAsia="方正黑体_GBK" w:cs="方正黑体_GBK"/>
          <w:b/>
          <w:bCs/>
          <w:sz w:val="24"/>
          <w:lang w:eastAsia="zh-CN"/>
        </w:rPr>
        <w:t>m³</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17"/>
        <w:gridCol w:w="1496"/>
        <w:gridCol w:w="798"/>
        <w:gridCol w:w="844"/>
        <w:gridCol w:w="881"/>
        <w:gridCol w:w="904"/>
        <w:gridCol w:w="1047"/>
        <w:gridCol w:w="917"/>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5" w:hRule="atLeast"/>
          <w:jc w:val="center"/>
        </w:trPr>
        <w:tc>
          <w:tcPr>
            <w:tcW w:w="2113" w:type="dxa"/>
            <w:gridSpan w:val="2"/>
            <w:vMerge w:val="restart"/>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计算分区</w:t>
            </w:r>
          </w:p>
        </w:tc>
        <w:tc>
          <w:tcPr>
            <w:tcW w:w="3427" w:type="dxa"/>
            <w:gridSpan w:val="4"/>
            <w:noWrap w:val="0"/>
            <w:vAlign w:val="center"/>
          </w:tcPr>
          <w:p>
            <w:pPr>
              <w:widowControl/>
              <w:adjustRightInd w:val="0"/>
              <w:snapToGrid w:val="0"/>
              <w:jc w:val="center"/>
              <w:textAlignment w:val="center"/>
              <w:rPr>
                <w:rFonts w:hint="default" w:ascii="Times New Roman" w:hAnsi="Times New Roman" w:eastAsia="方正仿宋_GBK" w:cs="Times New Roman"/>
                <w:kern w:val="0"/>
                <w:sz w:val="22"/>
                <w:szCs w:val="22"/>
                <w:lang w:bidi="ar"/>
              </w:rPr>
            </w:pPr>
            <w:r>
              <w:rPr>
                <w:rFonts w:hint="default" w:ascii="Times New Roman" w:hAnsi="Times New Roman" w:eastAsia="方正仿宋_GBK" w:cs="Times New Roman"/>
                <w:kern w:val="0"/>
                <w:szCs w:val="21"/>
                <w:lang w:bidi="ar"/>
              </w:rPr>
              <w:t>地表水源供水量</w:t>
            </w:r>
          </w:p>
        </w:tc>
        <w:tc>
          <w:tcPr>
            <w:tcW w:w="1047"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kern w:val="0"/>
                <w:sz w:val="22"/>
                <w:szCs w:val="22"/>
                <w:lang w:bidi="ar"/>
              </w:rPr>
            </w:pPr>
            <w:r>
              <w:rPr>
                <w:rFonts w:hint="default" w:ascii="Times New Roman" w:hAnsi="Times New Roman" w:eastAsia="方正仿宋_GBK" w:cs="Times New Roman"/>
                <w:kern w:val="0"/>
                <w:szCs w:val="21"/>
                <w:lang w:bidi="ar"/>
              </w:rPr>
              <w:t>地下水源供水量</w:t>
            </w:r>
          </w:p>
        </w:tc>
        <w:tc>
          <w:tcPr>
            <w:tcW w:w="917"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kern w:val="0"/>
                <w:sz w:val="22"/>
                <w:szCs w:val="22"/>
                <w:lang w:bidi="ar"/>
              </w:rPr>
            </w:pPr>
            <w:r>
              <w:rPr>
                <w:rFonts w:hint="default" w:ascii="Times New Roman" w:hAnsi="Times New Roman" w:eastAsia="方正仿宋_GBK" w:cs="Times New Roman"/>
                <w:kern w:val="0"/>
                <w:szCs w:val="21"/>
                <w:lang w:bidi="ar"/>
              </w:rPr>
              <w:t>再生水</w:t>
            </w:r>
          </w:p>
        </w:tc>
        <w:tc>
          <w:tcPr>
            <w:tcW w:w="916"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总供</w:t>
            </w:r>
          </w:p>
          <w:p>
            <w:pPr>
              <w:widowControl/>
              <w:adjustRightInd w:val="0"/>
              <w:snapToGrid w:val="0"/>
              <w:jc w:val="center"/>
              <w:textAlignment w:val="center"/>
              <w:rPr>
                <w:rFonts w:hint="default" w:ascii="Times New Roman" w:hAnsi="Times New Roman" w:eastAsia="方正仿宋_GBK" w:cs="Times New Roman"/>
                <w:kern w:val="0"/>
                <w:sz w:val="22"/>
                <w:szCs w:val="22"/>
                <w:lang w:bidi="ar"/>
              </w:rPr>
            </w:pPr>
            <w:r>
              <w:rPr>
                <w:rFonts w:hint="default" w:ascii="Times New Roman" w:hAnsi="Times New Roman" w:eastAsia="方正仿宋_GBK" w:cs="Times New Roman"/>
                <w:kern w:val="0"/>
                <w:szCs w:val="21"/>
                <w:lang w:bidi="ar"/>
              </w:rPr>
              <w:t>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5" w:hRule="atLeast"/>
          <w:jc w:val="center"/>
        </w:trPr>
        <w:tc>
          <w:tcPr>
            <w:tcW w:w="2113" w:type="dxa"/>
            <w:gridSpan w:val="2"/>
            <w:vMerge w:val="continue"/>
            <w:noWrap w:val="0"/>
            <w:vAlign w:val="center"/>
          </w:tcPr>
          <w:p>
            <w:pPr>
              <w:widowControl/>
              <w:adjustRightInd w:val="0"/>
              <w:snapToGrid w:val="0"/>
              <w:jc w:val="center"/>
              <w:textAlignment w:val="center"/>
              <w:rPr>
                <w:rFonts w:hint="default" w:ascii="Times New Roman" w:hAnsi="Times New Roman" w:eastAsia="方正仿宋_GBK" w:cs="Times New Roman"/>
              </w:rPr>
            </w:pPr>
          </w:p>
        </w:tc>
        <w:tc>
          <w:tcPr>
            <w:tcW w:w="798" w:type="dxa"/>
            <w:noWrap w:val="0"/>
            <w:vAlign w:val="center"/>
          </w:tcPr>
          <w:p>
            <w:pPr>
              <w:widowControl/>
              <w:adjustRightInd w:val="0"/>
              <w:snapToGrid w:val="0"/>
              <w:jc w:val="center"/>
              <w:textAlignment w:val="center"/>
              <w:rPr>
                <w:rFonts w:hint="default" w:ascii="Times New Roman" w:hAnsi="Times New Roman" w:eastAsia="方正仿宋_GBK" w:cs="Times New Roman"/>
                <w:kern w:val="0"/>
                <w:sz w:val="22"/>
                <w:szCs w:val="22"/>
                <w:lang w:bidi="ar"/>
              </w:rPr>
            </w:pPr>
            <w:r>
              <w:rPr>
                <w:rFonts w:hint="default" w:ascii="Times New Roman" w:hAnsi="Times New Roman" w:eastAsia="方正仿宋_GBK" w:cs="Times New Roman"/>
                <w:kern w:val="0"/>
                <w:szCs w:val="21"/>
                <w:lang w:bidi="ar"/>
              </w:rPr>
              <w:t>蓄水</w:t>
            </w:r>
          </w:p>
        </w:tc>
        <w:tc>
          <w:tcPr>
            <w:tcW w:w="844" w:type="dxa"/>
            <w:noWrap w:val="0"/>
            <w:vAlign w:val="center"/>
          </w:tcPr>
          <w:p>
            <w:pPr>
              <w:widowControl/>
              <w:adjustRightInd w:val="0"/>
              <w:snapToGrid w:val="0"/>
              <w:jc w:val="center"/>
              <w:textAlignment w:val="center"/>
              <w:rPr>
                <w:rFonts w:hint="default" w:ascii="Times New Roman" w:hAnsi="Times New Roman" w:eastAsia="方正仿宋_GBK" w:cs="Times New Roman"/>
                <w:kern w:val="0"/>
                <w:sz w:val="22"/>
                <w:szCs w:val="22"/>
                <w:lang w:bidi="ar"/>
              </w:rPr>
            </w:pPr>
            <w:r>
              <w:rPr>
                <w:rFonts w:hint="default" w:ascii="Times New Roman" w:hAnsi="Times New Roman" w:eastAsia="方正仿宋_GBK" w:cs="Times New Roman"/>
                <w:kern w:val="0"/>
                <w:szCs w:val="21"/>
                <w:lang w:bidi="ar"/>
              </w:rPr>
              <w:t>引水</w:t>
            </w:r>
          </w:p>
        </w:tc>
        <w:tc>
          <w:tcPr>
            <w:tcW w:w="881" w:type="dxa"/>
            <w:noWrap w:val="0"/>
            <w:vAlign w:val="center"/>
          </w:tcPr>
          <w:p>
            <w:pPr>
              <w:widowControl/>
              <w:adjustRightInd w:val="0"/>
              <w:snapToGrid w:val="0"/>
              <w:jc w:val="center"/>
              <w:textAlignment w:val="center"/>
              <w:rPr>
                <w:rFonts w:hint="default" w:ascii="Times New Roman" w:hAnsi="Times New Roman" w:eastAsia="方正仿宋_GBK" w:cs="Times New Roman"/>
                <w:kern w:val="0"/>
                <w:sz w:val="22"/>
                <w:szCs w:val="22"/>
                <w:lang w:bidi="ar"/>
              </w:rPr>
            </w:pPr>
            <w:r>
              <w:rPr>
                <w:rFonts w:hint="default" w:ascii="Times New Roman" w:hAnsi="Times New Roman" w:eastAsia="方正仿宋_GBK" w:cs="Times New Roman"/>
                <w:kern w:val="0"/>
                <w:szCs w:val="21"/>
                <w:lang w:bidi="ar"/>
              </w:rPr>
              <w:t>提水</w:t>
            </w:r>
          </w:p>
        </w:tc>
        <w:tc>
          <w:tcPr>
            <w:tcW w:w="904" w:type="dxa"/>
            <w:noWrap w:val="0"/>
            <w:vAlign w:val="center"/>
          </w:tcPr>
          <w:p>
            <w:pPr>
              <w:widowControl/>
              <w:adjustRightInd w:val="0"/>
              <w:snapToGrid w:val="0"/>
              <w:jc w:val="center"/>
              <w:textAlignment w:val="center"/>
              <w:rPr>
                <w:rFonts w:hint="default" w:ascii="Times New Roman" w:hAnsi="Times New Roman" w:eastAsia="方正仿宋_GBK" w:cs="Times New Roman"/>
                <w:kern w:val="0"/>
                <w:sz w:val="22"/>
                <w:szCs w:val="22"/>
                <w:lang w:bidi="ar"/>
              </w:rPr>
            </w:pPr>
            <w:r>
              <w:rPr>
                <w:rFonts w:hint="default" w:ascii="Times New Roman" w:hAnsi="Times New Roman" w:eastAsia="方正仿宋_GBK" w:cs="Times New Roman"/>
                <w:kern w:val="0"/>
                <w:szCs w:val="21"/>
                <w:lang w:bidi="ar"/>
              </w:rPr>
              <w:t>小计</w:t>
            </w:r>
          </w:p>
        </w:tc>
        <w:tc>
          <w:tcPr>
            <w:tcW w:w="1047" w:type="dxa"/>
            <w:vMerge w:val="continue"/>
            <w:noWrap w:val="0"/>
            <w:vAlign w:val="center"/>
          </w:tcPr>
          <w:p>
            <w:pPr>
              <w:widowControl/>
              <w:adjustRightInd w:val="0"/>
              <w:snapToGrid w:val="0"/>
              <w:jc w:val="center"/>
              <w:textAlignment w:val="center"/>
              <w:rPr>
                <w:rFonts w:hint="default" w:ascii="Times New Roman" w:hAnsi="Times New Roman" w:eastAsia="方正仿宋_GBK" w:cs="Times New Roman"/>
                <w:kern w:val="0"/>
                <w:sz w:val="22"/>
                <w:szCs w:val="22"/>
                <w:lang w:bidi="ar"/>
              </w:rPr>
            </w:pPr>
          </w:p>
        </w:tc>
        <w:tc>
          <w:tcPr>
            <w:tcW w:w="917" w:type="dxa"/>
            <w:vMerge w:val="continue"/>
            <w:noWrap w:val="0"/>
            <w:vAlign w:val="center"/>
          </w:tcPr>
          <w:p>
            <w:pPr>
              <w:widowControl/>
              <w:adjustRightInd w:val="0"/>
              <w:snapToGrid w:val="0"/>
              <w:jc w:val="center"/>
              <w:textAlignment w:val="center"/>
              <w:rPr>
                <w:rFonts w:hint="default" w:ascii="Times New Roman" w:hAnsi="Times New Roman" w:eastAsia="方正仿宋_GBK" w:cs="Times New Roman"/>
                <w:kern w:val="0"/>
                <w:sz w:val="22"/>
                <w:szCs w:val="22"/>
                <w:lang w:bidi="ar"/>
              </w:rPr>
            </w:pPr>
          </w:p>
        </w:tc>
        <w:tc>
          <w:tcPr>
            <w:tcW w:w="916" w:type="dxa"/>
            <w:vMerge w:val="continue"/>
            <w:noWrap w:val="0"/>
            <w:vAlign w:val="center"/>
          </w:tcPr>
          <w:p>
            <w:pPr>
              <w:widowControl/>
              <w:adjustRightInd w:val="0"/>
              <w:snapToGrid w:val="0"/>
              <w:jc w:val="center"/>
              <w:textAlignment w:val="center"/>
              <w:rPr>
                <w:rFonts w:hint="default" w:ascii="Times New Roman" w:hAnsi="Times New Roman" w:eastAsia="方正仿宋_GBK" w:cs="Times New Roman"/>
                <w:kern w:val="0"/>
                <w:sz w:val="22"/>
                <w:szCs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5" w:hRule="atLeast"/>
          <w:jc w:val="center"/>
        </w:trPr>
        <w:tc>
          <w:tcPr>
            <w:tcW w:w="617"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水资源</w:t>
            </w:r>
          </w:p>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分区</w:t>
            </w:r>
          </w:p>
        </w:tc>
        <w:tc>
          <w:tcPr>
            <w:tcW w:w="1496"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王蚌区间北岸</w:t>
            </w:r>
          </w:p>
        </w:tc>
        <w:tc>
          <w:tcPr>
            <w:tcW w:w="798"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0.30 </w:t>
            </w:r>
          </w:p>
        </w:tc>
        <w:tc>
          <w:tcPr>
            <w:tcW w:w="844"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0.02 </w:t>
            </w:r>
          </w:p>
        </w:tc>
        <w:tc>
          <w:tcPr>
            <w:tcW w:w="881"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6.60 </w:t>
            </w:r>
          </w:p>
        </w:tc>
        <w:tc>
          <w:tcPr>
            <w:tcW w:w="904" w:type="dxa"/>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 w:val="22"/>
                <w:szCs w:val="22"/>
                <w:lang w:bidi="ar"/>
              </w:rPr>
              <w:t xml:space="preserve">6.92 </w:t>
            </w:r>
          </w:p>
        </w:tc>
        <w:tc>
          <w:tcPr>
            <w:tcW w:w="1047"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0.91 </w:t>
            </w:r>
          </w:p>
        </w:tc>
        <w:tc>
          <w:tcPr>
            <w:tcW w:w="917"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0.00 </w:t>
            </w:r>
          </w:p>
        </w:tc>
        <w:tc>
          <w:tcPr>
            <w:tcW w:w="916"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7.83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5" w:hRule="atLeast"/>
          <w:jc w:val="center"/>
        </w:trPr>
        <w:tc>
          <w:tcPr>
            <w:tcW w:w="617" w:type="dxa"/>
            <w:vMerge w:val="continue"/>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p>
        </w:tc>
        <w:tc>
          <w:tcPr>
            <w:tcW w:w="1496"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王蚌区间南岸</w:t>
            </w:r>
          </w:p>
        </w:tc>
        <w:tc>
          <w:tcPr>
            <w:tcW w:w="798"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6.31 </w:t>
            </w:r>
          </w:p>
        </w:tc>
        <w:tc>
          <w:tcPr>
            <w:tcW w:w="844"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1.34 </w:t>
            </w:r>
          </w:p>
        </w:tc>
        <w:tc>
          <w:tcPr>
            <w:tcW w:w="881"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2.23 </w:t>
            </w:r>
          </w:p>
        </w:tc>
        <w:tc>
          <w:tcPr>
            <w:tcW w:w="904" w:type="dxa"/>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 w:val="22"/>
                <w:szCs w:val="22"/>
                <w:lang w:bidi="ar"/>
              </w:rPr>
              <w:t xml:space="preserve">9.87 </w:t>
            </w:r>
          </w:p>
        </w:tc>
        <w:tc>
          <w:tcPr>
            <w:tcW w:w="1047"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0.16 </w:t>
            </w:r>
          </w:p>
        </w:tc>
        <w:tc>
          <w:tcPr>
            <w:tcW w:w="917"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0.18 </w:t>
            </w:r>
          </w:p>
        </w:tc>
        <w:tc>
          <w:tcPr>
            <w:tcW w:w="916"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10.21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5" w:hRule="atLeast"/>
          <w:jc w:val="center"/>
        </w:trPr>
        <w:tc>
          <w:tcPr>
            <w:tcW w:w="617" w:type="dxa"/>
            <w:vMerge w:val="continue"/>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bidi="ar"/>
              </w:rPr>
            </w:pPr>
          </w:p>
        </w:tc>
        <w:tc>
          <w:tcPr>
            <w:tcW w:w="1496" w:type="dxa"/>
            <w:noWrap w:val="0"/>
            <w:vAlign w:val="center"/>
          </w:tcPr>
          <w:p>
            <w:pPr>
              <w:widowControl/>
              <w:adjustRightInd w:val="0"/>
              <w:snapToGrid w:val="0"/>
              <w:jc w:val="center"/>
              <w:textAlignment w:val="center"/>
              <w:rPr>
                <w:rFonts w:hint="default" w:ascii="Times New Roman" w:hAnsi="Times New Roman" w:eastAsia="方正仿宋_GBK" w:cs="Times New Roman"/>
                <w:b/>
                <w:bCs/>
                <w:kern w:val="0"/>
                <w:szCs w:val="21"/>
                <w:lang w:bidi="ar"/>
              </w:rPr>
            </w:pPr>
            <w:r>
              <w:rPr>
                <w:rFonts w:hint="default" w:ascii="Times New Roman" w:hAnsi="Times New Roman" w:eastAsia="方正仿宋_GBK" w:cs="Times New Roman"/>
                <w:b/>
                <w:bCs/>
                <w:kern w:val="0"/>
                <w:szCs w:val="21"/>
                <w:lang w:bidi="ar"/>
              </w:rPr>
              <w:t>合计</w:t>
            </w:r>
          </w:p>
        </w:tc>
        <w:tc>
          <w:tcPr>
            <w:tcW w:w="798" w:type="dxa"/>
            <w:noWrap w:val="0"/>
            <w:vAlign w:val="center"/>
          </w:tcPr>
          <w:p>
            <w:pPr>
              <w:widowControl/>
              <w:adjustRightInd w:val="0"/>
              <w:snapToGrid w:val="0"/>
              <w:jc w:val="center"/>
              <w:textAlignment w:val="center"/>
              <w:rPr>
                <w:rFonts w:hint="default" w:ascii="Times New Roman" w:hAnsi="Times New Roman" w:eastAsia="方正仿宋_GBK" w:cs="Times New Roman"/>
                <w:b/>
                <w:bCs/>
                <w:kern w:val="0"/>
                <w:szCs w:val="21"/>
                <w:lang w:bidi="ar"/>
              </w:rPr>
            </w:pPr>
            <w:r>
              <w:rPr>
                <w:rFonts w:hint="default" w:ascii="Times New Roman" w:hAnsi="Times New Roman" w:eastAsia="方正仿宋_GBK" w:cs="Times New Roman"/>
                <w:b/>
                <w:kern w:val="0"/>
                <w:sz w:val="22"/>
                <w:szCs w:val="22"/>
                <w:lang w:bidi="ar"/>
              </w:rPr>
              <w:t xml:space="preserve">6.60 </w:t>
            </w:r>
          </w:p>
        </w:tc>
        <w:tc>
          <w:tcPr>
            <w:tcW w:w="844" w:type="dxa"/>
            <w:noWrap w:val="0"/>
            <w:vAlign w:val="center"/>
          </w:tcPr>
          <w:p>
            <w:pPr>
              <w:widowControl/>
              <w:adjustRightInd w:val="0"/>
              <w:snapToGrid w:val="0"/>
              <w:jc w:val="center"/>
              <w:textAlignment w:val="center"/>
              <w:rPr>
                <w:rFonts w:hint="default" w:ascii="Times New Roman" w:hAnsi="Times New Roman" w:eastAsia="方正仿宋_GBK" w:cs="Times New Roman"/>
                <w:b/>
                <w:bCs/>
                <w:kern w:val="0"/>
                <w:szCs w:val="21"/>
                <w:lang w:bidi="ar"/>
              </w:rPr>
            </w:pPr>
            <w:r>
              <w:rPr>
                <w:rFonts w:hint="default" w:ascii="Times New Roman" w:hAnsi="Times New Roman" w:eastAsia="方正仿宋_GBK" w:cs="Times New Roman"/>
                <w:b/>
                <w:kern w:val="0"/>
                <w:sz w:val="22"/>
                <w:szCs w:val="22"/>
                <w:lang w:bidi="ar"/>
              </w:rPr>
              <w:t xml:space="preserve">1.36 </w:t>
            </w:r>
          </w:p>
        </w:tc>
        <w:tc>
          <w:tcPr>
            <w:tcW w:w="881" w:type="dxa"/>
            <w:noWrap w:val="0"/>
            <w:vAlign w:val="center"/>
          </w:tcPr>
          <w:p>
            <w:pPr>
              <w:widowControl/>
              <w:adjustRightInd w:val="0"/>
              <w:snapToGrid w:val="0"/>
              <w:jc w:val="center"/>
              <w:textAlignment w:val="center"/>
              <w:rPr>
                <w:rFonts w:hint="default" w:ascii="Times New Roman" w:hAnsi="Times New Roman" w:eastAsia="方正仿宋_GBK" w:cs="Times New Roman"/>
                <w:b/>
                <w:bCs/>
                <w:kern w:val="0"/>
                <w:szCs w:val="21"/>
                <w:lang w:bidi="ar"/>
              </w:rPr>
            </w:pPr>
            <w:r>
              <w:rPr>
                <w:rFonts w:hint="default" w:ascii="Times New Roman" w:hAnsi="Times New Roman" w:eastAsia="方正仿宋_GBK" w:cs="Times New Roman"/>
                <w:b/>
                <w:kern w:val="0"/>
                <w:sz w:val="22"/>
                <w:szCs w:val="22"/>
                <w:lang w:bidi="ar"/>
              </w:rPr>
              <w:t xml:space="preserve">8.84 </w:t>
            </w:r>
          </w:p>
        </w:tc>
        <w:tc>
          <w:tcPr>
            <w:tcW w:w="904" w:type="dxa"/>
            <w:noWrap w:val="0"/>
            <w:vAlign w:val="center"/>
          </w:tcPr>
          <w:p>
            <w:pPr>
              <w:widowControl/>
              <w:adjustRightInd w:val="0"/>
              <w:snapToGrid w:val="0"/>
              <w:jc w:val="center"/>
              <w:textAlignment w:val="center"/>
              <w:rPr>
                <w:rFonts w:hint="default" w:ascii="Times New Roman" w:hAnsi="Times New Roman" w:eastAsia="方正仿宋_GBK" w:cs="Times New Roman"/>
                <w:b/>
                <w:bCs/>
                <w:kern w:val="0"/>
                <w:szCs w:val="21"/>
                <w:lang w:bidi="ar"/>
              </w:rPr>
            </w:pPr>
            <w:r>
              <w:rPr>
                <w:rFonts w:hint="default" w:ascii="Times New Roman" w:hAnsi="Times New Roman" w:eastAsia="方正仿宋_GBK" w:cs="Times New Roman"/>
                <w:b/>
                <w:kern w:val="0"/>
                <w:sz w:val="22"/>
                <w:szCs w:val="22"/>
                <w:lang w:bidi="ar"/>
              </w:rPr>
              <w:t xml:space="preserve">16.80 </w:t>
            </w:r>
          </w:p>
        </w:tc>
        <w:tc>
          <w:tcPr>
            <w:tcW w:w="1047" w:type="dxa"/>
            <w:noWrap w:val="0"/>
            <w:vAlign w:val="center"/>
          </w:tcPr>
          <w:p>
            <w:pPr>
              <w:widowControl/>
              <w:adjustRightInd w:val="0"/>
              <w:snapToGrid w:val="0"/>
              <w:jc w:val="center"/>
              <w:textAlignment w:val="center"/>
              <w:rPr>
                <w:rFonts w:hint="default" w:ascii="Times New Roman" w:hAnsi="Times New Roman" w:eastAsia="方正仿宋_GBK" w:cs="Times New Roman"/>
                <w:b/>
                <w:bCs/>
                <w:kern w:val="0"/>
                <w:szCs w:val="21"/>
                <w:lang w:bidi="ar"/>
              </w:rPr>
            </w:pPr>
            <w:r>
              <w:rPr>
                <w:rFonts w:hint="default" w:ascii="Times New Roman" w:hAnsi="Times New Roman" w:eastAsia="方正仿宋_GBK" w:cs="Times New Roman"/>
                <w:b/>
                <w:kern w:val="0"/>
                <w:sz w:val="22"/>
                <w:szCs w:val="22"/>
                <w:lang w:bidi="ar"/>
              </w:rPr>
              <w:t xml:space="preserve">1.07 </w:t>
            </w:r>
          </w:p>
        </w:tc>
        <w:tc>
          <w:tcPr>
            <w:tcW w:w="917" w:type="dxa"/>
            <w:noWrap w:val="0"/>
            <w:vAlign w:val="center"/>
          </w:tcPr>
          <w:p>
            <w:pPr>
              <w:widowControl/>
              <w:adjustRightInd w:val="0"/>
              <w:snapToGrid w:val="0"/>
              <w:jc w:val="center"/>
              <w:textAlignment w:val="center"/>
              <w:rPr>
                <w:rFonts w:hint="default" w:ascii="Times New Roman" w:hAnsi="Times New Roman" w:eastAsia="方正仿宋_GBK" w:cs="Times New Roman"/>
                <w:b/>
                <w:bCs/>
                <w:kern w:val="0"/>
                <w:szCs w:val="21"/>
                <w:lang w:bidi="ar"/>
              </w:rPr>
            </w:pPr>
            <w:r>
              <w:rPr>
                <w:rFonts w:hint="default" w:ascii="Times New Roman" w:hAnsi="Times New Roman" w:eastAsia="方正仿宋_GBK" w:cs="Times New Roman"/>
                <w:b/>
                <w:kern w:val="0"/>
                <w:sz w:val="22"/>
                <w:szCs w:val="22"/>
                <w:lang w:bidi="ar"/>
              </w:rPr>
              <w:t xml:space="preserve">0.18 </w:t>
            </w:r>
          </w:p>
        </w:tc>
        <w:tc>
          <w:tcPr>
            <w:tcW w:w="916" w:type="dxa"/>
            <w:noWrap w:val="0"/>
            <w:vAlign w:val="center"/>
          </w:tcPr>
          <w:p>
            <w:pPr>
              <w:widowControl/>
              <w:adjustRightInd w:val="0"/>
              <w:snapToGrid w:val="0"/>
              <w:jc w:val="center"/>
              <w:textAlignment w:val="center"/>
              <w:rPr>
                <w:rFonts w:hint="default" w:ascii="Times New Roman" w:hAnsi="Times New Roman" w:eastAsia="方正仿宋_GBK" w:cs="Times New Roman"/>
                <w:b/>
                <w:bCs/>
                <w:kern w:val="0"/>
                <w:szCs w:val="21"/>
                <w:lang w:bidi="ar"/>
              </w:rPr>
            </w:pPr>
            <w:r>
              <w:rPr>
                <w:rFonts w:hint="default" w:ascii="Times New Roman" w:hAnsi="Times New Roman" w:eastAsia="方正仿宋_GBK" w:cs="Times New Roman"/>
                <w:b/>
                <w:kern w:val="0"/>
                <w:sz w:val="22"/>
                <w:szCs w:val="22"/>
                <w:lang w:bidi="ar"/>
              </w:rPr>
              <w:t xml:space="preserve">18.05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5" w:hRule="atLeast"/>
          <w:jc w:val="center"/>
        </w:trPr>
        <w:tc>
          <w:tcPr>
            <w:tcW w:w="617"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行政</w:t>
            </w:r>
          </w:p>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分区</w:t>
            </w:r>
          </w:p>
        </w:tc>
        <w:tc>
          <w:tcPr>
            <w:tcW w:w="1496"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淮南市市区</w:t>
            </w:r>
          </w:p>
        </w:tc>
        <w:tc>
          <w:tcPr>
            <w:tcW w:w="798"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0.68 </w:t>
            </w:r>
          </w:p>
        </w:tc>
        <w:tc>
          <w:tcPr>
            <w:tcW w:w="844"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0.01 </w:t>
            </w:r>
          </w:p>
        </w:tc>
        <w:tc>
          <w:tcPr>
            <w:tcW w:w="881"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1.76 </w:t>
            </w:r>
          </w:p>
        </w:tc>
        <w:tc>
          <w:tcPr>
            <w:tcW w:w="904" w:type="dxa"/>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 w:val="22"/>
                <w:szCs w:val="22"/>
                <w:lang w:bidi="ar"/>
              </w:rPr>
              <w:t xml:space="preserve">2.44 </w:t>
            </w:r>
          </w:p>
        </w:tc>
        <w:tc>
          <w:tcPr>
            <w:tcW w:w="1047"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0.10 </w:t>
            </w:r>
          </w:p>
        </w:tc>
        <w:tc>
          <w:tcPr>
            <w:tcW w:w="917"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0.18 </w:t>
            </w:r>
          </w:p>
        </w:tc>
        <w:tc>
          <w:tcPr>
            <w:tcW w:w="916"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2.72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5" w:hRule="atLeast"/>
          <w:jc w:val="center"/>
        </w:trPr>
        <w:tc>
          <w:tcPr>
            <w:tcW w:w="617" w:type="dxa"/>
            <w:vMerge w:val="continue"/>
            <w:noWrap w:val="0"/>
            <w:vAlign w:val="center"/>
          </w:tcPr>
          <w:p>
            <w:pPr>
              <w:adjustRightInd w:val="0"/>
              <w:snapToGrid w:val="0"/>
              <w:jc w:val="center"/>
              <w:rPr>
                <w:rFonts w:hint="default" w:ascii="Times New Roman" w:hAnsi="Times New Roman" w:eastAsia="方正仿宋_GBK" w:cs="Times New Roman"/>
                <w:szCs w:val="21"/>
              </w:rPr>
            </w:pPr>
          </w:p>
        </w:tc>
        <w:tc>
          <w:tcPr>
            <w:tcW w:w="1496"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潘集区</w:t>
            </w:r>
          </w:p>
        </w:tc>
        <w:tc>
          <w:tcPr>
            <w:tcW w:w="798"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0.11 </w:t>
            </w:r>
          </w:p>
        </w:tc>
        <w:tc>
          <w:tcPr>
            <w:tcW w:w="844"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0.01 </w:t>
            </w:r>
          </w:p>
        </w:tc>
        <w:tc>
          <w:tcPr>
            <w:tcW w:w="881"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2.56 </w:t>
            </w:r>
          </w:p>
        </w:tc>
        <w:tc>
          <w:tcPr>
            <w:tcW w:w="904" w:type="dxa"/>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 w:val="22"/>
                <w:szCs w:val="22"/>
                <w:lang w:bidi="ar"/>
              </w:rPr>
              <w:t xml:space="preserve">2.68 </w:t>
            </w:r>
          </w:p>
        </w:tc>
        <w:tc>
          <w:tcPr>
            <w:tcW w:w="1047"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0.20 </w:t>
            </w:r>
          </w:p>
        </w:tc>
        <w:tc>
          <w:tcPr>
            <w:tcW w:w="917"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0.00 </w:t>
            </w:r>
          </w:p>
        </w:tc>
        <w:tc>
          <w:tcPr>
            <w:tcW w:w="916"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2.88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5" w:hRule="atLeast"/>
          <w:jc w:val="center"/>
        </w:trPr>
        <w:tc>
          <w:tcPr>
            <w:tcW w:w="617" w:type="dxa"/>
            <w:vMerge w:val="continue"/>
            <w:noWrap w:val="0"/>
            <w:vAlign w:val="center"/>
          </w:tcPr>
          <w:p>
            <w:pPr>
              <w:adjustRightInd w:val="0"/>
              <w:snapToGrid w:val="0"/>
              <w:jc w:val="center"/>
              <w:rPr>
                <w:rFonts w:hint="default" w:ascii="Times New Roman" w:hAnsi="Times New Roman" w:eastAsia="方正仿宋_GBK" w:cs="Times New Roman"/>
                <w:szCs w:val="21"/>
              </w:rPr>
            </w:pPr>
          </w:p>
        </w:tc>
        <w:tc>
          <w:tcPr>
            <w:tcW w:w="1496"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凤台县、毛集区</w:t>
            </w:r>
          </w:p>
        </w:tc>
        <w:tc>
          <w:tcPr>
            <w:tcW w:w="798"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0.19 </w:t>
            </w:r>
          </w:p>
        </w:tc>
        <w:tc>
          <w:tcPr>
            <w:tcW w:w="844"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0.01 </w:t>
            </w:r>
          </w:p>
        </w:tc>
        <w:tc>
          <w:tcPr>
            <w:tcW w:w="881"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4.08 </w:t>
            </w:r>
          </w:p>
        </w:tc>
        <w:tc>
          <w:tcPr>
            <w:tcW w:w="904" w:type="dxa"/>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 w:val="22"/>
                <w:szCs w:val="22"/>
                <w:lang w:bidi="ar"/>
              </w:rPr>
              <w:t xml:space="preserve">4.28 </w:t>
            </w:r>
          </w:p>
        </w:tc>
        <w:tc>
          <w:tcPr>
            <w:tcW w:w="1047"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0.71 </w:t>
            </w:r>
          </w:p>
        </w:tc>
        <w:tc>
          <w:tcPr>
            <w:tcW w:w="917"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0.00 </w:t>
            </w:r>
          </w:p>
        </w:tc>
        <w:tc>
          <w:tcPr>
            <w:tcW w:w="916"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4.99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5" w:hRule="atLeast"/>
          <w:jc w:val="center"/>
        </w:trPr>
        <w:tc>
          <w:tcPr>
            <w:tcW w:w="617" w:type="dxa"/>
            <w:vMerge w:val="continue"/>
            <w:noWrap w:val="0"/>
            <w:vAlign w:val="center"/>
          </w:tcPr>
          <w:p>
            <w:pPr>
              <w:adjustRightInd w:val="0"/>
              <w:snapToGrid w:val="0"/>
              <w:jc w:val="center"/>
              <w:rPr>
                <w:rFonts w:hint="default" w:ascii="Times New Roman" w:hAnsi="Times New Roman" w:eastAsia="方正仿宋_GBK" w:cs="Times New Roman"/>
                <w:szCs w:val="21"/>
              </w:rPr>
            </w:pPr>
          </w:p>
        </w:tc>
        <w:tc>
          <w:tcPr>
            <w:tcW w:w="1496"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798"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5.55 </w:t>
            </w:r>
          </w:p>
        </w:tc>
        <w:tc>
          <w:tcPr>
            <w:tcW w:w="844"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1.33 </w:t>
            </w:r>
          </w:p>
        </w:tc>
        <w:tc>
          <w:tcPr>
            <w:tcW w:w="881"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0.52 </w:t>
            </w:r>
          </w:p>
        </w:tc>
        <w:tc>
          <w:tcPr>
            <w:tcW w:w="904" w:type="dxa"/>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 w:val="22"/>
                <w:szCs w:val="22"/>
                <w:lang w:bidi="ar"/>
              </w:rPr>
              <w:t xml:space="preserve">7.40 </w:t>
            </w:r>
          </w:p>
        </w:tc>
        <w:tc>
          <w:tcPr>
            <w:tcW w:w="1047"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0.06 </w:t>
            </w:r>
          </w:p>
        </w:tc>
        <w:tc>
          <w:tcPr>
            <w:tcW w:w="917"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0.00 </w:t>
            </w:r>
          </w:p>
        </w:tc>
        <w:tc>
          <w:tcPr>
            <w:tcW w:w="916"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2"/>
                <w:szCs w:val="22"/>
                <w:lang w:bidi="ar"/>
              </w:rPr>
              <w:t xml:space="preserve">7.46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9" w:hRule="atLeast"/>
          <w:jc w:val="center"/>
        </w:trPr>
        <w:tc>
          <w:tcPr>
            <w:tcW w:w="617" w:type="dxa"/>
            <w:vMerge w:val="continue"/>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p>
        </w:tc>
        <w:tc>
          <w:tcPr>
            <w:tcW w:w="1496" w:type="dxa"/>
            <w:noWrap w:val="0"/>
            <w:vAlign w:val="center"/>
          </w:tcPr>
          <w:p>
            <w:pPr>
              <w:widowControl/>
              <w:adjustRightInd w:val="0"/>
              <w:snapToGrid w:val="0"/>
              <w:jc w:val="center"/>
              <w:textAlignment w:val="center"/>
              <w:rPr>
                <w:rFonts w:hint="default" w:ascii="Times New Roman" w:hAnsi="Times New Roman" w:eastAsia="方正仿宋_GBK" w:cs="Times New Roman"/>
                <w:b/>
                <w:bCs/>
                <w:kern w:val="0"/>
                <w:szCs w:val="21"/>
                <w:lang w:bidi="ar"/>
              </w:rPr>
            </w:pPr>
            <w:r>
              <w:rPr>
                <w:rFonts w:hint="default" w:ascii="Times New Roman" w:hAnsi="Times New Roman" w:eastAsia="方正仿宋_GBK" w:cs="Times New Roman"/>
                <w:b/>
                <w:bCs/>
                <w:kern w:val="0"/>
                <w:szCs w:val="21"/>
                <w:lang w:bidi="ar"/>
              </w:rPr>
              <w:t>合  计</w:t>
            </w:r>
          </w:p>
        </w:tc>
        <w:tc>
          <w:tcPr>
            <w:tcW w:w="798" w:type="dxa"/>
            <w:noWrap w:val="0"/>
            <w:vAlign w:val="center"/>
          </w:tcPr>
          <w:p>
            <w:pPr>
              <w:widowControl/>
              <w:adjustRightInd w:val="0"/>
              <w:snapToGrid w:val="0"/>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kern w:val="0"/>
                <w:sz w:val="22"/>
                <w:szCs w:val="22"/>
                <w:lang w:bidi="ar"/>
              </w:rPr>
              <w:t xml:space="preserve">6.60 </w:t>
            </w:r>
          </w:p>
        </w:tc>
        <w:tc>
          <w:tcPr>
            <w:tcW w:w="844" w:type="dxa"/>
            <w:noWrap w:val="0"/>
            <w:vAlign w:val="center"/>
          </w:tcPr>
          <w:p>
            <w:pPr>
              <w:widowControl/>
              <w:adjustRightInd w:val="0"/>
              <w:snapToGrid w:val="0"/>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kern w:val="0"/>
                <w:sz w:val="22"/>
                <w:szCs w:val="22"/>
                <w:lang w:bidi="ar"/>
              </w:rPr>
              <w:t xml:space="preserve">1.36 </w:t>
            </w:r>
          </w:p>
        </w:tc>
        <w:tc>
          <w:tcPr>
            <w:tcW w:w="881" w:type="dxa"/>
            <w:noWrap w:val="0"/>
            <w:vAlign w:val="center"/>
          </w:tcPr>
          <w:p>
            <w:pPr>
              <w:widowControl/>
              <w:adjustRightInd w:val="0"/>
              <w:snapToGrid w:val="0"/>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kern w:val="0"/>
                <w:sz w:val="22"/>
                <w:szCs w:val="22"/>
                <w:lang w:bidi="ar"/>
              </w:rPr>
              <w:t xml:space="preserve">8.84 </w:t>
            </w:r>
          </w:p>
        </w:tc>
        <w:tc>
          <w:tcPr>
            <w:tcW w:w="904" w:type="dxa"/>
            <w:noWrap w:val="0"/>
            <w:vAlign w:val="center"/>
          </w:tcPr>
          <w:p>
            <w:pPr>
              <w:widowControl/>
              <w:adjustRightInd w:val="0"/>
              <w:snapToGrid w:val="0"/>
              <w:jc w:val="center"/>
              <w:textAlignment w:val="center"/>
              <w:rPr>
                <w:rFonts w:hint="default" w:ascii="Times New Roman" w:hAnsi="Times New Roman" w:eastAsia="方正仿宋_GBK" w:cs="Times New Roman"/>
                <w:b/>
                <w:bCs/>
                <w:kern w:val="0"/>
                <w:szCs w:val="21"/>
                <w:lang w:bidi="ar"/>
              </w:rPr>
            </w:pPr>
            <w:r>
              <w:rPr>
                <w:rFonts w:hint="default" w:ascii="Times New Roman" w:hAnsi="Times New Roman" w:eastAsia="方正仿宋_GBK" w:cs="Times New Roman"/>
                <w:b/>
                <w:kern w:val="0"/>
                <w:sz w:val="22"/>
                <w:szCs w:val="22"/>
                <w:lang w:bidi="ar"/>
              </w:rPr>
              <w:t xml:space="preserve">16.80 </w:t>
            </w:r>
          </w:p>
        </w:tc>
        <w:tc>
          <w:tcPr>
            <w:tcW w:w="1047" w:type="dxa"/>
            <w:noWrap w:val="0"/>
            <w:vAlign w:val="center"/>
          </w:tcPr>
          <w:p>
            <w:pPr>
              <w:widowControl/>
              <w:adjustRightInd w:val="0"/>
              <w:snapToGrid w:val="0"/>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kern w:val="0"/>
                <w:sz w:val="22"/>
                <w:szCs w:val="22"/>
                <w:lang w:bidi="ar"/>
              </w:rPr>
              <w:t xml:space="preserve">1.07 </w:t>
            </w:r>
          </w:p>
        </w:tc>
        <w:tc>
          <w:tcPr>
            <w:tcW w:w="917" w:type="dxa"/>
            <w:noWrap w:val="0"/>
            <w:vAlign w:val="center"/>
          </w:tcPr>
          <w:p>
            <w:pPr>
              <w:widowControl/>
              <w:adjustRightInd w:val="0"/>
              <w:snapToGrid w:val="0"/>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kern w:val="0"/>
                <w:sz w:val="22"/>
                <w:szCs w:val="22"/>
                <w:lang w:bidi="ar"/>
              </w:rPr>
              <w:t xml:space="preserve">0.18 </w:t>
            </w:r>
          </w:p>
        </w:tc>
        <w:tc>
          <w:tcPr>
            <w:tcW w:w="916" w:type="dxa"/>
            <w:noWrap w:val="0"/>
            <w:vAlign w:val="center"/>
          </w:tcPr>
          <w:p>
            <w:pPr>
              <w:widowControl/>
              <w:adjustRightInd w:val="0"/>
              <w:snapToGrid w:val="0"/>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kern w:val="0"/>
                <w:sz w:val="22"/>
                <w:szCs w:val="22"/>
                <w:lang w:bidi="ar"/>
              </w:rPr>
              <w:t xml:space="preserve">18.05 </w:t>
            </w:r>
          </w:p>
        </w:tc>
      </w:tr>
    </w:tbl>
    <w:p>
      <w:pPr>
        <w:keepNext w:val="0"/>
        <w:keepLines w:val="0"/>
        <w:pageBreakBefore w:val="0"/>
        <w:widowControl w:val="0"/>
        <w:kinsoku/>
        <w:wordWrap/>
        <w:overflowPunct/>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近年来供水量总体状况</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淮南市供水主要以地表水水源为主，地下水为辅。近6年（2010~2015）供水量变化情况：2010年22.94亿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，2015年18.05亿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，呈下降趋势，年下降率为3.8%。具体见表3.3-2。</w:t>
      </w:r>
    </w:p>
    <w:p>
      <w:pPr>
        <w:adjustRightInd w:val="0"/>
        <w:snapToGrid w:val="0"/>
        <w:spacing w:line="520" w:lineRule="exact"/>
        <w:jc w:val="center"/>
        <w:rPr>
          <w:rFonts w:hint="eastAsia" w:ascii="方正黑体_GBK" w:hAnsi="方正黑体_GBK" w:eastAsia="方正黑体_GBK" w:cs="方正黑体_GBK"/>
          <w:b/>
          <w:bCs/>
          <w:sz w:val="24"/>
          <w:vertAlign w:val="superscript"/>
          <w:lang w:eastAsia="zh-CN"/>
        </w:rPr>
      </w:pPr>
      <w:r>
        <w:rPr>
          <w:rFonts w:hint="eastAsia" w:ascii="方正黑体_GBK" w:hAnsi="方正黑体_GBK" w:eastAsia="方正黑体_GBK" w:cs="方正黑体_GBK"/>
          <w:b/>
          <w:bCs/>
          <w:sz w:val="24"/>
        </w:rPr>
        <w:t>表3.3-2  2010~2015年淮南市供水构成表    单位：亿</w:t>
      </w:r>
      <w:r>
        <w:rPr>
          <w:rFonts w:hint="eastAsia" w:ascii="方正黑体_GBK" w:hAnsi="方正黑体_GBK" w:eastAsia="方正黑体_GBK" w:cs="方正黑体_GBK"/>
          <w:b/>
          <w:bCs/>
          <w:sz w:val="24"/>
          <w:lang w:eastAsia="zh-CN"/>
        </w:rPr>
        <w:t>m³</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94"/>
        <w:gridCol w:w="1039"/>
        <w:gridCol w:w="999"/>
        <w:gridCol w:w="1191"/>
        <w:gridCol w:w="1225"/>
        <w:gridCol w:w="1214"/>
        <w:gridCol w:w="999"/>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94"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年份</w:t>
            </w:r>
          </w:p>
        </w:tc>
        <w:tc>
          <w:tcPr>
            <w:tcW w:w="4454" w:type="dxa"/>
            <w:gridSpan w:val="4"/>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地表水源供水量</w:t>
            </w:r>
          </w:p>
        </w:tc>
        <w:tc>
          <w:tcPr>
            <w:tcW w:w="1214"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地下水源供水量</w:t>
            </w:r>
          </w:p>
        </w:tc>
        <w:tc>
          <w:tcPr>
            <w:tcW w:w="999"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污水处理回用</w:t>
            </w:r>
          </w:p>
        </w:tc>
        <w:tc>
          <w:tcPr>
            <w:tcW w:w="1179"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总供</w:t>
            </w:r>
          </w:p>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94" w:type="dxa"/>
            <w:vMerge w:val="continue"/>
            <w:noWrap w:val="0"/>
            <w:vAlign w:val="center"/>
          </w:tcPr>
          <w:p>
            <w:pPr>
              <w:adjustRightInd w:val="0"/>
              <w:snapToGrid w:val="0"/>
              <w:jc w:val="center"/>
              <w:rPr>
                <w:rFonts w:hint="default" w:ascii="Times New Roman" w:hAnsi="Times New Roman" w:eastAsia="方正仿宋_GBK" w:cs="Times New Roman"/>
                <w:szCs w:val="21"/>
              </w:rPr>
            </w:pPr>
          </w:p>
        </w:tc>
        <w:tc>
          <w:tcPr>
            <w:tcW w:w="103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蓄水</w:t>
            </w:r>
          </w:p>
        </w:tc>
        <w:tc>
          <w:tcPr>
            <w:tcW w:w="99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引水</w:t>
            </w:r>
          </w:p>
        </w:tc>
        <w:tc>
          <w:tcPr>
            <w:tcW w:w="1191"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提水</w:t>
            </w:r>
          </w:p>
        </w:tc>
        <w:tc>
          <w:tcPr>
            <w:tcW w:w="1225"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小计</w:t>
            </w:r>
          </w:p>
        </w:tc>
        <w:tc>
          <w:tcPr>
            <w:tcW w:w="1214" w:type="dxa"/>
            <w:vMerge w:val="continue"/>
            <w:noWrap w:val="0"/>
            <w:vAlign w:val="center"/>
          </w:tcPr>
          <w:p>
            <w:pPr>
              <w:adjustRightInd w:val="0"/>
              <w:snapToGrid w:val="0"/>
              <w:jc w:val="center"/>
              <w:rPr>
                <w:rFonts w:hint="default" w:ascii="Times New Roman" w:hAnsi="Times New Roman" w:eastAsia="方正仿宋_GBK" w:cs="Times New Roman"/>
                <w:szCs w:val="21"/>
              </w:rPr>
            </w:pPr>
          </w:p>
        </w:tc>
        <w:tc>
          <w:tcPr>
            <w:tcW w:w="999" w:type="dxa"/>
            <w:vMerge w:val="continue"/>
            <w:noWrap w:val="0"/>
            <w:vAlign w:val="center"/>
          </w:tcPr>
          <w:p>
            <w:pPr>
              <w:adjustRightInd w:val="0"/>
              <w:snapToGrid w:val="0"/>
              <w:jc w:val="center"/>
              <w:rPr>
                <w:rFonts w:hint="default" w:ascii="Times New Roman" w:hAnsi="Times New Roman" w:eastAsia="方正仿宋_GBK" w:cs="Times New Roman"/>
                <w:szCs w:val="21"/>
              </w:rPr>
            </w:pPr>
          </w:p>
        </w:tc>
        <w:tc>
          <w:tcPr>
            <w:tcW w:w="1179" w:type="dxa"/>
            <w:vMerge w:val="continue"/>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94"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2010</w:t>
            </w:r>
          </w:p>
        </w:tc>
        <w:tc>
          <w:tcPr>
            <w:tcW w:w="103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7.54</w:t>
            </w:r>
          </w:p>
        </w:tc>
        <w:tc>
          <w:tcPr>
            <w:tcW w:w="99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1.38</w:t>
            </w:r>
          </w:p>
        </w:tc>
        <w:tc>
          <w:tcPr>
            <w:tcW w:w="1191"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12.31</w:t>
            </w:r>
          </w:p>
        </w:tc>
        <w:tc>
          <w:tcPr>
            <w:tcW w:w="1225"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21.23</w:t>
            </w:r>
          </w:p>
        </w:tc>
        <w:tc>
          <w:tcPr>
            <w:tcW w:w="1214"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1.59</w:t>
            </w:r>
          </w:p>
        </w:tc>
        <w:tc>
          <w:tcPr>
            <w:tcW w:w="99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0.12</w:t>
            </w:r>
          </w:p>
        </w:tc>
        <w:tc>
          <w:tcPr>
            <w:tcW w:w="117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22.94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94"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2011</w:t>
            </w:r>
          </w:p>
        </w:tc>
        <w:tc>
          <w:tcPr>
            <w:tcW w:w="103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8.11</w:t>
            </w:r>
          </w:p>
        </w:tc>
        <w:tc>
          <w:tcPr>
            <w:tcW w:w="99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1.46</w:t>
            </w:r>
          </w:p>
        </w:tc>
        <w:tc>
          <w:tcPr>
            <w:tcW w:w="1191"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11.28</w:t>
            </w:r>
          </w:p>
        </w:tc>
        <w:tc>
          <w:tcPr>
            <w:tcW w:w="1225"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20.85</w:t>
            </w:r>
          </w:p>
        </w:tc>
        <w:tc>
          <w:tcPr>
            <w:tcW w:w="1214"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1.65</w:t>
            </w:r>
          </w:p>
        </w:tc>
        <w:tc>
          <w:tcPr>
            <w:tcW w:w="99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0.04</w:t>
            </w:r>
          </w:p>
        </w:tc>
        <w:tc>
          <w:tcPr>
            <w:tcW w:w="117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22.54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94"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2012</w:t>
            </w:r>
          </w:p>
        </w:tc>
        <w:tc>
          <w:tcPr>
            <w:tcW w:w="103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7.99</w:t>
            </w:r>
          </w:p>
        </w:tc>
        <w:tc>
          <w:tcPr>
            <w:tcW w:w="99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1.27</w:t>
            </w:r>
          </w:p>
        </w:tc>
        <w:tc>
          <w:tcPr>
            <w:tcW w:w="1191"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10.18</w:t>
            </w:r>
          </w:p>
        </w:tc>
        <w:tc>
          <w:tcPr>
            <w:tcW w:w="1225"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19.44</w:t>
            </w:r>
          </w:p>
        </w:tc>
        <w:tc>
          <w:tcPr>
            <w:tcW w:w="1214"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1.54</w:t>
            </w:r>
          </w:p>
        </w:tc>
        <w:tc>
          <w:tcPr>
            <w:tcW w:w="99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0.04</w:t>
            </w:r>
          </w:p>
        </w:tc>
        <w:tc>
          <w:tcPr>
            <w:tcW w:w="117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94"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2013</w:t>
            </w:r>
          </w:p>
        </w:tc>
        <w:tc>
          <w:tcPr>
            <w:tcW w:w="103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7.63</w:t>
            </w:r>
          </w:p>
        </w:tc>
        <w:tc>
          <w:tcPr>
            <w:tcW w:w="99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1.22</w:t>
            </w:r>
          </w:p>
        </w:tc>
        <w:tc>
          <w:tcPr>
            <w:tcW w:w="1191"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9.4</w:t>
            </w:r>
          </w:p>
        </w:tc>
        <w:tc>
          <w:tcPr>
            <w:tcW w:w="1225"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18.25</w:t>
            </w:r>
          </w:p>
        </w:tc>
        <w:tc>
          <w:tcPr>
            <w:tcW w:w="1214"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1.27</w:t>
            </w:r>
          </w:p>
        </w:tc>
        <w:tc>
          <w:tcPr>
            <w:tcW w:w="99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0.56</w:t>
            </w:r>
          </w:p>
        </w:tc>
        <w:tc>
          <w:tcPr>
            <w:tcW w:w="117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94"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2014</w:t>
            </w:r>
          </w:p>
        </w:tc>
        <w:tc>
          <w:tcPr>
            <w:tcW w:w="103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7.59</w:t>
            </w:r>
          </w:p>
        </w:tc>
        <w:tc>
          <w:tcPr>
            <w:tcW w:w="99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1.36</w:t>
            </w:r>
          </w:p>
        </w:tc>
        <w:tc>
          <w:tcPr>
            <w:tcW w:w="1191"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8.33</w:t>
            </w:r>
          </w:p>
        </w:tc>
        <w:tc>
          <w:tcPr>
            <w:tcW w:w="1225"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17.28</w:t>
            </w:r>
          </w:p>
        </w:tc>
        <w:tc>
          <w:tcPr>
            <w:tcW w:w="1214"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1.07</w:t>
            </w:r>
          </w:p>
        </w:tc>
        <w:tc>
          <w:tcPr>
            <w:tcW w:w="99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0.56</w:t>
            </w:r>
          </w:p>
        </w:tc>
        <w:tc>
          <w:tcPr>
            <w:tcW w:w="117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18.91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94"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2015</w:t>
            </w:r>
          </w:p>
        </w:tc>
        <w:tc>
          <w:tcPr>
            <w:tcW w:w="103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6.6</w:t>
            </w:r>
          </w:p>
        </w:tc>
        <w:tc>
          <w:tcPr>
            <w:tcW w:w="99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1.36</w:t>
            </w:r>
          </w:p>
        </w:tc>
        <w:tc>
          <w:tcPr>
            <w:tcW w:w="1191"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8.84</w:t>
            </w:r>
          </w:p>
        </w:tc>
        <w:tc>
          <w:tcPr>
            <w:tcW w:w="1225"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16.8</w:t>
            </w:r>
          </w:p>
        </w:tc>
        <w:tc>
          <w:tcPr>
            <w:tcW w:w="1214"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1.07</w:t>
            </w:r>
          </w:p>
        </w:tc>
        <w:tc>
          <w:tcPr>
            <w:tcW w:w="99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0.18</w:t>
            </w:r>
          </w:p>
        </w:tc>
        <w:tc>
          <w:tcPr>
            <w:tcW w:w="117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 w:val="24"/>
                <w:lang w:bidi="ar"/>
              </w:rPr>
              <w:t>18.05</w:t>
            </w:r>
          </w:p>
        </w:tc>
      </w:tr>
    </w:tbl>
    <w:p>
      <w:pPr>
        <w:pStyle w:val="5"/>
        <w:keepNext w:val="0"/>
        <w:keepLines w:val="0"/>
        <w:pageBreakBefore w:val="0"/>
        <w:widowControl w:val="0"/>
        <w:kinsoku/>
        <w:wordWrap/>
        <w:overflowPunct/>
        <w:autoSpaceDE/>
        <w:autoSpaceDN/>
        <w:bidi w:val="0"/>
        <w:spacing w:line="590" w:lineRule="exact"/>
        <w:ind w:firstLine="562"/>
        <w:rPr>
          <w:rFonts w:hint="eastAsia" w:ascii="方正楷体_GBK" w:hAnsi="方正楷体_GBK" w:eastAsia="方正楷体_GBK" w:cs="方正楷体_GBK"/>
          <w:b w:val="0"/>
          <w:bCs/>
          <w:sz w:val="32"/>
          <w:szCs w:val="32"/>
        </w:rPr>
      </w:pPr>
      <w:bookmarkStart w:id="110" w:name="_Toc312309845"/>
      <w:bookmarkStart w:id="111" w:name="_Toc32058"/>
      <w:r>
        <w:rPr>
          <w:rFonts w:hint="eastAsia" w:ascii="方正楷体_GBK" w:hAnsi="方正楷体_GBK" w:eastAsia="方正楷体_GBK" w:cs="方正楷体_GBK"/>
          <w:b w:val="0"/>
          <w:bCs/>
          <w:sz w:val="32"/>
          <w:szCs w:val="32"/>
        </w:rPr>
        <w:t>二、用水量</w:t>
      </w:r>
      <w:bookmarkEnd w:id="110"/>
      <w:bookmarkEnd w:id="111"/>
    </w:p>
    <w:p>
      <w:pPr>
        <w:keepNext w:val="0"/>
        <w:keepLines w:val="0"/>
        <w:pageBreakBefore w:val="0"/>
        <w:widowControl w:val="0"/>
        <w:kinsoku/>
        <w:wordWrap/>
        <w:overflowPunct/>
        <w:autoSpaceDE/>
        <w:autoSpaceDN/>
        <w:bidi w:val="0"/>
        <w:adjustRightInd w:val="0"/>
        <w:snapToGrid w:val="0"/>
        <w:spacing w:before="95" w:beforeLines="30" w:after="95" w:afterLines="30" w:line="590" w:lineRule="exact"/>
        <w:ind w:firstLine="643" w:firstLineChars="200"/>
        <w:rPr>
          <w:rFonts w:hint="eastAsia" w:ascii="方正仿宋_GBK" w:hAnsi="方正仿宋_GBK" w:eastAsia="方正仿宋_GBK" w:cs="方正仿宋_GBK"/>
          <w:b/>
          <w:bCs w:val="0"/>
          <w:sz w:val="32"/>
          <w:szCs w:val="32"/>
        </w:rPr>
      </w:pPr>
      <w:r>
        <w:rPr>
          <w:rFonts w:hint="eastAsia" w:ascii="方正仿宋_GBK" w:hAnsi="方正仿宋_GBK" w:eastAsia="方正仿宋_GBK" w:cs="方正仿宋_GBK"/>
          <w:b/>
          <w:bCs w:val="0"/>
          <w:sz w:val="32"/>
          <w:szCs w:val="32"/>
        </w:rPr>
        <w:t>（1）淮南市2015年用水量</w:t>
      </w:r>
    </w:p>
    <w:p>
      <w:pPr>
        <w:keepNext w:val="0"/>
        <w:keepLines w:val="0"/>
        <w:pageBreakBefore w:val="0"/>
        <w:widowControl w:val="0"/>
        <w:kinsoku/>
        <w:wordWrap/>
        <w:overflowPunct/>
        <w:autoSpaceDE/>
        <w:autoSpaceDN/>
        <w:bidi w:val="0"/>
        <w:adjustRightInd w:val="0"/>
        <w:snapToGrid w:val="0"/>
        <w:spacing w:before="95" w:beforeLines="30" w:after="95" w:afterLines="30"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① 用水量</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2015年全市总用水量18.05亿</w:t>
      </w:r>
      <w:r>
        <w:rPr>
          <w:rFonts w:hint="default" w:ascii="Times New Roman" w:hAnsi="Times New Roman" w:eastAsia="方正仿宋_GBK" w:cs="Times New Roman"/>
          <w:b w:val="0"/>
          <w:bCs/>
          <w:sz w:val="32"/>
          <w:szCs w:val="32"/>
          <w:lang w:eastAsia="zh-CN"/>
        </w:rPr>
        <w:t>m³</w:t>
      </w:r>
      <w:r>
        <w:rPr>
          <w:rFonts w:hint="default" w:ascii="Times New Roman" w:hAnsi="Times New Roman" w:eastAsia="方正仿宋_GBK" w:cs="Times New Roman"/>
          <w:b w:val="0"/>
          <w:bCs/>
          <w:sz w:val="32"/>
          <w:szCs w:val="32"/>
        </w:rPr>
        <w:t>。其中王蚌区间北岸7.83亿</w:t>
      </w:r>
      <w:r>
        <w:rPr>
          <w:rFonts w:hint="default" w:ascii="Times New Roman" w:hAnsi="Times New Roman" w:eastAsia="方正仿宋_GBK" w:cs="Times New Roman"/>
          <w:b w:val="0"/>
          <w:bCs/>
          <w:sz w:val="32"/>
          <w:szCs w:val="32"/>
          <w:lang w:eastAsia="zh-CN"/>
        </w:rPr>
        <w:t>m³</w:t>
      </w:r>
      <w:r>
        <w:rPr>
          <w:rFonts w:hint="default" w:ascii="Times New Roman" w:hAnsi="Times New Roman" w:eastAsia="方正仿宋_GBK" w:cs="Times New Roman"/>
          <w:b w:val="0"/>
          <w:bCs/>
          <w:sz w:val="32"/>
          <w:szCs w:val="32"/>
        </w:rPr>
        <w:t>，王蚌区间南岸10.22亿</w:t>
      </w:r>
      <w:r>
        <w:rPr>
          <w:rFonts w:hint="default" w:ascii="Times New Roman" w:hAnsi="Times New Roman" w:eastAsia="方正仿宋_GBK" w:cs="Times New Roman"/>
          <w:b w:val="0"/>
          <w:bCs/>
          <w:sz w:val="32"/>
          <w:szCs w:val="32"/>
          <w:lang w:eastAsia="zh-CN"/>
        </w:rPr>
        <w:t>m³</w:t>
      </w:r>
      <w:r>
        <w:rPr>
          <w:rFonts w:hint="default" w:ascii="Times New Roman" w:hAnsi="Times New Roman" w:eastAsia="方正仿宋_GBK" w:cs="Times New Roman"/>
          <w:b w:val="0"/>
          <w:bCs/>
          <w:sz w:val="32"/>
          <w:szCs w:val="32"/>
        </w:rPr>
        <w:t>，具体见表3.3-4。淮南市火电用水量大，是造成占全省及流域比例较高的主要原因。2015年末，全市火电总装机1169万kW，约占全省总装机26.7%（全省燃煤火电装机容量4379万kw）。</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② 用水结构</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生活用水量1.94亿</w:t>
      </w:r>
      <w:r>
        <w:rPr>
          <w:rFonts w:hint="default" w:ascii="Times New Roman" w:hAnsi="Times New Roman" w:eastAsia="方正仿宋_GBK" w:cs="Times New Roman"/>
          <w:b w:val="0"/>
          <w:bCs/>
          <w:sz w:val="32"/>
          <w:szCs w:val="32"/>
          <w:lang w:eastAsia="zh-CN"/>
        </w:rPr>
        <w:t>m³</w:t>
      </w:r>
      <w:r>
        <w:rPr>
          <w:rFonts w:hint="default" w:ascii="Times New Roman" w:hAnsi="Times New Roman" w:eastAsia="方正仿宋_GBK" w:cs="Times New Roman"/>
          <w:b w:val="0"/>
          <w:bCs/>
          <w:sz w:val="32"/>
          <w:szCs w:val="32"/>
        </w:rPr>
        <w:t>中，占用水总量的10.7%；</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工业用水量2.81亿</w:t>
      </w:r>
      <w:r>
        <w:rPr>
          <w:rFonts w:hint="default" w:ascii="Times New Roman" w:hAnsi="Times New Roman" w:eastAsia="方正仿宋_GBK" w:cs="Times New Roman"/>
          <w:b w:val="0"/>
          <w:bCs/>
          <w:sz w:val="32"/>
          <w:szCs w:val="32"/>
          <w:lang w:eastAsia="zh-CN"/>
        </w:rPr>
        <w:t>m³</w:t>
      </w:r>
      <w:r>
        <w:rPr>
          <w:rFonts w:hint="default" w:ascii="Times New Roman" w:hAnsi="Times New Roman" w:eastAsia="方正仿宋_GBK" w:cs="Times New Roman"/>
          <w:b w:val="0"/>
          <w:bCs/>
          <w:sz w:val="32"/>
          <w:szCs w:val="32"/>
        </w:rPr>
        <w:t>，占用水总量的15.6%，火电用水量1.70亿</w:t>
      </w:r>
      <w:r>
        <w:rPr>
          <w:rFonts w:hint="default" w:ascii="Times New Roman" w:hAnsi="Times New Roman" w:eastAsia="方正仿宋_GBK" w:cs="Times New Roman"/>
          <w:b w:val="0"/>
          <w:bCs/>
          <w:sz w:val="32"/>
          <w:szCs w:val="32"/>
          <w:lang w:eastAsia="zh-CN"/>
        </w:rPr>
        <w:t>m³</w:t>
      </w:r>
      <w:r>
        <w:rPr>
          <w:rFonts w:hint="default" w:ascii="Times New Roman" w:hAnsi="Times New Roman" w:eastAsia="方正仿宋_GBK" w:cs="Times New Roman"/>
          <w:b w:val="0"/>
          <w:bCs/>
          <w:sz w:val="32"/>
          <w:szCs w:val="32"/>
        </w:rPr>
        <w:t>，占工业用水总量的60.5%；一般工业用水量0.67亿</w:t>
      </w:r>
      <w:r>
        <w:rPr>
          <w:rFonts w:hint="default" w:ascii="Times New Roman" w:hAnsi="Times New Roman" w:eastAsia="方正仿宋_GBK" w:cs="Times New Roman"/>
          <w:b w:val="0"/>
          <w:bCs/>
          <w:sz w:val="32"/>
          <w:szCs w:val="32"/>
          <w:lang w:eastAsia="zh-CN"/>
        </w:rPr>
        <w:t>m³</w:t>
      </w:r>
      <w:r>
        <w:rPr>
          <w:rFonts w:hint="default" w:ascii="Times New Roman" w:hAnsi="Times New Roman" w:eastAsia="方正仿宋_GBK" w:cs="Times New Roman"/>
          <w:b w:val="0"/>
          <w:bCs/>
          <w:sz w:val="32"/>
          <w:szCs w:val="32"/>
        </w:rPr>
        <w:t>，占工业用水总量的24.2%；煤炭用水量0.43亿m³，占工业用水量的15.3%。</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农业用水量12.95亿</w:t>
      </w:r>
      <w:r>
        <w:rPr>
          <w:rFonts w:hint="default" w:ascii="Times New Roman" w:hAnsi="Times New Roman" w:eastAsia="方正仿宋_GBK" w:cs="Times New Roman"/>
          <w:b w:val="0"/>
          <w:bCs/>
          <w:sz w:val="32"/>
          <w:szCs w:val="32"/>
          <w:lang w:eastAsia="zh-CN"/>
        </w:rPr>
        <w:t>m³</w:t>
      </w:r>
      <w:r>
        <w:rPr>
          <w:rFonts w:hint="default" w:ascii="Times New Roman" w:hAnsi="Times New Roman" w:eastAsia="方正仿宋_GBK" w:cs="Times New Roman"/>
          <w:b w:val="0"/>
          <w:bCs/>
          <w:sz w:val="32"/>
          <w:szCs w:val="32"/>
        </w:rPr>
        <w:t>中，占用水总量的71.8%。其中农田灌溉用水量12.39亿m³，占农业用水量的95.7%；林牧渔畜用水量0.56亿m³，占农业用水量的4.3%。在农田灌溉用水量中河灌区用水量12.33亿m³，占比99.5%，井灌区用水0.06亿m³，占比0.5%。</w:t>
      </w:r>
    </w:p>
    <w:p>
      <w:pPr>
        <w:widowControl/>
        <w:jc w:val="center"/>
      </w:pPr>
      <w:r>
        <w:drawing>
          <wp:inline distT="0" distB="0" distL="114300" distR="114300">
            <wp:extent cx="5034280" cy="2604770"/>
            <wp:effectExtent l="0" t="0" r="13970" b="5080"/>
            <wp:docPr id="7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5"/>
                    <pic:cNvPicPr>
                      <a:picLocks noChangeAspect="1"/>
                    </pic:cNvPicPr>
                  </pic:nvPicPr>
                  <pic:blipFill>
                    <a:blip r:embed="rId34"/>
                    <a:srcRect l="7433" t="2065" r="1244" b="19649"/>
                    <a:stretch>
                      <a:fillRect/>
                    </a:stretch>
                  </pic:blipFill>
                  <pic:spPr>
                    <a:xfrm>
                      <a:off x="0" y="0"/>
                      <a:ext cx="5034280" cy="2604770"/>
                    </a:xfrm>
                    <a:prstGeom prst="rect">
                      <a:avLst/>
                    </a:prstGeom>
                    <a:noFill/>
                    <a:ln>
                      <a:noFill/>
                    </a:ln>
                  </pic:spPr>
                </pic:pic>
              </a:graphicData>
            </a:graphic>
          </wp:inline>
        </w:drawing>
      </w:r>
    </w:p>
    <w:p>
      <w:pPr>
        <w:pStyle w:val="2"/>
        <w:jc w:val="center"/>
        <w:rPr>
          <w:b/>
          <w:bCs/>
          <w:sz w:val="24"/>
        </w:rPr>
      </w:pPr>
    </w:p>
    <w:p>
      <w:pPr>
        <w:pStyle w:val="2"/>
        <w:jc w:val="center"/>
        <w:rPr>
          <w:b/>
          <w:bCs/>
          <w:sz w:val="24"/>
        </w:rPr>
      </w:pPr>
      <w:r>
        <w:rPr>
          <w:b/>
          <w:bCs/>
          <w:sz w:val="24"/>
        </w:rPr>
        <w:t>图3.3-1 淮南市现状用水构成比例图</w:t>
      </w:r>
    </w:p>
    <w:p>
      <w:pPr>
        <w:pStyle w:val="2"/>
        <w:jc w:val="center"/>
        <w:rPr>
          <w:b/>
          <w:bCs/>
          <w:sz w:val="24"/>
        </w:rPr>
      </w:pPr>
    </w:p>
    <w:p>
      <w:pPr>
        <w:pStyle w:val="2"/>
        <w:jc w:val="center"/>
        <w:rPr>
          <w:b/>
          <w:bCs/>
          <w:sz w:val="24"/>
        </w:rPr>
      </w:pPr>
    </w:p>
    <w:p>
      <w:pPr>
        <w:pStyle w:val="2"/>
        <w:jc w:val="center"/>
        <w:rPr>
          <w:b/>
          <w:bCs/>
          <w:sz w:val="24"/>
        </w:rPr>
      </w:pPr>
    </w:p>
    <w:p>
      <w:pPr>
        <w:pStyle w:val="2"/>
        <w:jc w:val="center"/>
        <w:rPr>
          <w:b/>
          <w:bCs/>
          <w:sz w:val="24"/>
        </w:rPr>
      </w:pPr>
    </w:p>
    <w:p>
      <w:pPr>
        <w:pStyle w:val="2"/>
        <w:jc w:val="center"/>
        <w:rPr>
          <w:b/>
          <w:bCs/>
          <w:sz w:val="24"/>
        </w:rPr>
      </w:pPr>
    </w:p>
    <w:p>
      <w:pPr>
        <w:pStyle w:val="2"/>
        <w:jc w:val="center"/>
        <w:rPr>
          <w:b/>
          <w:bCs/>
          <w:sz w:val="24"/>
        </w:rPr>
      </w:pPr>
    </w:p>
    <w:p>
      <w:pPr>
        <w:pStyle w:val="2"/>
        <w:jc w:val="center"/>
        <w:rPr>
          <w:b/>
          <w:bCs/>
          <w:sz w:val="24"/>
        </w:rPr>
      </w:pPr>
    </w:p>
    <w:p>
      <w:pPr>
        <w:pStyle w:val="2"/>
        <w:jc w:val="center"/>
        <w:rPr>
          <w:b/>
          <w:bCs/>
          <w:sz w:val="24"/>
        </w:rPr>
      </w:pPr>
    </w:p>
    <w:p>
      <w:pPr>
        <w:pStyle w:val="2"/>
        <w:jc w:val="center"/>
        <w:rPr>
          <w:b/>
          <w:bCs/>
          <w:sz w:val="24"/>
        </w:rPr>
      </w:pPr>
    </w:p>
    <w:p>
      <w:pPr>
        <w:pStyle w:val="2"/>
        <w:jc w:val="center"/>
        <w:rPr>
          <w:b/>
          <w:bCs/>
          <w:sz w:val="24"/>
        </w:rPr>
      </w:pPr>
    </w:p>
    <w:p>
      <w:pPr>
        <w:pStyle w:val="2"/>
        <w:jc w:val="center"/>
        <w:rPr>
          <w:rFonts w:hint="default"/>
          <w:b/>
          <w:bCs/>
          <w:sz w:val="24"/>
          <w:lang w:val="en-US" w:eastAsia="zh-CN"/>
        </w:rPr>
        <w:sectPr>
          <w:headerReference r:id="rId6" w:type="default"/>
          <w:footerReference r:id="rId7" w:type="default"/>
          <w:pgSz w:w="11906" w:h="16838"/>
          <w:pgMar w:top="1962" w:right="1474" w:bottom="1848" w:left="1587" w:header="851" w:footer="992" w:gutter="0"/>
          <w:pgNumType w:fmt="numberInDash"/>
          <w:cols w:space="0" w:num="1"/>
          <w:rtlGutter w:val="0"/>
          <w:docGrid w:type="lines" w:linePitch="312" w:charSpace="0"/>
        </w:sectPr>
      </w:pPr>
    </w:p>
    <w:p>
      <w:pPr>
        <w:jc w:val="center"/>
        <w:rPr>
          <w:b/>
          <w:bCs/>
          <w:sz w:val="24"/>
        </w:rPr>
      </w:pPr>
      <w:r>
        <w:rPr>
          <w:b/>
          <w:bCs/>
          <w:sz w:val="24"/>
        </w:rPr>
        <w:t xml:space="preserve"> 表3.3-3 淮南市2015年分区用水量构成表     单位：亿m³</w:t>
      </w:r>
    </w:p>
    <w:tbl>
      <w:tblPr>
        <w:tblStyle w:val="12"/>
        <w:tblW w:w="0" w:type="auto"/>
        <w:jc w:val="center"/>
        <w:tblLayout w:type="fixed"/>
        <w:tblCellMar>
          <w:top w:w="15" w:type="dxa"/>
          <w:left w:w="15" w:type="dxa"/>
          <w:bottom w:w="15" w:type="dxa"/>
          <w:right w:w="15" w:type="dxa"/>
        </w:tblCellMar>
      </w:tblPr>
      <w:tblGrid>
        <w:gridCol w:w="713"/>
        <w:gridCol w:w="717"/>
        <w:gridCol w:w="1001"/>
        <w:gridCol w:w="716"/>
        <w:gridCol w:w="1178"/>
        <w:gridCol w:w="1002"/>
        <w:gridCol w:w="824"/>
        <w:gridCol w:w="1001"/>
        <w:gridCol w:w="1178"/>
        <w:gridCol w:w="876"/>
        <w:gridCol w:w="843"/>
        <w:gridCol w:w="1004"/>
        <w:gridCol w:w="1090"/>
        <w:gridCol w:w="787"/>
        <w:gridCol w:w="716"/>
        <w:gridCol w:w="914"/>
      </w:tblGrid>
      <w:tr>
        <w:tblPrEx>
          <w:tblCellMar>
            <w:top w:w="15" w:type="dxa"/>
            <w:left w:w="15" w:type="dxa"/>
            <w:bottom w:w="15" w:type="dxa"/>
            <w:right w:w="15" w:type="dxa"/>
          </w:tblCellMar>
        </w:tblPrEx>
        <w:trPr>
          <w:trHeight w:val="468" w:hRule="atLeast"/>
          <w:jc w:val="center"/>
        </w:trPr>
        <w:tc>
          <w:tcPr>
            <w:tcW w:w="143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计算分区</w:t>
            </w:r>
          </w:p>
        </w:tc>
        <w:tc>
          <w:tcPr>
            <w:tcW w:w="2895"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生活</w:t>
            </w:r>
          </w:p>
        </w:tc>
        <w:tc>
          <w:tcPr>
            <w:tcW w:w="4005"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工业</w:t>
            </w:r>
          </w:p>
        </w:tc>
        <w:tc>
          <w:tcPr>
            <w:tcW w:w="4600"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农业</w:t>
            </w:r>
          </w:p>
        </w:tc>
        <w:tc>
          <w:tcPr>
            <w:tcW w:w="71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河道外生态</w:t>
            </w:r>
          </w:p>
        </w:tc>
        <w:tc>
          <w:tcPr>
            <w:tcW w:w="91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用水量</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合计</w:t>
            </w:r>
          </w:p>
        </w:tc>
      </w:tr>
      <w:tr>
        <w:tblPrEx>
          <w:tblCellMar>
            <w:top w:w="15" w:type="dxa"/>
            <w:left w:w="15" w:type="dxa"/>
            <w:bottom w:w="15" w:type="dxa"/>
            <w:right w:w="15" w:type="dxa"/>
          </w:tblCellMar>
        </w:tblPrEx>
        <w:trPr>
          <w:trHeight w:val="468" w:hRule="atLeast"/>
          <w:jc w:val="center"/>
        </w:trPr>
        <w:tc>
          <w:tcPr>
            <w:tcW w:w="143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00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城镇</w:t>
            </w:r>
          </w:p>
        </w:tc>
        <w:tc>
          <w:tcPr>
            <w:tcW w:w="71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农村</w:t>
            </w:r>
          </w:p>
        </w:tc>
        <w:tc>
          <w:tcPr>
            <w:tcW w:w="117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小计</w:t>
            </w:r>
          </w:p>
        </w:tc>
        <w:tc>
          <w:tcPr>
            <w:tcW w:w="100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火电</w:t>
            </w:r>
          </w:p>
        </w:tc>
        <w:tc>
          <w:tcPr>
            <w:tcW w:w="82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煤炭</w:t>
            </w:r>
          </w:p>
        </w:tc>
        <w:tc>
          <w:tcPr>
            <w:tcW w:w="100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一般工业</w:t>
            </w:r>
          </w:p>
        </w:tc>
        <w:tc>
          <w:tcPr>
            <w:tcW w:w="117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小计</w:t>
            </w:r>
          </w:p>
        </w:tc>
        <w:tc>
          <w:tcPr>
            <w:tcW w:w="2723"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农田灌溉</w:t>
            </w:r>
          </w:p>
        </w:tc>
        <w:tc>
          <w:tcPr>
            <w:tcW w:w="109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林牧鱼畜</w:t>
            </w:r>
          </w:p>
        </w:tc>
        <w:tc>
          <w:tcPr>
            <w:tcW w:w="78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小计</w:t>
            </w:r>
          </w:p>
        </w:tc>
        <w:tc>
          <w:tcPr>
            <w:tcW w:w="7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r>
      <w:tr>
        <w:tblPrEx>
          <w:tblCellMar>
            <w:top w:w="15" w:type="dxa"/>
            <w:left w:w="15" w:type="dxa"/>
            <w:bottom w:w="15" w:type="dxa"/>
            <w:right w:w="15" w:type="dxa"/>
          </w:tblCellMar>
        </w:tblPrEx>
        <w:trPr>
          <w:trHeight w:val="468" w:hRule="atLeast"/>
          <w:jc w:val="center"/>
        </w:trPr>
        <w:tc>
          <w:tcPr>
            <w:tcW w:w="143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0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7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1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0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82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00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1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87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河灌区</w:t>
            </w:r>
          </w:p>
        </w:tc>
        <w:tc>
          <w:tcPr>
            <w:tcW w:w="8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井灌区</w:t>
            </w:r>
          </w:p>
        </w:tc>
        <w:tc>
          <w:tcPr>
            <w:tcW w:w="10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小计</w:t>
            </w:r>
          </w:p>
        </w:tc>
        <w:tc>
          <w:tcPr>
            <w:tcW w:w="10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78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7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r>
      <w:tr>
        <w:tblPrEx>
          <w:tblCellMar>
            <w:top w:w="15" w:type="dxa"/>
            <w:left w:w="15" w:type="dxa"/>
            <w:bottom w:w="15" w:type="dxa"/>
            <w:right w:w="15" w:type="dxa"/>
          </w:tblCellMar>
        </w:tblPrEx>
        <w:trPr>
          <w:trHeight w:val="884" w:hRule="atLeast"/>
          <w:jc w:val="center"/>
        </w:trPr>
        <w:tc>
          <w:tcPr>
            <w:tcW w:w="71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水资源分区</w:t>
            </w:r>
          </w:p>
        </w:tc>
        <w:tc>
          <w:tcPr>
            <w:tcW w:w="7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王蚌区间北岸</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0.31 </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0.18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0.49 </w:t>
            </w:r>
          </w:p>
        </w:tc>
        <w:tc>
          <w:tcPr>
            <w:tcW w:w="100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1.26 </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0.28 </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0.18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1.73 </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5.30 </w:t>
            </w:r>
          </w:p>
        </w:tc>
        <w:tc>
          <w:tcPr>
            <w:tcW w:w="8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0.04 </w:t>
            </w:r>
          </w:p>
        </w:tc>
        <w:tc>
          <w:tcPr>
            <w:tcW w:w="10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5.34 </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0.17 </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5.51 </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0.10 </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7.83 </w:t>
            </w:r>
          </w:p>
        </w:tc>
      </w:tr>
      <w:tr>
        <w:tblPrEx>
          <w:tblCellMar>
            <w:top w:w="15" w:type="dxa"/>
            <w:left w:w="15" w:type="dxa"/>
            <w:bottom w:w="15" w:type="dxa"/>
            <w:right w:w="15" w:type="dxa"/>
          </w:tblCellMar>
        </w:tblPrEx>
        <w:trPr>
          <w:trHeight w:val="884" w:hRule="atLeast"/>
          <w:jc w:val="center"/>
        </w:trPr>
        <w:tc>
          <w:tcPr>
            <w:tcW w:w="7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7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王蚌区间南岸</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1.21 </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0.23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1.44 </w:t>
            </w:r>
          </w:p>
        </w:tc>
        <w:tc>
          <w:tcPr>
            <w:tcW w:w="100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0.44 </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0.15 </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0.49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1.08 </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7.03 </w:t>
            </w:r>
          </w:p>
        </w:tc>
        <w:tc>
          <w:tcPr>
            <w:tcW w:w="8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0.02 </w:t>
            </w:r>
          </w:p>
        </w:tc>
        <w:tc>
          <w:tcPr>
            <w:tcW w:w="10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7.05 </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0.39 </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7.44 </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0.25 </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10.22 </w:t>
            </w:r>
          </w:p>
        </w:tc>
      </w:tr>
      <w:tr>
        <w:tblPrEx>
          <w:tblCellMar>
            <w:top w:w="15" w:type="dxa"/>
            <w:left w:w="15" w:type="dxa"/>
            <w:bottom w:w="15" w:type="dxa"/>
            <w:right w:w="15" w:type="dxa"/>
          </w:tblCellMar>
        </w:tblPrEx>
        <w:trPr>
          <w:trHeight w:val="468" w:hRule="atLeast"/>
          <w:jc w:val="center"/>
        </w:trPr>
        <w:tc>
          <w:tcPr>
            <w:tcW w:w="7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7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合计</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1.53 </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0.41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1.94 </w:t>
            </w:r>
          </w:p>
        </w:tc>
        <w:tc>
          <w:tcPr>
            <w:tcW w:w="100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1.70 </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0.43 </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0.67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2.81 </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12.34 </w:t>
            </w:r>
          </w:p>
        </w:tc>
        <w:tc>
          <w:tcPr>
            <w:tcW w:w="8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0.06 </w:t>
            </w:r>
          </w:p>
        </w:tc>
        <w:tc>
          <w:tcPr>
            <w:tcW w:w="10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12.39 </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0.56 </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12.95 </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0.35 </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18.05 </w:t>
            </w:r>
          </w:p>
        </w:tc>
      </w:tr>
      <w:tr>
        <w:tblPrEx>
          <w:tblCellMar>
            <w:top w:w="15" w:type="dxa"/>
            <w:left w:w="15" w:type="dxa"/>
            <w:bottom w:w="15" w:type="dxa"/>
            <w:right w:w="15" w:type="dxa"/>
          </w:tblCellMar>
        </w:tblPrEx>
        <w:trPr>
          <w:trHeight w:val="468" w:hRule="atLeast"/>
          <w:jc w:val="center"/>
        </w:trPr>
        <w:tc>
          <w:tcPr>
            <w:tcW w:w="71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行政分区</w:t>
            </w:r>
          </w:p>
        </w:tc>
        <w:tc>
          <w:tcPr>
            <w:tcW w:w="7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淮南市市区</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0.92 </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0.05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0.97 </w:t>
            </w:r>
          </w:p>
        </w:tc>
        <w:tc>
          <w:tcPr>
            <w:tcW w:w="100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0.44 </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0.15 </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0.28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0.86 </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0.54 </w:t>
            </w:r>
          </w:p>
        </w:tc>
        <w:tc>
          <w:tcPr>
            <w:tcW w:w="8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0.02 </w:t>
            </w:r>
          </w:p>
        </w:tc>
        <w:tc>
          <w:tcPr>
            <w:tcW w:w="10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0.56 </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0.12 </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0.68 </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0.21 </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2.72 </w:t>
            </w:r>
          </w:p>
        </w:tc>
      </w:tr>
      <w:tr>
        <w:tblPrEx>
          <w:tblCellMar>
            <w:top w:w="15" w:type="dxa"/>
            <w:left w:w="15" w:type="dxa"/>
            <w:bottom w:w="15" w:type="dxa"/>
            <w:right w:w="15" w:type="dxa"/>
          </w:tblCellMar>
        </w:tblPrEx>
        <w:trPr>
          <w:trHeight w:val="468" w:hRule="atLeast"/>
          <w:jc w:val="center"/>
        </w:trPr>
        <w:tc>
          <w:tcPr>
            <w:tcW w:w="7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7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潘集区</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0.11 </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0.07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0.18 </w:t>
            </w:r>
          </w:p>
        </w:tc>
        <w:tc>
          <w:tcPr>
            <w:tcW w:w="100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0.49 </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0.10 </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0.18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0.77 </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1.81 </w:t>
            </w:r>
          </w:p>
        </w:tc>
        <w:tc>
          <w:tcPr>
            <w:tcW w:w="8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0.02 </w:t>
            </w:r>
          </w:p>
        </w:tc>
        <w:tc>
          <w:tcPr>
            <w:tcW w:w="10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1.82 </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0.06 </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1.88 </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0.05 </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2.88 </w:t>
            </w:r>
          </w:p>
        </w:tc>
      </w:tr>
      <w:tr>
        <w:tblPrEx>
          <w:tblCellMar>
            <w:top w:w="15" w:type="dxa"/>
            <w:left w:w="15" w:type="dxa"/>
            <w:bottom w:w="15" w:type="dxa"/>
            <w:right w:w="15" w:type="dxa"/>
          </w:tblCellMar>
        </w:tblPrEx>
        <w:trPr>
          <w:trHeight w:val="884" w:hRule="atLeast"/>
          <w:jc w:val="center"/>
        </w:trPr>
        <w:tc>
          <w:tcPr>
            <w:tcW w:w="7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7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凤台县、毛集区</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0.20 </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0.12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0.31 </w:t>
            </w:r>
          </w:p>
        </w:tc>
        <w:tc>
          <w:tcPr>
            <w:tcW w:w="100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0.78 </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0.18 </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0.03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0.99 </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3.50 </w:t>
            </w:r>
          </w:p>
        </w:tc>
        <w:tc>
          <w:tcPr>
            <w:tcW w:w="8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0.02 </w:t>
            </w:r>
          </w:p>
        </w:tc>
        <w:tc>
          <w:tcPr>
            <w:tcW w:w="10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3.52 </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0.12 </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3.64 </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0.05 </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4.99 </w:t>
            </w:r>
          </w:p>
        </w:tc>
      </w:tr>
      <w:tr>
        <w:tblPrEx>
          <w:tblCellMar>
            <w:top w:w="15" w:type="dxa"/>
            <w:left w:w="15" w:type="dxa"/>
            <w:bottom w:w="15" w:type="dxa"/>
            <w:right w:w="15" w:type="dxa"/>
          </w:tblCellMar>
        </w:tblPrEx>
        <w:trPr>
          <w:trHeight w:val="468" w:hRule="atLeast"/>
          <w:jc w:val="center"/>
        </w:trPr>
        <w:tc>
          <w:tcPr>
            <w:tcW w:w="7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7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0.30 </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0.18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0.47 </w:t>
            </w:r>
          </w:p>
        </w:tc>
        <w:tc>
          <w:tcPr>
            <w:tcW w:w="100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0.01 </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0.00 </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0.18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0.19 </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6.49 </w:t>
            </w:r>
          </w:p>
        </w:tc>
        <w:tc>
          <w:tcPr>
            <w:tcW w:w="8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0.00 </w:t>
            </w:r>
          </w:p>
        </w:tc>
        <w:tc>
          <w:tcPr>
            <w:tcW w:w="10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6.49 </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0.27 </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6.76 </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0.04 </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7.46 </w:t>
            </w:r>
          </w:p>
        </w:tc>
      </w:tr>
      <w:tr>
        <w:tblPrEx>
          <w:tblCellMar>
            <w:top w:w="15" w:type="dxa"/>
            <w:left w:w="15" w:type="dxa"/>
            <w:bottom w:w="15" w:type="dxa"/>
            <w:right w:w="15" w:type="dxa"/>
          </w:tblCellMar>
        </w:tblPrEx>
        <w:trPr>
          <w:trHeight w:val="481" w:hRule="atLeast"/>
          <w:jc w:val="center"/>
        </w:trPr>
        <w:tc>
          <w:tcPr>
            <w:tcW w:w="7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7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合  计</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1.53 </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0.41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1.94 </w:t>
            </w:r>
          </w:p>
        </w:tc>
        <w:tc>
          <w:tcPr>
            <w:tcW w:w="100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1.70 </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0.43 </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0.67 </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2.81 </w:t>
            </w:r>
          </w:p>
        </w:tc>
        <w:tc>
          <w:tcPr>
            <w:tcW w:w="87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12.34 </w:t>
            </w:r>
          </w:p>
        </w:tc>
        <w:tc>
          <w:tcPr>
            <w:tcW w:w="8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0.06 </w:t>
            </w:r>
          </w:p>
        </w:tc>
        <w:tc>
          <w:tcPr>
            <w:tcW w:w="10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12.39 </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0.56 </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12.95 </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0.35 </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 xml:space="preserve">18.05 </w:t>
            </w:r>
          </w:p>
        </w:tc>
      </w:tr>
    </w:tbl>
    <w:p>
      <w:pPr>
        <w:pStyle w:val="2"/>
        <w:jc w:val="center"/>
        <w:rPr>
          <w:rFonts w:hint="default"/>
          <w:b/>
          <w:bCs/>
          <w:sz w:val="24"/>
          <w:lang w:val="en-US" w:eastAsia="zh-CN"/>
        </w:rPr>
        <w:sectPr>
          <w:headerReference r:id="rId8" w:type="default"/>
          <w:footerReference r:id="rId9" w:type="default"/>
          <w:pgSz w:w="16838" w:h="11906" w:orient="landscape"/>
          <w:pgMar w:top="1587" w:right="1962" w:bottom="1474" w:left="1848" w:header="851" w:footer="992" w:gutter="0"/>
          <w:pgNumType w:fmt="numberInDash"/>
          <w:cols w:space="0" w:num="1"/>
          <w:rtlGutter w:val="0"/>
          <w:docGrid w:type="lines" w:linePitch="312" w:charSpace="0"/>
        </w:sectPr>
      </w:pPr>
    </w:p>
    <w:p>
      <w:pPr>
        <w:keepNext w:val="0"/>
        <w:keepLines w:val="0"/>
        <w:pageBreakBefore w:val="0"/>
        <w:kinsoku/>
        <w:wordWrap/>
        <w:overflowPunct/>
        <w:topLinePunct w:val="0"/>
        <w:autoSpaceDE/>
        <w:autoSpaceDN/>
        <w:bidi w:val="0"/>
        <w:adjustRightInd w:val="0"/>
        <w:snapToGrid w:val="0"/>
        <w:spacing w:line="590" w:lineRule="exact"/>
        <w:jc w:val="left"/>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（2）近年来用水量变化趋势</w:t>
      </w:r>
    </w:p>
    <w:p>
      <w:pPr>
        <w:keepNext w:val="0"/>
        <w:keepLines w:val="0"/>
        <w:pageBreakBefore w:val="0"/>
        <w:widowControl/>
        <w:kinsoku/>
        <w:wordWrap/>
        <w:overflowPunct/>
        <w:topLinePunct w:val="0"/>
        <w:autoSpaceDE/>
        <w:autoSpaceDN/>
        <w:bidi w:val="0"/>
        <w:spacing w:line="590" w:lineRule="exact"/>
        <w:ind w:firstLine="640" w:firstLineChars="200"/>
        <w:jc w:val="left"/>
        <w:textAlignment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淮南市总用水量年际变化较大，2010～2015年逐年减少，至2015年总用水量为18.05亿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，比2010年用水总量22.94亿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最少4.89亿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，年减少率为3.8%。期中农田灌溉、林牧渔畜用水变化不大，一般工业用水下降较快，火电用水基本不变。</w:t>
      </w:r>
    </w:p>
    <w:p>
      <w:pPr>
        <w:adjustRightInd w:val="0"/>
        <w:snapToGrid w:val="0"/>
        <w:ind w:firstLine="482" w:firstLineChars="200"/>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表3.3-4   2010-2015年淮南市用水量统计表  单位：亿m³</w:t>
      </w:r>
    </w:p>
    <w:tbl>
      <w:tblPr>
        <w:tblStyle w:val="12"/>
        <w:tblW w:w="0" w:type="auto"/>
        <w:jc w:val="center"/>
        <w:tblLayout w:type="fixed"/>
        <w:tblCellMar>
          <w:top w:w="15" w:type="dxa"/>
          <w:left w:w="15" w:type="dxa"/>
          <w:bottom w:w="15" w:type="dxa"/>
          <w:right w:w="15" w:type="dxa"/>
        </w:tblCellMar>
      </w:tblPr>
      <w:tblGrid>
        <w:gridCol w:w="931"/>
        <w:gridCol w:w="886"/>
        <w:gridCol w:w="1020"/>
        <w:gridCol w:w="1107"/>
        <w:gridCol w:w="932"/>
        <w:gridCol w:w="931"/>
        <w:gridCol w:w="931"/>
        <w:gridCol w:w="931"/>
        <w:gridCol w:w="931"/>
      </w:tblGrid>
      <w:tr>
        <w:tblPrEx>
          <w:tblCellMar>
            <w:top w:w="15" w:type="dxa"/>
            <w:left w:w="15" w:type="dxa"/>
            <w:bottom w:w="15" w:type="dxa"/>
            <w:right w:w="15" w:type="dxa"/>
          </w:tblCellMar>
        </w:tblPrEx>
        <w:trPr>
          <w:trHeight w:val="833" w:hRule="atLeast"/>
          <w:jc w:val="center"/>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年份</w:t>
            </w:r>
          </w:p>
        </w:tc>
        <w:tc>
          <w:tcPr>
            <w:tcW w:w="886" w:type="dxa"/>
            <w:tcBorders>
              <w:top w:val="single" w:color="000000" w:sz="4" w:space="0"/>
              <w:left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农田</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灌溉</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林牧</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渔畜</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一般工业（含煤炭）</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火电</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城镇</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生活</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农村</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生活</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生态</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环境</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总用</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水量</w:t>
            </w:r>
          </w:p>
        </w:tc>
      </w:tr>
      <w:tr>
        <w:tblPrEx>
          <w:tblCellMar>
            <w:top w:w="15" w:type="dxa"/>
            <w:left w:w="15" w:type="dxa"/>
            <w:bottom w:w="15" w:type="dxa"/>
            <w:right w:w="15" w:type="dxa"/>
          </w:tblCellMar>
        </w:tblPrEx>
        <w:trPr>
          <w:trHeight w:val="412" w:hRule="atLeast"/>
          <w:jc w:val="center"/>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2010</w:t>
            </w:r>
          </w:p>
        </w:tc>
        <w:tc>
          <w:tcPr>
            <w:tcW w:w="8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11.01</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0.82</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6.70</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2.46</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1.11</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0.69</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0.15</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22.94</w:t>
            </w:r>
          </w:p>
        </w:tc>
      </w:tr>
      <w:tr>
        <w:tblPrEx>
          <w:tblCellMar>
            <w:top w:w="15" w:type="dxa"/>
            <w:left w:w="15" w:type="dxa"/>
            <w:bottom w:w="15" w:type="dxa"/>
            <w:right w:w="15" w:type="dxa"/>
          </w:tblCellMar>
        </w:tblPrEx>
        <w:trPr>
          <w:trHeight w:val="412" w:hRule="atLeast"/>
          <w:jc w:val="center"/>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2011</w:t>
            </w:r>
          </w:p>
        </w:tc>
        <w:tc>
          <w:tcPr>
            <w:tcW w:w="8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13.24</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0.47</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4.30</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1.76</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1.52</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1.09</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0.16</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22.54</w:t>
            </w:r>
          </w:p>
        </w:tc>
      </w:tr>
      <w:tr>
        <w:tblPrEx>
          <w:tblCellMar>
            <w:top w:w="15" w:type="dxa"/>
            <w:left w:w="15" w:type="dxa"/>
            <w:bottom w:w="15" w:type="dxa"/>
            <w:right w:w="15" w:type="dxa"/>
          </w:tblCellMar>
        </w:tblPrEx>
        <w:trPr>
          <w:trHeight w:val="412" w:hRule="atLeast"/>
          <w:jc w:val="center"/>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2012</w:t>
            </w:r>
          </w:p>
        </w:tc>
        <w:tc>
          <w:tcPr>
            <w:tcW w:w="8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13.12</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0.67</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2.85</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1.87</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1.29</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0.75</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0.47</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21.02</w:t>
            </w:r>
          </w:p>
        </w:tc>
      </w:tr>
      <w:tr>
        <w:tblPrEx>
          <w:tblCellMar>
            <w:top w:w="15" w:type="dxa"/>
            <w:left w:w="15" w:type="dxa"/>
            <w:bottom w:w="15" w:type="dxa"/>
            <w:right w:w="15" w:type="dxa"/>
          </w:tblCellMar>
        </w:tblPrEx>
        <w:trPr>
          <w:trHeight w:val="412" w:hRule="atLeast"/>
          <w:jc w:val="center"/>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2013</w:t>
            </w:r>
          </w:p>
        </w:tc>
        <w:tc>
          <w:tcPr>
            <w:tcW w:w="8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12.90</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0.5</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2.82</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1.64</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1.28</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0.73</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0.21</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20.08</w:t>
            </w:r>
          </w:p>
        </w:tc>
      </w:tr>
      <w:tr>
        <w:tblPrEx>
          <w:tblCellMar>
            <w:top w:w="15" w:type="dxa"/>
            <w:left w:w="15" w:type="dxa"/>
            <w:bottom w:w="15" w:type="dxa"/>
            <w:right w:w="15" w:type="dxa"/>
          </w:tblCellMar>
        </w:tblPrEx>
        <w:trPr>
          <w:trHeight w:val="412" w:hRule="atLeast"/>
          <w:jc w:val="center"/>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2014</w:t>
            </w:r>
          </w:p>
        </w:tc>
        <w:tc>
          <w:tcPr>
            <w:tcW w:w="8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12.50</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0.41</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1.55</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1.68</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1.23</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0.85</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0.69</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18.91</w:t>
            </w:r>
          </w:p>
        </w:tc>
      </w:tr>
      <w:tr>
        <w:tblPrEx>
          <w:tblCellMar>
            <w:top w:w="15" w:type="dxa"/>
            <w:left w:w="15" w:type="dxa"/>
            <w:bottom w:w="15" w:type="dxa"/>
            <w:right w:w="15" w:type="dxa"/>
          </w:tblCellMar>
        </w:tblPrEx>
        <w:trPr>
          <w:trHeight w:val="448" w:hRule="atLeast"/>
          <w:jc w:val="center"/>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2015</w:t>
            </w:r>
          </w:p>
        </w:tc>
        <w:tc>
          <w:tcPr>
            <w:tcW w:w="88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12.39</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0.56</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1.10</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1.70</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1.53</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0.41</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0.35</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ottom"/>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18.05</w:t>
            </w:r>
          </w:p>
        </w:tc>
      </w:tr>
    </w:tbl>
    <w:p>
      <w:pPr>
        <w:pStyle w:val="5"/>
        <w:keepNext w:val="0"/>
        <w:keepLines w:val="0"/>
        <w:pageBreakBefore w:val="0"/>
        <w:widowControl w:val="0"/>
        <w:kinsoku/>
        <w:wordWrap/>
        <w:overflowPunct/>
        <w:autoSpaceDE/>
        <w:autoSpaceDN/>
        <w:bidi w:val="0"/>
        <w:spacing w:line="590" w:lineRule="exact"/>
        <w:ind w:firstLine="562"/>
        <w:rPr>
          <w:rFonts w:hint="eastAsia" w:ascii="方正楷体_GBK" w:hAnsi="方正楷体_GBK" w:eastAsia="方正楷体_GBK" w:cs="方正楷体_GBK"/>
          <w:b w:val="0"/>
          <w:bCs/>
          <w:sz w:val="32"/>
          <w:szCs w:val="32"/>
        </w:rPr>
      </w:pPr>
      <w:bookmarkStart w:id="112" w:name="_Toc312309846"/>
      <w:bookmarkStart w:id="113" w:name="_Toc16187"/>
      <w:r>
        <w:rPr>
          <w:rFonts w:hint="eastAsia" w:ascii="方正楷体_GBK" w:hAnsi="方正楷体_GBK" w:eastAsia="方正楷体_GBK" w:cs="方正楷体_GBK"/>
          <w:b w:val="0"/>
          <w:bCs/>
          <w:sz w:val="32"/>
          <w:szCs w:val="32"/>
        </w:rPr>
        <w:t>三、耗水量</w:t>
      </w:r>
      <w:bookmarkEnd w:id="112"/>
      <w:bookmarkEnd w:id="113"/>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（1）耗水总量</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2015年全市耗水总量为8.59亿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，耗水率为47.6%；其中，农田灌溉耗水6.85亿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，耗水率55.3%；林牧渔畜耗水量为0.20亿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，耗水率为36.5%；工业耗水量0.73亿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，耗水率26.1%；生活耗水量0.49亿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，耗水率25.5%；生态环境耗水量0.32亿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，耗水率为92.3%。2015年淮南市耗水量计算见表3.3-5。</w:t>
      </w:r>
    </w:p>
    <w:p>
      <w:pPr>
        <w:adjustRightInd w:val="0"/>
        <w:snapToGrid w:val="0"/>
        <w:spacing w:line="520" w:lineRule="exact"/>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表3.3-5淮南市耗水量表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90"/>
        <w:gridCol w:w="1346"/>
        <w:gridCol w:w="1166"/>
        <w:gridCol w:w="1089"/>
        <w:gridCol w:w="1090"/>
        <w:gridCol w:w="1089"/>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9" w:hRule="atLeast"/>
          <w:jc w:val="center"/>
        </w:trPr>
        <w:tc>
          <w:tcPr>
            <w:tcW w:w="1090"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分类</w:t>
            </w:r>
          </w:p>
        </w:tc>
        <w:tc>
          <w:tcPr>
            <w:tcW w:w="1346"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农田灌溉</w:t>
            </w:r>
          </w:p>
        </w:tc>
        <w:tc>
          <w:tcPr>
            <w:tcW w:w="1166"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林牧渔畜</w:t>
            </w:r>
          </w:p>
        </w:tc>
        <w:tc>
          <w:tcPr>
            <w:tcW w:w="1089"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工业</w:t>
            </w:r>
          </w:p>
        </w:tc>
        <w:tc>
          <w:tcPr>
            <w:tcW w:w="1090"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生活</w:t>
            </w:r>
          </w:p>
        </w:tc>
        <w:tc>
          <w:tcPr>
            <w:tcW w:w="1089"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生态环境</w:t>
            </w:r>
          </w:p>
        </w:tc>
        <w:tc>
          <w:tcPr>
            <w:tcW w:w="1090"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4" w:hRule="atLeast"/>
          <w:jc w:val="center"/>
        </w:trPr>
        <w:tc>
          <w:tcPr>
            <w:tcW w:w="1090" w:type="dxa"/>
            <w:noWrap w:val="0"/>
            <w:vAlign w:val="center"/>
          </w:tcPr>
          <w:p>
            <w:pPr>
              <w:widowControl/>
              <w:jc w:val="center"/>
              <w:textAlignment w:val="center"/>
              <w:rPr>
                <w:rFonts w:hint="default" w:ascii="Times New Roman" w:hAnsi="Times New Roman" w:eastAsia="方正仿宋_GBK" w:cs="Times New Roman"/>
                <w:kern w:val="0"/>
                <w:sz w:val="22"/>
                <w:szCs w:val="22"/>
                <w:lang w:bidi="ar"/>
              </w:rPr>
            </w:pPr>
            <w:r>
              <w:rPr>
                <w:rFonts w:hint="default" w:ascii="Times New Roman" w:hAnsi="Times New Roman" w:eastAsia="方正仿宋_GBK" w:cs="Times New Roman"/>
                <w:kern w:val="0"/>
                <w:sz w:val="22"/>
                <w:szCs w:val="22"/>
                <w:lang w:bidi="ar"/>
              </w:rPr>
              <w:t>耗水量</w:t>
            </w:r>
          </w:p>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(亿</w:t>
            </w:r>
            <w:r>
              <w:rPr>
                <w:rFonts w:hint="default" w:ascii="Times New Roman" w:hAnsi="Times New Roman" w:eastAsia="方正仿宋_GBK" w:cs="Times New Roman"/>
                <w:kern w:val="0"/>
                <w:sz w:val="22"/>
                <w:szCs w:val="22"/>
                <w:lang w:eastAsia="zh-CN" w:bidi="ar"/>
              </w:rPr>
              <w:t>m³</w:t>
            </w:r>
            <w:r>
              <w:rPr>
                <w:rFonts w:hint="default" w:ascii="Times New Roman" w:hAnsi="Times New Roman" w:eastAsia="方正仿宋_GBK" w:cs="Times New Roman"/>
                <w:kern w:val="0"/>
                <w:sz w:val="22"/>
                <w:szCs w:val="22"/>
                <w:lang w:bidi="ar"/>
              </w:rPr>
              <w:t>)</w:t>
            </w:r>
          </w:p>
        </w:tc>
        <w:tc>
          <w:tcPr>
            <w:tcW w:w="1346"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 xml:space="preserve">6.85 </w:t>
            </w:r>
          </w:p>
        </w:tc>
        <w:tc>
          <w:tcPr>
            <w:tcW w:w="1166"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 xml:space="preserve">0.20 </w:t>
            </w:r>
          </w:p>
        </w:tc>
        <w:tc>
          <w:tcPr>
            <w:tcW w:w="1089"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0.73</w:t>
            </w:r>
          </w:p>
        </w:tc>
        <w:tc>
          <w:tcPr>
            <w:tcW w:w="1090"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0.49</w:t>
            </w:r>
          </w:p>
        </w:tc>
        <w:tc>
          <w:tcPr>
            <w:tcW w:w="1089"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 xml:space="preserve">0.32 </w:t>
            </w:r>
          </w:p>
        </w:tc>
        <w:tc>
          <w:tcPr>
            <w:tcW w:w="1090"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 xml:space="preserve">8.59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4" w:hRule="atLeast"/>
          <w:jc w:val="center"/>
        </w:trPr>
        <w:tc>
          <w:tcPr>
            <w:tcW w:w="1090" w:type="dxa"/>
            <w:noWrap w:val="0"/>
            <w:vAlign w:val="center"/>
          </w:tcPr>
          <w:p>
            <w:pPr>
              <w:widowControl/>
              <w:jc w:val="center"/>
              <w:textAlignment w:val="center"/>
              <w:rPr>
                <w:rFonts w:hint="default" w:ascii="Times New Roman" w:hAnsi="Times New Roman" w:eastAsia="方正仿宋_GBK" w:cs="Times New Roman"/>
                <w:kern w:val="0"/>
                <w:sz w:val="22"/>
                <w:szCs w:val="22"/>
                <w:lang w:bidi="ar"/>
              </w:rPr>
            </w:pPr>
            <w:r>
              <w:rPr>
                <w:rFonts w:hint="default" w:ascii="Times New Roman" w:hAnsi="Times New Roman" w:eastAsia="方正仿宋_GBK" w:cs="Times New Roman"/>
                <w:kern w:val="0"/>
                <w:sz w:val="22"/>
                <w:szCs w:val="22"/>
                <w:lang w:bidi="ar"/>
              </w:rPr>
              <w:t>用水量</w:t>
            </w:r>
          </w:p>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(亿</w:t>
            </w:r>
            <w:r>
              <w:rPr>
                <w:rFonts w:hint="default" w:ascii="Times New Roman" w:hAnsi="Times New Roman" w:eastAsia="方正仿宋_GBK" w:cs="Times New Roman"/>
                <w:kern w:val="0"/>
                <w:sz w:val="22"/>
                <w:szCs w:val="22"/>
                <w:lang w:eastAsia="zh-CN" w:bidi="ar"/>
              </w:rPr>
              <w:t>m³</w:t>
            </w:r>
            <w:r>
              <w:rPr>
                <w:rFonts w:hint="default" w:ascii="Times New Roman" w:hAnsi="Times New Roman" w:eastAsia="方正仿宋_GBK" w:cs="Times New Roman"/>
                <w:kern w:val="0"/>
                <w:sz w:val="22"/>
                <w:szCs w:val="22"/>
                <w:lang w:bidi="ar"/>
              </w:rPr>
              <w:t>)</w:t>
            </w:r>
          </w:p>
        </w:tc>
        <w:tc>
          <w:tcPr>
            <w:tcW w:w="1346"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 xml:space="preserve">12.39 </w:t>
            </w:r>
          </w:p>
        </w:tc>
        <w:tc>
          <w:tcPr>
            <w:tcW w:w="1166"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 xml:space="preserve">0.56 </w:t>
            </w:r>
          </w:p>
        </w:tc>
        <w:tc>
          <w:tcPr>
            <w:tcW w:w="1089"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 xml:space="preserve">2.81 </w:t>
            </w:r>
          </w:p>
        </w:tc>
        <w:tc>
          <w:tcPr>
            <w:tcW w:w="1090"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 xml:space="preserve">1.94 </w:t>
            </w:r>
          </w:p>
        </w:tc>
        <w:tc>
          <w:tcPr>
            <w:tcW w:w="1089"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 xml:space="preserve">0.35 </w:t>
            </w:r>
          </w:p>
        </w:tc>
        <w:tc>
          <w:tcPr>
            <w:tcW w:w="1090"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 xml:space="preserve">18.05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0" w:hRule="atLeast"/>
          <w:jc w:val="center"/>
        </w:trPr>
        <w:tc>
          <w:tcPr>
            <w:tcW w:w="1090"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耗水率(%)</w:t>
            </w:r>
          </w:p>
        </w:tc>
        <w:tc>
          <w:tcPr>
            <w:tcW w:w="1346"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 xml:space="preserve">55.3 </w:t>
            </w:r>
          </w:p>
        </w:tc>
        <w:tc>
          <w:tcPr>
            <w:tcW w:w="1166"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36.5</w:t>
            </w:r>
          </w:p>
        </w:tc>
        <w:tc>
          <w:tcPr>
            <w:tcW w:w="1089"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 xml:space="preserve">26.1 </w:t>
            </w:r>
          </w:p>
        </w:tc>
        <w:tc>
          <w:tcPr>
            <w:tcW w:w="1090"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 xml:space="preserve">25.5 </w:t>
            </w:r>
          </w:p>
        </w:tc>
        <w:tc>
          <w:tcPr>
            <w:tcW w:w="1089"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 xml:space="preserve">92.3 </w:t>
            </w:r>
          </w:p>
        </w:tc>
        <w:tc>
          <w:tcPr>
            <w:tcW w:w="1090" w:type="dxa"/>
            <w:noWrap w:val="0"/>
            <w:vAlign w:val="center"/>
          </w:tcPr>
          <w:p>
            <w:pPr>
              <w:widowControl/>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kern w:val="0"/>
                <w:sz w:val="22"/>
                <w:szCs w:val="22"/>
                <w:lang w:bidi="ar"/>
              </w:rPr>
              <w:t xml:space="preserve">47.6 </w:t>
            </w:r>
          </w:p>
        </w:tc>
      </w:tr>
    </w:tbl>
    <w:p>
      <w:pPr>
        <w:keepNext w:val="0"/>
        <w:keepLines w:val="0"/>
        <w:pageBreakBefore w:val="0"/>
        <w:widowControl/>
        <w:kinsoku/>
        <w:wordWrap/>
        <w:overflowPunct/>
        <w:topLinePunct w:val="0"/>
        <w:autoSpaceDE/>
        <w:autoSpaceDN/>
        <w:bidi w:val="0"/>
        <w:spacing w:line="590" w:lineRule="exact"/>
        <w:jc w:val="center"/>
        <w:textAlignment w:val="auto"/>
        <w:rPr>
          <w:rFonts w:hint="default" w:ascii="Times New Roman" w:hAnsi="Times New Roman" w:cs="Times New Roman"/>
        </w:rPr>
      </w:pPr>
    </w:p>
    <w:p>
      <w:pPr>
        <w:keepNext w:val="0"/>
        <w:keepLines w:val="0"/>
        <w:pageBreakBefore w:val="0"/>
        <w:kinsoku/>
        <w:wordWrap/>
        <w:overflowPunct/>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（2）农业耗水量</w:t>
      </w:r>
    </w:p>
    <w:p>
      <w:pPr>
        <w:keepNext w:val="0"/>
        <w:keepLines w:val="0"/>
        <w:pageBreakBefore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2015年全市农田灌溉耗水量6.85亿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，占农业耗水总量97.3%，农田灌溉平均耗水率为55.3%；林牧渔畜耗水量0.20亿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，占农业耗水总量2.7%，全市林牧渔畜平均耗水为36.5%。</w:t>
      </w:r>
    </w:p>
    <w:p>
      <w:pPr>
        <w:keepNext w:val="0"/>
        <w:keepLines w:val="0"/>
        <w:pageBreakBefore w:val="0"/>
        <w:kinsoku/>
        <w:wordWrap/>
        <w:overflowPunct/>
        <w:topLinePunct w:val="0"/>
        <w:autoSpaceDE/>
        <w:autoSpaceDN/>
        <w:bidi w:val="0"/>
        <w:adjustRightInd w:val="0"/>
        <w:snapToGrid w:val="0"/>
        <w:spacing w:line="590" w:lineRule="exact"/>
        <w:ind w:firstLine="643" w:firstLineChars="200"/>
        <w:textAlignment w:val="auto"/>
        <w:rPr>
          <w:rFonts w:hint="eastAsia" w:ascii="方正仿宋_GBK" w:hAnsi="方正仿宋_GBK" w:eastAsia="方正仿宋_GBK" w:cs="方正仿宋_GBK"/>
          <w:b/>
          <w:bCs w:val="0"/>
          <w:sz w:val="32"/>
          <w:szCs w:val="32"/>
        </w:rPr>
      </w:pPr>
      <w:r>
        <w:rPr>
          <w:rFonts w:hint="default" w:ascii="Times New Roman" w:hAnsi="Times New Roman" w:eastAsia="方正仿宋_GBK" w:cs="Times New Roman"/>
          <w:b/>
          <w:bCs w:val="0"/>
          <w:sz w:val="32"/>
          <w:szCs w:val="32"/>
        </w:rPr>
        <w:t>（3）</w:t>
      </w:r>
      <w:r>
        <w:rPr>
          <w:rFonts w:hint="eastAsia" w:ascii="方正仿宋_GBK" w:hAnsi="方正仿宋_GBK" w:eastAsia="方正仿宋_GBK" w:cs="方正仿宋_GBK"/>
          <w:b/>
          <w:bCs w:val="0"/>
          <w:sz w:val="32"/>
          <w:szCs w:val="32"/>
        </w:rPr>
        <w:t>工业耗水量</w:t>
      </w:r>
    </w:p>
    <w:p>
      <w:pPr>
        <w:keepNext w:val="0"/>
        <w:keepLines w:val="0"/>
        <w:pageBreakBefore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2015年全市工业耗水总量为0.73亿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，占耗水总量的8.5%，耗水率为26.1%。</w:t>
      </w:r>
    </w:p>
    <w:p>
      <w:pPr>
        <w:keepNext w:val="0"/>
        <w:keepLines w:val="0"/>
        <w:pageBreakBefore w:val="0"/>
        <w:kinsoku/>
        <w:wordWrap/>
        <w:overflowPunct/>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（4）生活耗水量</w:t>
      </w:r>
    </w:p>
    <w:p>
      <w:pPr>
        <w:keepNext w:val="0"/>
        <w:keepLines w:val="0"/>
        <w:pageBreakBefore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2015年全市生活耗水总量为0.49亿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，占耗水总量的5.7%，耗水率为25.5%。</w:t>
      </w:r>
    </w:p>
    <w:p>
      <w:pPr>
        <w:keepNext w:val="0"/>
        <w:keepLines w:val="0"/>
        <w:pageBreakBefore w:val="0"/>
        <w:kinsoku/>
        <w:wordWrap/>
        <w:overflowPunct/>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（5）生态环境耗水量</w:t>
      </w:r>
    </w:p>
    <w:p>
      <w:pPr>
        <w:keepNext w:val="0"/>
        <w:keepLines w:val="0"/>
        <w:pageBreakBefore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2015年淮南市生态环境耗水量0.32亿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，占耗水总量的3.7%，耗水率为92.3%。</w:t>
      </w:r>
    </w:p>
    <w:p>
      <w:pPr>
        <w:keepNext w:val="0"/>
        <w:keepLines w:val="0"/>
        <w:pageBreakBefore w:val="0"/>
        <w:kinsoku/>
        <w:wordWrap/>
        <w:overflowPunct/>
        <w:topLinePunct w:val="0"/>
        <w:autoSpaceDE/>
        <w:autoSpaceDN/>
        <w:bidi w:val="0"/>
        <w:adjustRightInd w:val="0"/>
        <w:snapToGrid w:val="0"/>
        <w:spacing w:line="590" w:lineRule="exact"/>
        <w:ind w:firstLine="640" w:firstLineChars="200"/>
        <w:textAlignment w:val="auto"/>
        <w:rPr>
          <w:rFonts w:hint="eastAsia" w:ascii="方正楷体_GBK" w:hAnsi="方正楷体_GBK" w:eastAsia="方正楷体_GBK" w:cs="方正楷体_GBK"/>
          <w:b w:val="0"/>
          <w:bCs/>
          <w:sz w:val="32"/>
          <w:szCs w:val="32"/>
        </w:rPr>
      </w:pPr>
      <w:bookmarkStart w:id="114" w:name="_Toc8910"/>
      <w:bookmarkStart w:id="115" w:name="_Toc312309847"/>
      <w:r>
        <w:rPr>
          <w:rFonts w:hint="eastAsia" w:ascii="方正楷体_GBK" w:hAnsi="方正楷体_GBK" w:eastAsia="方正楷体_GBK" w:cs="方正楷体_GBK"/>
          <w:b w:val="0"/>
          <w:bCs/>
          <w:sz w:val="32"/>
          <w:szCs w:val="32"/>
        </w:rPr>
        <w:t>四、开发利用水平及效率</w:t>
      </w:r>
      <w:bookmarkEnd w:id="114"/>
      <w:bookmarkEnd w:id="115"/>
    </w:p>
    <w:p>
      <w:pPr>
        <w:keepNext w:val="0"/>
        <w:keepLines w:val="0"/>
        <w:pageBreakBefore w:val="0"/>
        <w:kinsoku/>
        <w:wordWrap/>
        <w:overflowPunct/>
        <w:topLinePunct w:val="0"/>
        <w:autoSpaceDE/>
        <w:autoSpaceDN/>
        <w:bidi w:val="0"/>
        <w:adjustRightInd w:val="0"/>
        <w:snapToGrid w:val="0"/>
        <w:spacing w:line="590" w:lineRule="exact"/>
        <w:ind w:firstLine="643" w:firstLineChars="200"/>
        <w:textAlignment w:val="auto"/>
        <w:rPr>
          <w:rFonts w:hint="default" w:ascii="Times New Roman" w:hAnsi="Times New Roman" w:eastAsia="方正楷体_GBK" w:cs="Times New Roman"/>
          <w:b w:val="0"/>
          <w:bCs/>
          <w:sz w:val="32"/>
          <w:szCs w:val="32"/>
        </w:rPr>
      </w:pPr>
      <w:r>
        <w:rPr>
          <w:rFonts w:hint="default" w:ascii="Times New Roman" w:hAnsi="Times New Roman" w:eastAsia="方正仿宋_GBK" w:cs="Times New Roman"/>
          <w:b/>
          <w:bCs w:val="0"/>
          <w:sz w:val="32"/>
          <w:szCs w:val="32"/>
        </w:rPr>
        <w:t>（1）水资源总体开发利用水平</w:t>
      </w:r>
    </w:p>
    <w:p>
      <w:pPr>
        <w:keepNext w:val="0"/>
        <w:keepLines w:val="0"/>
        <w:pageBreakBefore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全市总用水量18.05亿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w:t>
      </w:r>
    </w:p>
    <w:p>
      <w:pPr>
        <w:keepNext w:val="0"/>
        <w:keepLines w:val="0"/>
        <w:pageBreakBefore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全市人均用水量526</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，是同年全省389.9</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/人的1.3倍，万元GDP用水量200</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 xml:space="preserve">/万元，为全省GDP用水量108.3 </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/万元的1.8倍。万元工业增加值用水量77</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/万元，是全省万元工业增加值用水量44.8</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/万元的1.7倍。</w:t>
      </w:r>
    </w:p>
    <w:p>
      <w:pPr>
        <w:adjustRightInd w:val="0"/>
        <w:snapToGrid w:val="0"/>
        <w:ind w:firstLine="482" w:firstLineChars="200"/>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表3.3-6  2015年淮南市分区用水指标</w:t>
      </w:r>
    </w:p>
    <w:tbl>
      <w:tblPr>
        <w:tblStyle w:val="12"/>
        <w:tblW w:w="0" w:type="auto"/>
        <w:jc w:val="center"/>
        <w:tblLayout w:type="fixed"/>
        <w:tblCellMar>
          <w:top w:w="15" w:type="dxa"/>
          <w:left w:w="15" w:type="dxa"/>
          <w:bottom w:w="15" w:type="dxa"/>
          <w:right w:w="15" w:type="dxa"/>
        </w:tblCellMar>
      </w:tblPr>
      <w:tblGrid>
        <w:gridCol w:w="459"/>
        <w:gridCol w:w="1276"/>
        <w:gridCol w:w="840"/>
        <w:gridCol w:w="765"/>
        <w:gridCol w:w="933"/>
        <w:gridCol w:w="820"/>
        <w:gridCol w:w="912"/>
        <w:gridCol w:w="1070"/>
        <w:gridCol w:w="1020"/>
        <w:gridCol w:w="965"/>
      </w:tblGrid>
      <w:tr>
        <w:tblPrEx>
          <w:tblCellMar>
            <w:top w:w="15" w:type="dxa"/>
            <w:left w:w="15" w:type="dxa"/>
            <w:bottom w:w="15" w:type="dxa"/>
            <w:right w:w="15" w:type="dxa"/>
          </w:tblCellMar>
        </w:tblPrEx>
        <w:trPr>
          <w:trHeight w:val="1294" w:hRule="atLeast"/>
          <w:jc w:val="center"/>
        </w:trPr>
        <w:tc>
          <w:tcPr>
            <w:tcW w:w="173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计算分区</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用水量</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（亿m³）</w:t>
            </w:r>
          </w:p>
        </w:tc>
        <w:tc>
          <w:tcPr>
            <w:tcW w:w="765" w:type="dxa"/>
            <w:tcBorders>
              <w:top w:val="single" w:color="000000" w:sz="4" w:space="0"/>
              <w:left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人口</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（万人）</w:t>
            </w:r>
          </w:p>
        </w:tc>
        <w:tc>
          <w:tcPr>
            <w:tcW w:w="933" w:type="dxa"/>
            <w:tcBorders>
              <w:top w:val="single" w:color="000000" w:sz="4" w:space="0"/>
              <w:left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GDP</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（亿元）</w:t>
            </w:r>
          </w:p>
        </w:tc>
        <w:tc>
          <w:tcPr>
            <w:tcW w:w="820" w:type="dxa"/>
            <w:tcBorders>
              <w:top w:val="single" w:color="000000" w:sz="4" w:space="0"/>
              <w:left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工业用水</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（亿m³）</w:t>
            </w:r>
          </w:p>
        </w:tc>
        <w:tc>
          <w:tcPr>
            <w:tcW w:w="912" w:type="dxa"/>
            <w:tcBorders>
              <w:top w:val="single" w:color="000000" w:sz="4" w:space="0"/>
              <w:left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工业GDP</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（亿元）</w:t>
            </w:r>
          </w:p>
        </w:tc>
        <w:tc>
          <w:tcPr>
            <w:tcW w:w="1070" w:type="dxa"/>
            <w:tcBorders>
              <w:top w:val="single" w:color="000000" w:sz="4" w:space="0"/>
              <w:left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人均用水量</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（m³/人）</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万元GDP用水量</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（m³/万元）</w:t>
            </w:r>
          </w:p>
        </w:tc>
        <w:tc>
          <w:tcPr>
            <w:tcW w:w="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万元工业用水量</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（m³/万元）</w:t>
            </w:r>
          </w:p>
        </w:tc>
      </w:tr>
      <w:tr>
        <w:tblPrEx>
          <w:tblCellMar>
            <w:top w:w="15" w:type="dxa"/>
            <w:left w:w="15" w:type="dxa"/>
            <w:bottom w:w="15" w:type="dxa"/>
            <w:right w:w="15" w:type="dxa"/>
          </w:tblCellMar>
        </w:tblPrEx>
        <w:trPr>
          <w:trHeight w:val="517" w:hRule="atLeast"/>
          <w:jc w:val="center"/>
        </w:trPr>
        <w:tc>
          <w:tcPr>
            <w:tcW w:w="459"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行政分区</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淮南市市区</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2.72 </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130.8</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284.1</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0.86</w:t>
            </w:r>
          </w:p>
        </w:tc>
        <w:tc>
          <w:tcPr>
            <w:tcW w:w="91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129</w:t>
            </w:r>
          </w:p>
        </w:tc>
        <w:tc>
          <w:tcPr>
            <w:tcW w:w="1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208 </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96 </w:t>
            </w:r>
          </w:p>
        </w:tc>
        <w:tc>
          <w:tcPr>
            <w:tcW w:w="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67 </w:t>
            </w:r>
          </w:p>
        </w:tc>
      </w:tr>
      <w:tr>
        <w:tblPrEx>
          <w:tblCellMar>
            <w:top w:w="15" w:type="dxa"/>
            <w:left w:w="15" w:type="dxa"/>
            <w:bottom w:w="15" w:type="dxa"/>
            <w:right w:w="15" w:type="dxa"/>
          </w:tblCellMar>
        </w:tblPrEx>
        <w:trPr>
          <w:trHeight w:val="374" w:hRule="atLeast"/>
          <w:jc w:val="center"/>
        </w:trPr>
        <w:tc>
          <w:tcPr>
            <w:tcW w:w="45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潘集区</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2.88 </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40.2</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210.3</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0.77</w:t>
            </w:r>
          </w:p>
        </w:tc>
        <w:tc>
          <w:tcPr>
            <w:tcW w:w="91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91</w:t>
            </w:r>
          </w:p>
        </w:tc>
        <w:tc>
          <w:tcPr>
            <w:tcW w:w="1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717 </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137 </w:t>
            </w:r>
          </w:p>
        </w:tc>
        <w:tc>
          <w:tcPr>
            <w:tcW w:w="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85 </w:t>
            </w:r>
          </w:p>
        </w:tc>
      </w:tr>
      <w:tr>
        <w:tblPrEx>
          <w:tblCellMar>
            <w:top w:w="15" w:type="dxa"/>
            <w:left w:w="15" w:type="dxa"/>
            <w:bottom w:w="15" w:type="dxa"/>
            <w:right w:w="15" w:type="dxa"/>
          </w:tblCellMar>
        </w:tblPrEx>
        <w:trPr>
          <w:trHeight w:val="461" w:hRule="atLeast"/>
          <w:jc w:val="center"/>
        </w:trPr>
        <w:tc>
          <w:tcPr>
            <w:tcW w:w="45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凤台县、毛集区</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4.99 </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68.7</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276.4</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0.99</w:t>
            </w:r>
          </w:p>
        </w:tc>
        <w:tc>
          <w:tcPr>
            <w:tcW w:w="91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117</w:t>
            </w:r>
          </w:p>
        </w:tc>
        <w:tc>
          <w:tcPr>
            <w:tcW w:w="1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726 </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180 </w:t>
            </w:r>
          </w:p>
        </w:tc>
        <w:tc>
          <w:tcPr>
            <w:tcW w:w="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85 </w:t>
            </w:r>
          </w:p>
        </w:tc>
      </w:tr>
      <w:tr>
        <w:tblPrEx>
          <w:tblCellMar>
            <w:top w:w="15" w:type="dxa"/>
            <w:left w:w="15" w:type="dxa"/>
            <w:bottom w:w="15" w:type="dxa"/>
            <w:right w:w="15" w:type="dxa"/>
          </w:tblCellMar>
        </w:tblPrEx>
        <w:trPr>
          <w:trHeight w:val="374" w:hRule="atLeast"/>
          <w:jc w:val="center"/>
        </w:trPr>
        <w:tc>
          <w:tcPr>
            <w:tcW w:w="45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7.46 </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103.4</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130.5</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0.19</w:t>
            </w:r>
          </w:p>
        </w:tc>
        <w:tc>
          <w:tcPr>
            <w:tcW w:w="91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28</w:t>
            </w:r>
          </w:p>
        </w:tc>
        <w:tc>
          <w:tcPr>
            <w:tcW w:w="1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722 </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572 </w:t>
            </w:r>
          </w:p>
        </w:tc>
        <w:tc>
          <w:tcPr>
            <w:tcW w:w="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68 </w:t>
            </w:r>
          </w:p>
        </w:tc>
      </w:tr>
      <w:tr>
        <w:tblPrEx>
          <w:tblCellMar>
            <w:top w:w="15" w:type="dxa"/>
            <w:left w:w="15" w:type="dxa"/>
            <w:bottom w:w="15" w:type="dxa"/>
            <w:right w:w="15" w:type="dxa"/>
          </w:tblCellMar>
        </w:tblPrEx>
        <w:trPr>
          <w:trHeight w:val="400" w:hRule="atLeast"/>
          <w:jc w:val="center"/>
        </w:trPr>
        <w:tc>
          <w:tcPr>
            <w:tcW w:w="173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合  计</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18.05 </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343.1</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901.3</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2.81</w:t>
            </w:r>
          </w:p>
        </w:tc>
        <w:tc>
          <w:tcPr>
            <w:tcW w:w="91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365</w:t>
            </w:r>
          </w:p>
        </w:tc>
        <w:tc>
          <w:tcPr>
            <w:tcW w:w="1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526 </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200 </w:t>
            </w:r>
          </w:p>
        </w:tc>
        <w:tc>
          <w:tcPr>
            <w:tcW w:w="9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77 </w:t>
            </w:r>
          </w:p>
        </w:tc>
      </w:tr>
    </w:tbl>
    <w:p>
      <w:pPr>
        <w:pageBreakBefore w:val="0"/>
        <w:widowControl w:val="0"/>
        <w:kinsoku/>
        <w:wordWrap/>
        <w:overflowPunct/>
        <w:autoSpaceDE/>
        <w:autoSpaceDN/>
        <w:bidi w:val="0"/>
        <w:adjustRightInd w:val="0"/>
        <w:snapToGrid w:val="0"/>
        <w:spacing w:line="590" w:lineRule="exact"/>
        <w:ind w:firstLine="643" w:firstLineChars="200"/>
        <w:jc w:val="left"/>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2</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生活用水水平</w:t>
      </w:r>
    </w:p>
    <w:p>
      <w:pPr>
        <w:pageBreakBefore w:val="0"/>
        <w:widowControl w:val="0"/>
        <w:kinsoku/>
        <w:wordWrap/>
        <w:overflowPunct/>
        <w:autoSpaceDE/>
        <w:autoSpaceDN/>
        <w:bidi w:val="0"/>
        <w:adjustRightInd w:val="0"/>
        <w:snapToGrid w:val="0"/>
        <w:spacing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全市年人均生活用水量56.5</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，其中，城镇生活用水量207L/人</w:t>
      </w:r>
      <w:r>
        <w:rPr>
          <w:rFonts w:hint="default" w:ascii="Times New Roman" w:hAnsi="Times New Roman" w:eastAsia="方正仿宋_GBK" w:cs="Times New Roman"/>
          <w:sz w:val="32"/>
          <w:szCs w:val="32"/>
          <w:vertAlign w:val="superscript"/>
        </w:rPr>
        <w:t>●</w:t>
      </w:r>
      <w:r>
        <w:rPr>
          <w:rFonts w:hint="default" w:ascii="Times New Roman" w:hAnsi="Times New Roman" w:eastAsia="方正仿宋_GBK" w:cs="Times New Roman"/>
          <w:sz w:val="32"/>
          <w:szCs w:val="32"/>
        </w:rPr>
        <w:t>日；农村居民生活用水量80L/人</w:t>
      </w:r>
      <w:r>
        <w:rPr>
          <w:rFonts w:hint="default" w:ascii="Times New Roman" w:hAnsi="Times New Roman" w:eastAsia="方正仿宋_GBK" w:cs="Times New Roman"/>
          <w:sz w:val="32"/>
          <w:szCs w:val="32"/>
          <w:vertAlign w:val="superscript"/>
        </w:rPr>
        <w:t>●</w:t>
      </w:r>
      <w:r>
        <w:rPr>
          <w:rFonts w:hint="default" w:ascii="Times New Roman" w:hAnsi="Times New Roman" w:eastAsia="方正仿宋_GBK" w:cs="Times New Roman"/>
          <w:sz w:val="32"/>
          <w:szCs w:val="32"/>
        </w:rPr>
        <w:t>日。</w:t>
      </w:r>
    </w:p>
    <w:p>
      <w:pPr>
        <w:pageBreakBefore w:val="0"/>
        <w:widowControl w:val="0"/>
        <w:kinsoku/>
        <w:wordWrap/>
        <w:overflowPunct/>
        <w:autoSpaceDE/>
        <w:autoSpaceDN/>
        <w:bidi w:val="0"/>
        <w:adjustRightInd w:val="0"/>
        <w:snapToGrid w:val="0"/>
        <w:spacing w:line="590" w:lineRule="exact"/>
        <w:ind w:firstLine="643" w:firstLineChars="200"/>
        <w:jc w:val="left"/>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（3）工业用水水平</w:t>
      </w:r>
    </w:p>
    <w:p>
      <w:pPr>
        <w:pageBreakBefore w:val="0"/>
        <w:widowControl w:val="0"/>
        <w:kinsoku/>
        <w:wordWrap/>
        <w:overflowPunct/>
        <w:autoSpaceDE/>
        <w:autoSpaceDN/>
        <w:bidi w:val="0"/>
        <w:adjustRightInd w:val="0"/>
        <w:snapToGrid w:val="0"/>
        <w:spacing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淮南市用水量中，火电用水量所占比重较大，2015年工业用水总量2.81亿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，其中火电用水量1.7亿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，总装机1169万kW，定额为24（m³/（万kw.h））。工业增加值365亿元，万元工业增加值用水量77</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/万元。</w:t>
      </w:r>
    </w:p>
    <w:p>
      <w:pPr>
        <w:pageBreakBefore w:val="0"/>
        <w:widowControl w:val="0"/>
        <w:kinsoku/>
        <w:wordWrap/>
        <w:overflowPunct/>
        <w:autoSpaceDE/>
        <w:autoSpaceDN/>
        <w:bidi w:val="0"/>
        <w:adjustRightInd w:val="0"/>
        <w:snapToGrid w:val="0"/>
        <w:spacing w:line="590" w:lineRule="exact"/>
        <w:ind w:firstLine="643" w:firstLineChars="200"/>
        <w:jc w:val="left"/>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（4）农业用水水平</w:t>
      </w:r>
    </w:p>
    <w:p>
      <w:pPr>
        <w:pageBreakBefore w:val="0"/>
        <w:widowControl w:val="0"/>
        <w:kinsoku/>
        <w:wordWrap/>
        <w:overflowPunct/>
        <w:autoSpaceDE/>
        <w:autoSpaceDN/>
        <w:bidi w:val="0"/>
        <w:adjustRightInd w:val="0"/>
        <w:snapToGrid w:val="0"/>
        <w:spacing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农田灌溉亩均用水量363</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/亩，为全省农田灌溉亩均用水量341</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/亩的1.1倍。全市河灌区、井灌区亩均用水量分别为364</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 xml:space="preserve">/亩、254 </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/亩。</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林牧渔用水指标分别按林果地亩均实际灌溉用水量和鱼塘亩均实际补水量进行统计。2015年全市林果亩均实际灌溉用水量和鱼塘亩均实际补水量分别为90</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 xml:space="preserve">/亩和169 </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/亩。</w:t>
      </w:r>
    </w:p>
    <w:p>
      <w:pPr>
        <w:pStyle w:val="4"/>
        <w:pageBreakBefore w:val="0"/>
        <w:widowControl w:val="0"/>
        <w:kinsoku/>
        <w:wordWrap/>
        <w:overflowPunct/>
        <w:autoSpaceDE/>
        <w:autoSpaceDN/>
        <w:bidi w:val="0"/>
        <w:spacing w:line="590" w:lineRule="exact"/>
        <w:rPr>
          <w:rFonts w:hint="default" w:ascii="Times New Roman" w:hAnsi="Times New Roman" w:eastAsia="方正黑体_GBK" w:cs="Times New Roman"/>
          <w:b w:val="0"/>
          <w:bCs w:val="0"/>
          <w:sz w:val="32"/>
          <w:szCs w:val="32"/>
        </w:rPr>
      </w:pPr>
      <w:bookmarkStart w:id="116" w:name="_Toc5206"/>
      <w:bookmarkStart w:id="117" w:name="_Toc3268"/>
      <w:bookmarkStart w:id="118" w:name="_Toc13347"/>
      <w:r>
        <w:rPr>
          <w:rFonts w:hint="default" w:ascii="Times New Roman" w:hAnsi="Times New Roman" w:eastAsia="方正黑体_GBK" w:cs="Times New Roman"/>
          <w:b w:val="0"/>
          <w:bCs w:val="0"/>
          <w:sz w:val="32"/>
          <w:szCs w:val="32"/>
        </w:rPr>
        <w:t>第四节  与水相关的生态环境调查</w:t>
      </w:r>
      <w:bookmarkEnd w:id="116"/>
      <w:bookmarkEnd w:id="117"/>
      <w:bookmarkEnd w:id="118"/>
    </w:p>
    <w:p>
      <w:pPr>
        <w:pStyle w:val="5"/>
        <w:pageBreakBefore w:val="0"/>
        <w:widowControl w:val="0"/>
        <w:kinsoku/>
        <w:wordWrap/>
        <w:overflowPunct/>
        <w:autoSpaceDE/>
        <w:autoSpaceDN/>
        <w:bidi w:val="0"/>
        <w:spacing w:line="590" w:lineRule="exact"/>
        <w:ind w:firstLine="562"/>
        <w:rPr>
          <w:rFonts w:hint="eastAsia" w:ascii="方正楷体_GBK" w:hAnsi="方正楷体_GBK" w:eastAsia="方正楷体_GBK" w:cs="方正楷体_GBK"/>
          <w:b w:val="0"/>
          <w:bCs/>
          <w:sz w:val="32"/>
          <w:szCs w:val="32"/>
        </w:rPr>
      </w:pPr>
      <w:bookmarkStart w:id="119" w:name="_Toc9963"/>
      <w:bookmarkStart w:id="120" w:name="_Toc15005"/>
      <w:bookmarkStart w:id="121" w:name="_Toc7301"/>
      <w:bookmarkStart w:id="122" w:name="_Toc265832976"/>
      <w:bookmarkStart w:id="123" w:name="_Toc266312649"/>
      <w:bookmarkStart w:id="124" w:name="_Toc312309849"/>
      <w:r>
        <w:rPr>
          <w:rFonts w:hint="eastAsia" w:ascii="方正楷体_GBK" w:hAnsi="方正楷体_GBK" w:eastAsia="方正楷体_GBK" w:cs="方正楷体_GBK"/>
          <w:b w:val="0"/>
          <w:bCs/>
          <w:sz w:val="32"/>
          <w:szCs w:val="32"/>
        </w:rPr>
        <w:t>一、河道断流问题</w:t>
      </w:r>
      <w:bookmarkEnd w:id="119"/>
      <w:bookmarkEnd w:id="120"/>
      <w:bookmarkEnd w:id="121"/>
      <w:bookmarkEnd w:id="122"/>
      <w:bookmarkEnd w:id="123"/>
      <w:bookmarkEnd w:id="124"/>
    </w:p>
    <w:p>
      <w:pPr>
        <w:pageBreakBefore w:val="0"/>
        <w:widowControl w:val="0"/>
        <w:tabs>
          <w:tab w:val="left" w:pos="525"/>
        </w:tabs>
        <w:kinsoku/>
        <w:wordWrap/>
        <w:overflowPunct/>
        <w:autoSpaceDE/>
        <w:autoSpaceDN/>
        <w:bidi w:val="0"/>
        <w:snapToGrid w:val="0"/>
        <w:spacing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河道内用水分生产用水和生态环境用水两类。淮南市境内生产用水包括居民生活、工业生产、农业灌溉用水、火力发电用水、渔业、航运和景观用水等，生态环境用水包括稀释净化、保护河湖生态湿地等用水为境内主要的生产用水。境内生态环境用水主要用于稀释净化、保护河湖湿地等用水，以及维护生态环境所需的基本径流量。</w:t>
      </w:r>
    </w:p>
    <w:p>
      <w:pPr>
        <w:pageBreakBefore w:val="0"/>
        <w:widowControl w:val="0"/>
        <w:tabs>
          <w:tab w:val="left" w:pos="525"/>
        </w:tabs>
        <w:kinsoku/>
        <w:wordWrap/>
        <w:overflowPunct/>
        <w:autoSpaceDE/>
        <w:autoSpaceDN/>
        <w:bidi w:val="0"/>
        <w:snapToGrid w:val="0"/>
        <w:spacing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水资源开发利用程度较高，水资源拥有量与境内用量不匹配，区域内、区域间用水矛盾相当突出。1959、1966、1978、1995、1999、2001年等大旱年份，淮河干流淮南市以上段均不同程度的出现了断流。干旱年份受淮河上游来水量制约，淮河蚌埠闸以下河段常出现通航受阻、通航中断等。境内主要河流西淝河、泥河、永幸河、东淝河、窑河均建有节制闸，每年枯水季节大部分时间内闸门多处于关闭状态，境内淮河支流河道断流问题较普遍。</w:t>
      </w:r>
    </w:p>
    <w:p>
      <w:pPr>
        <w:pStyle w:val="5"/>
        <w:pageBreakBefore w:val="0"/>
        <w:widowControl w:val="0"/>
        <w:kinsoku/>
        <w:wordWrap/>
        <w:overflowPunct/>
        <w:autoSpaceDE/>
        <w:autoSpaceDN/>
        <w:bidi w:val="0"/>
        <w:spacing w:line="590" w:lineRule="exact"/>
        <w:ind w:firstLine="562"/>
        <w:rPr>
          <w:rFonts w:hint="default" w:ascii="方正楷体_GBK" w:hAnsi="方正楷体_GBK" w:eastAsia="方正楷体_GBK" w:cs="方正楷体_GBK"/>
          <w:b w:val="0"/>
          <w:bCs/>
          <w:sz w:val="32"/>
          <w:szCs w:val="32"/>
        </w:rPr>
      </w:pPr>
      <w:bookmarkStart w:id="125" w:name="_Toc312309850"/>
      <w:bookmarkStart w:id="126" w:name="_Toc266312651"/>
      <w:bookmarkStart w:id="127" w:name="_Toc8521"/>
      <w:bookmarkStart w:id="128" w:name="_Toc14478"/>
      <w:bookmarkStart w:id="129" w:name="_Toc7808"/>
      <w:r>
        <w:rPr>
          <w:rFonts w:hint="default" w:ascii="方正楷体_GBK" w:hAnsi="方正楷体_GBK" w:eastAsia="方正楷体_GBK" w:cs="方正楷体_GBK"/>
          <w:b w:val="0"/>
          <w:bCs/>
          <w:sz w:val="32"/>
          <w:szCs w:val="32"/>
        </w:rPr>
        <w:t>二、河湖污染问题</w:t>
      </w:r>
      <w:bookmarkEnd w:id="125"/>
      <w:bookmarkEnd w:id="126"/>
      <w:bookmarkEnd w:id="127"/>
      <w:bookmarkEnd w:id="128"/>
      <w:bookmarkEnd w:id="129"/>
    </w:p>
    <w:p>
      <w:pPr>
        <w:pageBreakBefore w:val="0"/>
        <w:widowControl w:val="0"/>
        <w:tabs>
          <w:tab w:val="left" w:pos="3600"/>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境内河湖水环境质量的优劣受制于上游来水和区间排放的污水的影响。从上世纪80年代开始，随着经济社会发展和人口增长，因治污进程长期滞后，污染范围不断扩大、污染程度居高不下，尤其是淮河及支流重大污染事故频发，淮河水污染状况最为严重，被纳入我国水污染重点治理的 “三河三湖” 之一。经过近15年来的治理，淮河污染状况得到初步遏制，但要达到规划的水质标准仍需时日。</w:t>
      </w:r>
    </w:p>
    <w:p>
      <w:pPr>
        <w:pageBreakBefore w:val="0"/>
        <w:widowControl w:val="0"/>
        <w:tabs>
          <w:tab w:val="left" w:pos="3600"/>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调查分析，境内主要河湖受上游来水影响情况为：淮河鲁台子以上汇入的淮河最大支流颍河对淮河淮南段水质影响最大，济河对西淝河下段水质影响大，茨淮新河水质受其上游茨河铺闸来水影响，寿县化肥厂排放的污水对东淝河水质影响最大，合肥长丰县、滁州市定远炉桥排放的城镇污水对高塘湖水质影响大。</w:t>
      </w:r>
    </w:p>
    <w:p>
      <w:pPr>
        <w:pageBreakBefore w:val="0"/>
        <w:widowControl w:val="0"/>
        <w:kinsoku/>
        <w:wordWrap/>
        <w:overflowPunct/>
        <w:autoSpaceDE/>
        <w:autoSpaceDN/>
        <w:bidi w:val="0"/>
        <w:spacing w:line="590" w:lineRule="exact"/>
        <w:ind w:firstLine="48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境内水污染进一步激化了业已存在的缺水矛盾，同时水资源短缺又加剧了生态环境恶化，境内年排放的工业、城镇生活污水达2.685亿t,其中含化学需氧量11794t、氨氮2848.9t、总磷207.9t、总氮6246.6t、五日生化需氧量4200.8t、挥发酚0.655t。</w:t>
      </w:r>
    </w:p>
    <w:p>
      <w:pPr>
        <w:pStyle w:val="5"/>
        <w:pageBreakBefore w:val="0"/>
        <w:widowControl w:val="0"/>
        <w:kinsoku/>
        <w:wordWrap/>
        <w:overflowPunct/>
        <w:autoSpaceDE/>
        <w:autoSpaceDN/>
        <w:bidi w:val="0"/>
        <w:spacing w:line="590" w:lineRule="exact"/>
        <w:ind w:firstLine="562"/>
        <w:rPr>
          <w:rFonts w:hint="default" w:ascii="方正楷体_GBK" w:hAnsi="方正楷体_GBK" w:eastAsia="方正楷体_GBK" w:cs="方正楷体_GBK"/>
          <w:b w:val="0"/>
          <w:bCs/>
          <w:sz w:val="32"/>
          <w:szCs w:val="32"/>
        </w:rPr>
      </w:pPr>
      <w:bookmarkStart w:id="130" w:name="_Toc5107"/>
      <w:bookmarkStart w:id="131" w:name="_Toc28008"/>
      <w:bookmarkStart w:id="132" w:name="_Toc24595"/>
      <w:r>
        <w:rPr>
          <w:rFonts w:hint="default" w:ascii="方正楷体_GBK" w:hAnsi="方正楷体_GBK" w:eastAsia="方正楷体_GBK" w:cs="方正楷体_GBK"/>
          <w:b w:val="0"/>
          <w:bCs/>
          <w:sz w:val="32"/>
          <w:szCs w:val="32"/>
        </w:rPr>
        <w:t>三、引江济淮输水通道</w:t>
      </w:r>
      <w:bookmarkEnd w:id="130"/>
      <w:bookmarkEnd w:id="131"/>
      <w:bookmarkEnd w:id="132"/>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引江济淮工程分引江济巢、江淮沟通、江水北送三段，工程建成后沿巢湖南岸新开20.8km输水明渠，将菜子湖线引江水和经巢湖南部湖区输送的西兆河线引江水引至派河河口，再一路向北，江淮沟通段将沿派河输水至新建的蜀山泵站枢纽提水后，经新开挖的江淮分水岭渠段输水入瓦埠湖，再经东淝河闸入淮河，线路长156.3km。江水北送段则通过西淝河、沙颍河、涡河及怀洪新河四线共同向淮河以北输水，线路总长358.2km。从长江下游引水，经巢湖，穿越江淮分水岭，向淮河中游地区补水。工程贯穿了整个淮南市，保护好引江济淮的输水通道，这是未来淮南市水资源保护重点，引江济淮工程要采取避污、导污、防污、治污等措施，确保一江清水入淮河。要把输水通道划为重要饮用水资源保护区，严禁在输水通道新增排污口，对原的排污口进行整治。</w:t>
      </w:r>
    </w:p>
    <w:p>
      <w:pPr>
        <w:pStyle w:val="5"/>
        <w:pageBreakBefore w:val="0"/>
        <w:widowControl w:val="0"/>
        <w:kinsoku/>
        <w:wordWrap/>
        <w:overflowPunct/>
        <w:autoSpaceDE/>
        <w:autoSpaceDN/>
        <w:bidi w:val="0"/>
        <w:spacing w:line="590" w:lineRule="exact"/>
        <w:ind w:firstLine="562"/>
        <w:rPr>
          <w:rFonts w:hint="default" w:ascii="方正楷体_GBK" w:hAnsi="方正楷体_GBK" w:eastAsia="方正楷体_GBK" w:cs="方正楷体_GBK"/>
          <w:b w:val="0"/>
          <w:bCs/>
          <w:sz w:val="32"/>
          <w:szCs w:val="32"/>
        </w:rPr>
      </w:pPr>
      <w:bookmarkStart w:id="133" w:name="_Toc312309851"/>
      <w:bookmarkStart w:id="134" w:name="_Toc23761"/>
      <w:bookmarkStart w:id="135" w:name="_Toc16611"/>
      <w:bookmarkStart w:id="136" w:name="_Toc8309"/>
      <w:r>
        <w:rPr>
          <w:rFonts w:hint="default" w:ascii="方正楷体_GBK" w:hAnsi="方正楷体_GBK" w:eastAsia="方正楷体_GBK" w:cs="方正楷体_GBK"/>
          <w:b w:val="0"/>
          <w:bCs/>
          <w:sz w:val="32"/>
          <w:szCs w:val="32"/>
        </w:rPr>
        <w:t>四、采煤沉陷区问题</w:t>
      </w:r>
      <w:bookmarkEnd w:id="133"/>
      <w:bookmarkEnd w:id="134"/>
      <w:bookmarkEnd w:id="135"/>
      <w:bookmarkEnd w:id="136"/>
    </w:p>
    <w:p>
      <w:pPr>
        <w:pStyle w:val="5"/>
        <w:pageBreakBefore w:val="0"/>
        <w:widowControl w:val="0"/>
        <w:kinsoku/>
        <w:wordWrap/>
        <w:overflowPunct/>
        <w:autoSpaceDE/>
        <w:autoSpaceDN/>
        <w:bidi w:val="0"/>
        <w:spacing w:line="590" w:lineRule="exact"/>
        <w:ind w:firstLine="562"/>
        <w:rPr>
          <w:rFonts w:hint="eastAsia" w:ascii="方正仿宋_GBK" w:hAnsi="方正仿宋_GBK" w:eastAsia="方正仿宋_GBK" w:cs="方正仿宋_GBK"/>
          <w:b/>
          <w:bCs w:val="0"/>
          <w:sz w:val="32"/>
          <w:szCs w:val="32"/>
          <w:lang w:val="zh-CN"/>
        </w:rPr>
      </w:pPr>
      <w:r>
        <w:rPr>
          <w:rFonts w:hint="eastAsia" w:ascii="方正仿宋_GBK" w:hAnsi="方正仿宋_GBK" w:eastAsia="方正仿宋_GBK" w:cs="方正仿宋_GBK"/>
          <w:b/>
          <w:bCs w:val="0"/>
          <w:sz w:val="32"/>
          <w:szCs w:val="32"/>
        </w:rPr>
        <w:t>（1）</w:t>
      </w:r>
      <w:r>
        <w:rPr>
          <w:rFonts w:hint="eastAsia" w:ascii="方正仿宋_GBK" w:hAnsi="方正仿宋_GBK" w:eastAsia="方正仿宋_GBK" w:cs="方正仿宋_GBK"/>
          <w:b/>
          <w:bCs w:val="0"/>
          <w:sz w:val="32"/>
          <w:szCs w:val="32"/>
          <w:lang w:val="zh-CN"/>
        </w:rPr>
        <w:t>淮南矿区概况</w:t>
      </w:r>
    </w:p>
    <w:p>
      <w:pPr>
        <w:pageBreakBefore w:val="0"/>
        <w:widowControl w:val="0"/>
        <w:kinsoku/>
        <w:wordWrap/>
        <w:overflowPunct/>
        <w:autoSpaceDE/>
        <w:autoSpaceDN/>
        <w:bidi w:val="0"/>
        <w:adjustRightInd w:val="0"/>
        <w:snapToGrid w:val="0"/>
        <w:spacing w:line="590" w:lineRule="exact"/>
        <w:ind w:firstLine="640" w:firstLineChars="200"/>
        <w:rPr>
          <w:rFonts w:hint="eastAsia" w:ascii="方正仿宋_GBK" w:hAnsi="方正仿宋_GBK" w:eastAsia="方正仿宋_GBK" w:cs="方正仿宋_GBK"/>
          <w:b w:val="0"/>
          <w:bCs w:val="0"/>
          <w:sz w:val="32"/>
          <w:szCs w:val="32"/>
          <w:lang w:val="zh-CN"/>
        </w:rPr>
      </w:pPr>
      <w:r>
        <w:rPr>
          <w:rFonts w:hint="eastAsia" w:ascii="方正仿宋_GBK" w:hAnsi="方正仿宋_GBK" w:eastAsia="方正仿宋_GBK" w:cs="方正仿宋_GBK"/>
          <w:b w:val="0"/>
          <w:bCs w:val="0"/>
          <w:sz w:val="32"/>
          <w:szCs w:val="32"/>
          <w:lang w:val="zh-CN"/>
        </w:rPr>
        <w:t>①矿区地理分布</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lang w:val="zh-CN"/>
        </w:rPr>
      </w:pPr>
      <w:r>
        <w:rPr>
          <w:rFonts w:hint="eastAsia" w:ascii="方正仿宋_GBK" w:hAnsi="方正仿宋_GBK" w:eastAsia="方正仿宋_GBK" w:cs="方正仿宋_GBK"/>
          <w:b w:val="0"/>
          <w:bCs w:val="0"/>
          <w:sz w:val="32"/>
          <w:szCs w:val="32"/>
          <w:lang w:val="zh-CN"/>
        </w:rPr>
        <w:t>淮河流域是富煤地区，淮河中游的淮南矿区位于华东腹地的安徽省中北部，淮河中段（图</w:t>
      </w:r>
      <w:r>
        <w:rPr>
          <w:rFonts w:hint="eastAsia" w:ascii="方正仿宋_GBK" w:hAnsi="方正仿宋_GBK" w:eastAsia="方正仿宋_GBK" w:cs="方正仿宋_GBK"/>
          <w:b w:val="0"/>
          <w:bCs w:val="0"/>
          <w:sz w:val="32"/>
          <w:szCs w:val="32"/>
        </w:rPr>
        <w:t>3.4-1</w:t>
      </w:r>
      <w:r>
        <w:rPr>
          <w:rFonts w:hint="eastAsia" w:ascii="方正仿宋_GBK" w:hAnsi="方正仿宋_GBK" w:eastAsia="方正仿宋_GBK" w:cs="方正仿宋_GBK"/>
          <w:b w:val="0"/>
          <w:bCs w:val="0"/>
          <w:sz w:val="32"/>
          <w:szCs w:val="32"/>
          <w:lang w:val="zh-CN"/>
        </w:rPr>
        <w:t>），煤炭矿藏极为丰富。</w:t>
      </w:r>
      <w:r>
        <w:rPr>
          <w:rFonts w:hint="default" w:ascii="Times New Roman" w:hAnsi="Times New Roman" w:eastAsia="方正仿宋_GBK" w:cs="Times New Roman"/>
          <w:sz w:val="32"/>
          <w:szCs w:val="32"/>
          <w:lang w:val="zh-CN"/>
        </w:rPr>
        <w:t>淮南矿区现已查明-1000m、-1200m 以浅内含可采煤层9～18层，可采煤层总厚度平均约20～30m，其中有6个主采煤层，单层厚度2～6m，主采煤层的总厚度占可采煤层总厚度的70%左右，属中厚～厚煤层。煤炭远景储量444亿t，探明储量153亿t，是我国南方地区最大的煤炭生产基地，煤炭的保有储量占安徽省的74%，华东地区的50%。目前，淮南是国家确定的13个大型煤炭基地和6大煤电一体化基地之一。按照《淮南市国民经济和社会发展第十三个五年规划纲要》，“十三五”期间矿区生产能力达8000万</w:t>
      </w:r>
      <w:r>
        <w:rPr>
          <w:rFonts w:hint="default" w:ascii="Times New Roman" w:hAnsi="Times New Roman" w:eastAsia="方正仿宋_GBK" w:cs="Times New Roman"/>
          <w:sz w:val="32"/>
          <w:szCs w:val="32"/>
        </w:rPr>
        <w:t>t</w:t>
      </w:r>
      <w:r>
        <w:rPr>
          <w:rFonts w:hint="default" w:ascii="Times New Roman" w:hAnsi="Times New Roman" w:eastAsia="方正仿宋_GBK" w:cs="Times New Roman"/>
          <w:sz w:val="32"/>
          <w:szCs w:val="32"/>
          <w:lang w:val="zh-CN"/>
        </w:rPr>
        <w:t>。</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lang w:val="zh-CN"/>
        </w:rPr>
      </w:pPr>
      <w:r>
        <w:rPr>
          <w:rFonts w:hint="default" w:ascii="Times New Roman" w:hAnsi="Times New Roman" w:eastAsia="方正仿宋_GBK" w:cs="Times New Roman"/>
          <w:sz w:val="32"/>
          <w:szCs w:val="32"/>
          <w:lang w:val="zh-CN"/>
        </w:rPr>
        <w:t>淮南煤田行政区划隶属淮南、阜阳、亳州3市，主要由淮南矿业集团、国投新集能源股份有限公司负责开发与生产经营。淮南矿业集团各矿分布在淮河南北两岸。淮河以南为老矿区，主要包括：新庄孜矿、谢一矿、李一矿、李嘴孜矿。</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lang w:val="zh-CN"/>
        </w:rPr>
      </w:pPr>
      <w:r>
        <w:rPr>
          <w:rFonts w:hint="default" w:ascii="Times New Roman" w:hAnsi="Times New Roman" w:eastAsia="方正仿宋_GBK" w:cs="Times New Roman"/>
          <w:sz w:val="32"/>
          <w:szCs w:val="32"/>
          <w:lang w:val="zh-CN"/>
        </w:rPr>
        <w:t xml:space="preserve">淮南老矿区已有90余年的开采历史，其主力矿井建于上世纪50年代末～60 年代初，经过40余年的开采，大多数矿井已进入衰老报废阶段。淮河以北为新矿区，从西到东，分布了谢桥矿、张集矿、顾北矿、顾桥矿、丁集矿、朱集矿、潘四矿、潘三矿、潘一矿、潘二矿和后备资源区。其中淮南矿业集团的潘谢矿区位于淮河中游淮河以北地区，南临淮河、北靠茨淮新河，东边大致以淮南市与蚌埠市的行政边界为界，西有淮河最大的支流沙颍河，内有潘一、潘二、潘三、谢桥、张集、顾桥、顾北、丁集、潘北、朱集、潘一东11座矿井，东西长70km，南北宽25km，面积约1571km </w:t>
      </w:r>
      <w:r>
        <w:rPr>
          <w:rFonts w:hint="default" w:ascii="Times New Roman" w:hAnsi="Times New Roman" w:eastAsia="方正仿宋_GBK" w:cs="Times New Roman"/>
          <w:sz w:val="32"/>
          <w:szCs w:val="32"/>
          <w:vertAlign w:val="superscript"/>
          <w:lang w:val="zh-CN"/>
        </w:rPr>
        <w:t>2</w:t>
      </w:r>
      <w:r>
        <w:rPr>
          <w:rFonts w:hint="default" w:ascii="Times New Roman" w:hAnsi="Times New Roman" w:eastAsia="方正仿宋_GBK" w:cs="Times New Roman"/>
          <w:sz w:val="32"/>
          <w:szCs w:val="32"/>
          <w:lang w:val="zh-CN"/>
        </w:rPr>
        <w:t>，资源储量285亿吨，矿区划分为17个井田和一个后备区。</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lang w:val="zh-CN"/>
        </w:rPr>
      </w:pPr>
      <w:r>
        <w:rPr>
          <w:rFonts w:hint="default" w:ascii="Times New Roman" w:hAnsi="Times New Roman" w:eastAsia="方正仿宋_GBK" w:cs="Times New Roman"/>
          <w:sz w:val="32"/>
          <w:szCs w:val="32"/>
          <w:lang w:val="zh-CN"/>
        </w:rPr>
        <w:t>淮南煤田全部被第四系覆盖，唯有煤田南北两翼边缘的低山残丘，出露前震旦系变质岩，震旦、寒武、奥陶系等古老地层。地层由下而上依次有奥陶系、石炭系、二迭系、第三系和第四系。本区石炭系太原组含煤6～9层，总厚2.40～4.65m，煤层最大厚度1.11m ，极不稳定，无开采价值；二迭系石千峰组非含煤段除外，含煤段总厚734m，含煤33层，煤层总厚30.08m，含煤系数为4.10%。共分七个含煤段，以第一含煤段（山西组）、第二含煤段（下石盒子组）和第四含煤段的含煤系数最高，分别为9.82%、7.69%和7.90%。二迭系可采煤层集中分布在煤系的中、下部厚约450m的地层中，共有9层，平均可采总厚24.11m，约占煤层总厚的80%。不可采煤层24层，平均总厚5.97m，煤层平均厚0.03～0.58m。</w:t>
      </w:r>
    </w:p>
    <w:p>
      <w:pPr>
        <w:pStyle w:val="2"/>
        <w:rPr>
          <w:rFonts w:hint="default" w:ascii="Times New Roman" w:hAnsi="Times New Roman" w:eastAsia="方正仿宋_GBK" w:cs="Times New Roman"/>
          <w:sz w:val="32"/>
          <w:szCs w:val="32"/>
          <w:lang w:val="zh-CN"/>
        </w:rPr>
      </w:pPr>
    </w:p>
    <w:p>
      <w:pPr>
        <w:adjustRightInd w:val="0"/>
        <w:snapToGrid w:val="0"/>
        <w:jc w:val="center"/>
        <w:rPr>
          <w:b/>
          <w:bCs/>
          <w:sz w:val="24"/>
          <w:lang w:val="zh-CN"/>
        </w:rPr>
      </w:pPr>
      <w:r>
        <w:drawing>
          <wp:inline distT="0" distB="0" distL="114300" distR="114300">
            <wp:extent cx="5189220" cy="2413635"/>
            <wp:effectExtent l="0" t="0" r="11430" b="5715"/>
            <wp:docPr id="8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6"/>
                    <pic:cNvPicPr>
                      <a:picLocks noChangeAspect="1"/>
                    </pic:cNvPicPr>
                  </pic:nvPicPr>
                  <pic:blipFill>
                    <a:blip r:embed="rId35"/>
                    <a:srcRect l="1283" t="2550" r="2553" b="4248"/>
                    <a:stretch>
                      <a:fillRect/>
                    </a:stretch>
                  </pic:blipFill>
                  <pic:spPr>
                    <a:xfrm>
                      <a:off x="0" y="0"/>
                      <a:ext cx="5189220" cy="2413635"/>
                    </a:xfrm>
                    <a:prstGeom prst="rect">
                      <a:avLst/>
                    </a:prstGeom>
                    <a:noFill/>
                    <a:ln>
                      <a:noFill/>
                    </a:ln>
                  </pic:spPr>
                </pic:pic>
              </a:graphicData>
            </a:graphic>
          </wp:inline>
        </w:drawing>
      </w:r>
      <w:r>
        <w:rPr>
          <w:sz w:val="24"/>
          <w:lang w:val="zh-CN"/>
        </w:rPr>
        <w:t xml:space="preserve"> </w:t>
      </w:r>
      <w:r>
        <w:rPr>
          <w:rFonts w:hint="eastAsia" w:ascii="方正黑体_GBK" w:hAnsi="方正黑体_GBK" w:eastAsia="方正黑体_GBK" w:cs="方正黑体_GBK"/>
          <w:b/>
          <w:bCs/>
          <w:sz w:val="24"/>
          <w:lang w:val="zh-CN"/>
        </w:rPr>
        <w:t>图</w:t>
      </w:r>
      <w:r>
        <w:rPr>
          <w:rFonts w:hint="eastAsia" w:ascii="方正黑体_GBK" w:hAnsi="方正黑体_GBK" w:eastAsia="方正黑体_GBK" w:cs="方正黑体_GBK"/>
          <w:b/>
          <w:bCs/>
          <w:sz w:val="24"/>
        </w:rPr>
        <w:t>3.4-1</w:t>
      </w:r>
      <w:r>
        <w:rPr>
          <w:rFonts w:hint="eastAsia" w:ascii="方正黑体_GBK" w:hAnsi="方正黑体_GBK" w:eastAsia="方正黑体_GBK" w:cs="方正黑体_GBK"/>
          <w:b/>
          <w:bCs/>
          <w:sz w:val="24"/>
          <w:lang w:val="zh-CN"/>
        </w:rPr>
        <w:t xml:space="preserve"> 淮南矿区分布图</w:t>
      </w:r>
    </w:p>
    <w:p>
      <w:pPr>
        <w:adjustRightInd w:val="0"/>
        <w:snapToGrid w:val="0"/>
        <w:jc w:val="center"/>
      </w:pPr>
      <w:r>
        <w:drawing>
          <wp:inline distT="0" distB="0" distL="114300" distR="114300">
            <wp:extent cx="5394960" cy="2707640"/>
            <wp:effectExtent l="0" t="0" r="15240" b="16510"/>
            <wp:docPr id="8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7"/>
                    <pic:cNvPicPr>
                      <a:picLocks noChangeAspect="1"/>
                    </pic:cNvPicPr>
                  </pic:nvPicPr>
                  <pic:blipFill>
                    <a:blip r:embed="rId36"/>
                    <a:stretch>
                      <a:fillRect/>
                    </a:stretch>
                  </pic:blipFill>
                  <pic:spPr>
                    <a:xfrm>
                      <a:off x="0" y="0"/>
                      <a:ext cx="5394960" cy="2707640"/>
                    </a:xfrm>
                    <a:prstGeom prst="rect">
                      <a:avLst/>
                    </a:prstGeom>
                    <a:noFill/>
                    <a:ln>
                      <a:noFill/>
                    </a:ln>
                  </pic:spPr>
                </pic:pic>
              </a:graphicData>
            </a:graphic>
          </wp:inline>
        </w:drawing>
      </w:r>
    </w:p>
    <w:p>
      <w:pPr>
        <w:jc w:val="center"/>
        <w:rPr>
          <w:rFonts w:hint="eastAsia" w:ascii="方正黑体_GBK" w:hAnsi="方正黑体_GBK" w:eastAsia="方正黑体_GBK" w:cs="方正黑体_GBK"/>
          <w:b/>
          <w:bCs/>
          <w:sz w:val="24"/>
          <w:lang w:val="zh-CN"/>
        </w:rPr>
      </w:pPr>
      <w:r>
        <w:rPr>
          <w:rFonts w:hint="eastAsia" w:ascii="方正黑体_GBK" w:hAnsi="方正黑体_GBK" w:eastAsia="方正黑体_GBK" w:cs="方正黑体_GBK"/>
          <w:b/>
          <w:bCs/>
          <w:sz w:val="24"/>
          <w:lang w:val="zh-CN"/>
        </w:rPr>
        <w:t xml:space="preserve">图 </w:t>
      </w:r>
      <w:r>
        <w:rPr>
          <w:rFonts w:hint="eastAsia" w:ascii="方正黑体_GBK" w:hAnsi="方正黑体_GBK" w:eastAsia="方正黑体_GBK" w:cs="方正黑体_GBK"/>
          <w:b/>
          <w:bCs/>
          <w:sz w:val="24"/>
        </w:rPr>
        <w:t>3.4-2</w:t>
      </w:r>
      <w:r>
        <w:rPr>
          <w:rFonts w:hint="eastAsia" w:ascii="方正黑体_GBK" w:hAnsi="方正黑体_GBK" w:eastAsia="方正黑体_GBK" w:cs="方正黑体_GBK"/>
          <w:b/>
          <w:bCs/>
          <w:sz w:val="24"/>
          <w:lang w:val="zh-CN"/>
        </w:rPr>
        <w:t xml:space="preserve">  淮南矿区周边主要河流分布</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val="0"/>
          <w:sz w:val="32"/>
          <w:szCs w:val="32"/>
          <w:lang w:val="zh-CN"/>
        </w:rPr>
      </w:pPr>
      <w:r>
        <w:rPr>
          <w:rFonts w:hint="default" w:ascii="Times New Roman" w:hAnsi="Times New Roman" w:eastAsia="方正仿宋_GBK" w:cs="Times New Roman"/>
          <w:b w:val="0"/>
          <w:bCs w:val="0"/>
          <w:sz w:val="32"/>
          <w:szCs w:val="32"/>
          <w:lang w:val="zh-CN"/>
        </w:rPr>
        <w:t>②矿区周边水系概况</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zh-CN"/>
        </w:rPr>
        <w:t>淮南煤田位于淮河两岸，地表水系较发达，西淝河、架河、永幸河和泥河的下段与淮河干流</w:t>
      </w:r>
      <w:r>
        <w:rPr>
          <w:rFonts w:hint="default" w:ascii="Times New Roman" w:hAnsi="Times New Roman" w:eastAsia="方正仿宋_GBK" w:cs="Times New Roman"/>
          <w:sz w:val="32"/>
          <w:szCs w:val="32"/>
          <w:lang w:val="zh-CN"/>
        </w:rPr>
        <w:t>相连，通过西淝河、永幸河、架河的上段以及大沟与茨淮新河相通，通过济河与沙颍河相通，区内还与西淝河、泥河下游洼地连成一片。淮河自西向东流经矿区，与淮河及其支流西淝河、架河、泥河等直接相关的矿井共2</w:t>
      </w:r>
      <w:r>
        <w:rPr>
          <w:rFonts w:hint="default" w:ascii="Times New Roman" w:hAnsi="Times New Roman" w:eastAsia="方正仿宋_GBK" w:cs="Times New Roman"/>
          <w:sz w:val="32"/>
          <w:szCs w:val="32"/>
        </w:rPr>
        <w:t>5</w:t>
      </w:r>
      <w:r>
        <w:rPr>
          <w:rFonts w:hint="default" w:ascii="Times New Roman" w:hAnsi="Times New Roman" w:eastAsia="方正仿宋_GBK" w:cs="Times New Roman"/>
          <w:sz w:val="32"/>
          <w:szCs w:val="32"/>
          <w:lang w:val="zh-CN"/>
        </w:rPr>
        <w:t>对，这些矿井煤炭储量155.0亿</w:t>
      </w:r>
      <w:r>
        <w:rPr>
          <w:rFonts w:hint="default" w:ascii="Times New Roman" w:hAnsi="Times New Roman" w:eastAsia="方正仿宋_GBK" w:cs="Times New Roman"/>
          <w:sz w:val="32"/>
          <w:szCs w:val="32"/>
        </w:rPr>
        <w:t>t</w:t>
      </w:r>
      <w:r>
        <w:rPr>
          <w:rFonts w:hint="default" w:ascii="Times New Roman" w:hAnsi="Times New Roman" w:eastAsia="方正仿宋_GBK" w:cs="Times New Roman"/>
          <w:sz w:val="32"/>
          <w:szCs w:val="32"/>
          <w:lang w:val="zh-CN"/>
        </w:rPr>
        <w:t>，其中，与淮南矿业集团相关的矿井13对，煤炭储量126亿</w:t>
      </w:r>
      <w:r>
        <w:rPr>
          <w:rFonts w:hint="default" w:ascii="Times New Roman" w:hAnsi="Times New Roman" w:eastAsia="方正仿宋_GBK" w:cs="Times New Roman"/>
          <w:sz w:val="32"/>
          <w:szCs w:val="32"/>
        </w:rPr>
        <w:t>t</w:t>
      </w:r>
      <w:r>
        <w:rPr>
          <w:rFonts w:hint="default" w:ascii="Times New Roman" w:hAnsi="Times New Roman" w:eastAsia="方正仿宋_GBK" w:cs="Times New Roman"/>
          <w:sz w:val="32"/>
          <w:szCs w:val="32"/>
          <w:lang w:val="zh-CN"/>
        </w:rPr>
        <w:t>。淮河及其支流水系以及这些水系的堤防等重要水利设施下的煤炭资源量为37.2亿</w:t>
      </w:r>
      <w:r>
        <w:rPr>
          <w:rFonts w:hint="default" w:ascii="Times New Roman" w:hAnsi="Times New Roman" w:eastAsia="方正仿宋_GBK" w:cs="Times New Roman"/>
          <w:sz w:val="32"/>
          <w:szCs w:val="32"/>
        </w:rPr>
        <w:t>t</w:t>
      </w:r>
      <w:r>
        <w:rPr>
          <w:rFonts w:hint="default" w:ascii="Times New Roman" w:hAnsi="Times New Roman" w:eastAsia="方正仿宋_GBK" w:cs="Times New Roman"/>
          <w:sz w:val="32"/>
          <w:szCs w:val="32"/>
          <w:lang w:val="zh-CN"/>
        </w:rPr>
        <w:t>，其中，淮南矿业集团30.2亿</w:t>
      </w:r>
      <w:r>
        <w:rPr>
          <w:rFonts w:hint="default" w:ascii="Times New Roman" w:hAnsi="Times New Roman" w:eastAsia="方正仿宋_GBK" w:cs="Times New Roman"/>
          <w:sz w:val="32"/>
          <w:szCs w:val="32"/>
        </w:rPr>
        <w:t>t</w:t>
      </w:r>
      <w:r>
        <w:rPr>
          <w:rFonts w:hint="default" w:ascii="Times New Roman" w:hAnsi="Times New Roman" w:eastAsia="方正仿宋_GBK" w:cs="Times New Roman"/>
          <w:sz w:val="32"/>
          <w:szCs w:val="32"/>
          <w:lang w:val="zh-CN"/>
        </w:rPr>
        <w:t>。淮南矿区周边主要河流分布见图</w:t>
      </w:r>
      <w:r>
        <w:rPr>
          <w:rFonts w:hint="default" w:ascii="Times New Roman" w:hAnsi="Times New Roman" w:eastAsia="方正仿宋_GBK" w:cs="Times New Roman"/>
          <w:sz w:val="32"/>
          <w:szCs w:val="32"/>
        </w:rPr>
        <w:t>3.4-2。</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val="0"/>
          <w:sz w:val="32"/>
          <w:szCs w:val="32"/>
          <w:lang w:val="zh-CN"/>
        </w:rPr>
      </w:pPr>
      <w:r>
        <w:rPr>
          <w:rFonts w:hint="default" w:ascii="Times New Roman" w:hAnsi="Times New Roman" w:eastAsia="方正仿宋_GBK" w:cs="Times New Roman"/>
          <w:b w:val="0"/>
          <w:bCs w:val="0"/>
          <w:sz w:val="32"/>
          <w:szCs w:val="32"/>
        </w:rPr>
        <w:t>③采煤沉陷概况</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val="0"/>
          <w:sz w:val="32"/>
          <w:szCs w:val="32"/>
          <w:lang w:val="zh-CN"/>
        </w:rPr>
      </w:pPr>
      <w:r>
        <w:rPr>
          <w:rFonts w:hint="default" w:ascii="Times New Roman" w:hAnsi="Times New Roman" w:eastAsia="方正仿宋_GBK" w:cs="Times New Roman"/>
          <w:b w:val="0"/>
          <w:bCs w:val="0"/>
          <w:sz w:val="32"/>
          <w:szCs w:val="32"/>
          <w:lang w:val="zh-CN"/>
        </w:rPr>
        <w:t>淮南潘谢矿区煤炭资源储量丰富，埋藏较深，属煤层群开采，分布集中，可</w:t>
      </w:r>
    </w:p>
    <w:p>
      <w:pPr>
        <w:keepNext w:val="0"/>
        <w:keepLines w:val="0"/>
        <w:pageBreakBefore w:val="0"/>
        <w:widowControl w:val="0"/>
        <w:kinsoku/>
        <w:wordWrap/>
        <w:overflowPunct/>
        <w:topLinePunct w:val="0"/>
        <w:autoSpaceDE/>
        <w:autoSpaceDN/>
        <w:bidi w:val="0"/>
        <w:adjustRightInd w:val="0"/>
        <w:snapToGrid w:val="0"/>
        <w:spacing w:line="590" w:lineRule="exact"/>
        <w:textAlignment w:val="auto"/>
        <w:rPr>
          <w:rFonts w:hint="default" w:ascii="Times New Roman" w:hAnsi="Times New Roman" w:eastAsia="方正仿宋_GBK" w:cs="Times New Roman"/>
          <w:sz w:val="32"/>
          <w:szCs w:val="32"/>
          <w:lang w:val="zh-CN"/>
        </w:rPr>
      </w:pPr>
      <w:r>
        <w:rPr>
          <w:rFonts w:hint="default" w:ascii="Times New Roman" w:hAnsi="Times New Roman" w:eastAsia="方正仿宋_GBK" w:cs="Times New Roman"/>
          <w:sz w:val="32"/>
          <w:szCs w:val="32"/>
          <w:lang w:val="zh-CN"/>
        </w:rPr>
        <w:t>采煤层11～13层，可采煤层总厚平均约20～30m，均采用井工开采，采煤方法采用全部冒落法。由于该区域属平原地区，地势平坦，煤炭地下开采必然形成地表沉陷，开采后沉陷范围广、沉陷深度大，造成土地资源破坏，影响区域内水系和水利设施，对生态环境造成一定的影响。矿区开采历史长，已形成相当规模的沉陷水域。区域内西淝河及其支流港河、济河，架河、泥河、永幸河等，已不同程度受到开采影响。另外，矿区内水系丰富，从东到西依次有泥河、架河、西淝河、港河、济河，这些河流均汇入淮河，河流的下游现多为蓄水洼地。随着采煤沉陷区扩大，沉陷区与水系、蓄水洼地交织，形成更大范围的蓄水体。</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lang w:val="zh-CN"/>
        </w:rPr>
      </w:pPr>
      <w:r>
        <w:rPr>
          <w:rFonts w:hint="default" w:ascii="Times New Roman" w:hAnsi="Times New Roman" w:eastAsia="方正仿宋_GBK" w:cs="Times New Roman"/>
          <w:sz w:val="32"/>
          <w:szCs w:val="32"/>
          <w:lang w:val="zh-CN"/>
        </w:rPr>
        <w:t xml:space="preserve">根据中国矿业大学提供的《淮南矿区采煤沉陷机理研究及沉陷区预测》报告，淮南煤田属煤层群开采，可采煤层累计沉陷深度最终可达20m以上。采煤沉陷是个动态的、长期的过程，随着煤炭开采进展，沉陷范围和积水区范围从小到大，积水深度由浅到深，积水区从互相独立到连成一个整体。预计到2030年，潘谢矿区矿井采煤沉陷区分别与泥河、架河上段、西淝河及港河、济河及其洼地相连。2030 年后，4个沉陷区逐渐连成一片，沉陷积水区域与相邻水系、洼地相连，形成大范围、大深度的湖泊群。不同水平年沉陷情况见表 </w:t>
      </w:r>
      <w:r>
        <w:rPr>
          <w:rFonts w:hint="default" w:ascii="Times New Roman" w:hAnsi="Times New Roman" w:eastAsia="方正仿宋_GBK" w:cs="Times New Roman"/>
          <w:sz w:val="32"/>
          <w:szCs w:val="32"/>
        </w:rPr>
        <w:t>3.4-1</w:t>
      </w:r>
      <w:r>
        <w:rPr>
          <w:rFonts w:hint="default" w:ascii="Times New Roman" w:hAnsi="Times New Roman" w:eastAsia="方正仿宋_GBK" w:cs="Times New Roman"/>
          <w:sz w:val="32"/>
          <w:szCs w:val="32"/>
          <w:lang w:val="zh-CN"/>
        </w:rPr>
        <w:t>。</w:t>
      </w:r>
    </w:p>
    <w:p>
      <w:pPr>
        <w:adjustRightInd w:val="0"/>
        <w:snapToGrid w:val="0"/>
        <w:spacing w:line="520" w:lineRule="exact"/>
        <w:jc w:val="center"/>
        <w:rPr>
          <w:rFonts w:hint="eastAsia" w:ascii="方正黑体_GBK" w:hAnsi="方正黑体_GBK" w:eastAsia="方正黑体_GBK" w:cs="方正黑体_GBK"/>
          <w:b/>
          <w:bCs/>
          <w:sz w:val="24"/>
          <w:lang w:val="zh-CN"/>
        </w:rPr>
      </w:pPr>
      <w:r>
        <w:rPr>
          <w:rFonts w:hint="eastAsia" w:ascii="方正黑体_GBK" w:hAnsi="方正黑体_GBK" w:eastAsia="方正黑体_GBK" w:cs="方正黑体_GBK"/>
          <w:b/>
          <w:bCs/>
          <w:kern w:val="0"/>
          <w:sz w:val="24"/>
          <w:lang w:bidi="ar"/>
        </w:rPr>
        <w:t>表3.4-1不同水平年份采煤沉陷面积、深度及蓄水容积</w:t>
      </w:r>
    </w:p>
    <w:tbl>
      <w:tblPr>
        <w:tblStyle w:val="12"/>
        <w:tblW w:w="0" w:type="auto"/>
        <w:jc w:val="center"/>
        <w:tblLayout w:type="fixed"/>
        <w:tblCellMar>
          <w:top w:w="15" w:type="dxa"/>
          <w:left w:w="15" w:type="dxa"/>
          <w:bottom w:w="15" w:type="dxa"/>
          <w:right w:w="15" w:type="dxa"/>
        </w:tblCellMar>
      </w:tblPr>
      <w:tblGrid>
        <w:gridCol w:w="1080"/>
        <w:gridCol w:w="1800"/>
        <w:gridCol w:w="1455"/>
        <w:gridCol w:w="1635"/>
        <w:gridCol w:w="2805"/>
      </w:tblGrid>
      <w:tr>
        <w:tblPrEx>
          <w:tblCellMar>
            <w:top w:w="15" w:type="dxa"/>
            <w:left w:w="15" w:type="dxa"/>
            <w:bottom w:w="15"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时段</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指标</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沉陷面积(km</w:t>
            </w:r>
            <w:r>
              <w:rPr>
                <w:rStyle w:val="23"/>
                <w:rFonts w:hint="default" w:ascii="Times New Roman" w:hAnsi="Times New Roman" w:eastAsia="方正仿宋_GBK" w:cs="Times New Roman"/>
                <w:color w:val="auto"/>
                <w:sz w:val="21"/>
                <w:szCs w:val="21"/>
                <w:vertAlign w:val="superscript"/>
                <w:lang w:bidi="ar"/>
              </w:rPr>
              <w:t>2</w:t>
            </w:r>
            <w:r>
              <w:rPr>
                <w:rStyle w:val="22"/>
                <w:rFonts w:hint="default" w:ascii="Times New Roman" w:hAnsi="Times New Roman" w:eastAsia="方正仿宋_GBK" w:cs="Times New Roman"/>
                <w:color w:val="auto"/>
                <w:sz w:val="21"/>
                <w:szCs w:val="21"/>
                <w:lang w:bidi="ar"/>
              </w:rPr>
              <w:t>)</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最大下沉（m）</w:t>
            </w:r>
          </w:p>
        </w:tc>
        <w:tc>
          <w:tcPr>
            <w:tcW w:w="28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沉陷盆地容积(k</w:t>
            </w:r>
            <w:r>
              <w:rPr>
                <w:rFonts w:hint="default" w:ascii="Times New Roman" w:hAnsi="Times New Roman" w:eastAsia="方正仿宋_GBK" w:cs="Times New Roman"/>
                <w:kern w:val="0"/>
                <w:szCs w:val="21"/>
                <w:lang w:eastAsia="zh-CN" w:bidi="ar"/>
              </w:rPr>
              <w:t>m³</w:t>
            </w:r>
            <w:r>
              <w:rPr>
                <w:rStyle w:val="22"/>
                <w:rFonts w:hint="default" w:ascii="Times New Roman" w:hAnsi="Times New Roman" w:eastAsia="方正仿宋_GBK" w:cs="Times New Roman"/>
                <w:color w:val="auto"/>
                <w:sz w:val="21"/>
                <w:szCs w:val="21"/>
                <w:lang w:bidi="ar"/>
              </w:rPr>
              <w:t>)</w:t>
            </w:r>
          </w:p>
        </w:tc>
      </w:tr>
      <w:tr>
        <w:tblPrEx>
          <w:tblCellMar>
            <w:top w:w="15" w:type="dxa"/>
            <w:left w:w="15" w:type="dxa"/>
            <w:bottom w:w="15"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2015年</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基准值</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171.02</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20.0</w:t>
            </w:r>
          </w:p>
        </w:tc>
        <w:tc>
          <w:tcPr>
            <w:tcW w:w="28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7.55</w:t>
            </w:r>
          </w:p>
        </w:tc>
      </w:tr>
      <w:tr>
        <w:tblPrEx>
          <w:tblCellMar>
            <w:top w:w="15" w:type="dxa"/>
            <w:left w:w="15" w:type="dxa"/>
            <w:bottom w:w="15" w:type="dxa"/>
            <w:right w:w="15" w:type="dxa"/>
          </w:tblCellMar>
        </w:tblPrEx>
        <w:trPr>
          <w:trHeight w:val="285"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2020年</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预测最大值</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210</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w:t>
            </w:r>
          </w:p>
        </w:tc>
        <w:tc>
          <w:tcPr>
            <w:tcW w:w="28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11.21</w:t>
            </w:r>
          </w:p>
        </w:tc>
      </w:tr>
      <w:tr>
        <w:tblPrEx>
          <w:tblCellMar>
            <w:top w:w="15" w:type="dxa"/>
            <w:left w:w="15" w:type="dxa"/>
            <w:bottom w:w="15" w:type="dxa"/>
            <w:right w:w="15"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预计变化范围</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182～210</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11.7～20</w:t>
            </w:r>
          </w:p>
        </w:tc>
        <w:tc>
          <w:tcPr>
            <w:tcW w:w="28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7.65～11.21</w:t>
            </w:r>
          </w:p>
        </w:tc>
      </w:tr>
      <w:tr>
        <w:tblPrEx>
          <w:tblCellMar>
            <w:top w:w="15" w:type="dxa"/>
            <w:left w:w="15" w:type="dxa"/>
            <w:bottom w:w="15" w:type="dxa"/>
            <w:right w:w="15"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均值</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196</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15.85</w:t>
            </w:r>
          </w:p>
        </w:tc>
        <w:tc>
          <w:tcPr>
            <w:tcW w:w="28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9.43</w:t>
            </w:r>
          </w:p>
        </w:tc>
      </w:tr>
      <w:tr>
        <w:tblPrEx>
          <w:tblCellMar>
            <w:top w:w="15" w:type="dxa"/>
            <w:left w:w="15" w:type="dxa"/>
            <w:bottom w:w="15" w:type="dxa"/>
            <w:right w:w="15" w:type="dxa"/>
          </w:tblCellMar>
        </w:tblPrEx>
        <w:trPr>
          <w:trHeight w:val="285"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2030年</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预测最大值</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339.3</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15.2</w:t>
            </w:r>
          </w:p>
        </w:tc>
        <w:tc>
          <w:tcPr>
            <w:tcW w:w="28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12.02</w:t>
            </w:r>
          </w:p>
        </w:tc>
      </w:tr>
      <w:tr>
        <w:tblPrEx>
          <w:tblCellMar>
            <w:top w:w="15" w:type="dxa"/>
            <w:left w:w="15" w:type="dxa"/>
            <w:bottom w:w="15" w:type="dxa"/>
            <w:right w:w="15"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预计变化范围</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271.4～339.3</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13.7～20</w:t>
            </w:r>
          </w:p>
        </w:tc>
        <w:tc>
          <w:tcPr>
            <w:tcW w:w="28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10.82～12.02</w:t>
            </w:r>
          </w:p>
        </w:tc>
      </w:tr>
      <w:tr>
        <w:tblPrEx>
          <w:tblCellMar>
            <w:top w:w="15" w:type="dxa"/>
            <w:left w:w="15" w:type="dxa"/>
            <w:bottom w:w="15" w:type="dxa"/>
            <w:right w:w="15"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均值</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305.4</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15.85</w:t>
            </w:r>
          </w:p>
        </w:tc>
        <w:tc>
          <w:tcPr>
            <w:tcW w:w="28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11.42</w:t>
            </w:r>
          </w:p>
        </w:tc>
      </w:tr>
      <w:tr>
        <w:tblPrEx>
          <w:tblCellMar>
            <w:top w:w="15" w:type="dxa"/>
            <w:left w:w="15" w:type="dxa"/>
            <w:bottom w:w="15" w:type="dxa"/>
            <w:right w:w="15" w:type="dxa"/>
          </w:tblCellMar>
        </w:tblPrEx>
        <w:trPr>
          <w:trHeight w:val="285"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2050年</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预测最大值</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462.9</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19.3</w:t>
            </w:r>
          </w:p>
        </w:tc>
        <w:tc>
          <w:tcPr>
            <w:tcW w:w="28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20.52</w:t>
            </w:r>
          </w:p>
        </w:tc>
      </w:tr>
      <w:tr>
        <w:tblPrEx>
          <w:tblCellMar>
            <w:top w:w="15" w:type="dxa"/>
            <w:left w:w="15" w:type="dxa"/>
            <w:bottom w:w="15" w:type="dxa"/>
            <w:right w:w="15"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预计变化范围</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453.6～462.9</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17.4～20</w:t>
            </w:r>
          </w:p>
        </w:tc>
        <w:tc>
          <w:tcPr>
            <w:tcW w:w="28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18.47～20.52</w:t>
            </w:r>
          </w:p>
        </w:tc>
      </w:tr>
      <w:tr>
        <w:tblPrEx>
          <w:tblCellMar>
            <w:top w:w="15" w:type="dxa"/>
            <w:left w:w="15" w:type="dxa"/>
            <w:bottom w:w="15" w:type="dxa"/>
            <w:right w:w="15"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均值</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458.3</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18.7</w:t>
            </w:r>
          </w:p>
        </w:tc>
        <w:tc>
          <w:tcPr>
            <w:tcW w:w="28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19.5</w:t>
            </w:r>
          </w:p>
        </w:tc>
      </w:tr>
      <w:tr>
        <w:tblPrEx>
          <w:tblCellMar>
            <w:top w:w="15" w:type="dxa"/>
            <w:left w:w="15" w:type="dxa"/>
            <w:bottom w:w="15" w:type="dxa"/>
            <w:right w:w="15" w:type="dxa"/>
          </w:tblCellMar>
        </w:tblPrEx>
        <w:trPr>
          <w:trHeight w:val="285"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最终</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预测最大值</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686.3</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21.1</w:t>
            </w:r>
          </w:p>
        </w:tc>
        <w:tc>
          <w:tcPr>
            <w:tcW w:w="28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151.19</w:t>
            </w:r>
          </w:p>
        </w:tc>
      </w:tr>
      <w:tr>
        <w:tblPrEx>
          <w:tblCellMar>
            <w:top w:w="15" w:type="dxa"/>
            <w:left w:w="15" w:type="dxa"/>
            <w:bottom w:w="15" w:type="dxa"/>
            <w:right w:w="15"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预计变化范围</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672.6～686.3</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19.0～21.1</w:t>
            </w:r>
          </w:p>
        </w:tc>
        <w:tc>
          <w:tcPr>
            <w:tcW w:w="28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136.07～151.19</w:t>
            </w:r>
          </w:p>
        </w:tc>
      </w:tr>
      <w:tr>
        <w:tblPrEx>
          <w:tblCellMar>
            <w:top w:w="15" w:type="dxa"/>
            <w:left w:w="15" w:type="dxa"/>
            <w:bottom w:w="15" w:type="dxa"/>
            <w:right w:w="15"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均值</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679.5</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20.1</w:t>
            </w:r>
          </w:p>
        </w:tc>
        <w:tc>
          <w:tcPr>
            <w:tcW w:w="28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143.63</w:t>
            </w:r>
          </w:p>
        </w:tc>
      </w:tr>
    </w:tbl>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lang w:val="zh-CN"/>
        </w:rPr>
      </w:pPr>
      <w:r>
        <w:rPr>
          <w:rFonts w:hint="default" w:ascii="Times New Roman" w:hAnsi="Times New Roman" w:eastAsia="方正仿宋_GBK" w:cs="Times New Roman"/>
          <w:sz w:val="32"/>
          <w:szCs w:val="32"/>
          <w:lang w:val="zh-CN"/>
        </w:rPr>
        <w:t>根据预计结果，得出潘谢矿区煤层群开采的沉陷特点：前期开采沉陷面积增</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lang w:val="zh-CN"/>
        </w:rPr>
      </w:pPr>
      <w:r>
        <w:rPr>
          <w:rFonts w:hint="default" w:ascii="Times New Roman" w:hAnsi="Times New Roman" w:eastAsia="方正仿宋_GBK" w:cs="Times New Roman"/>
          <w:sz w:val="32"/>
          <w:szCs w:val="32"/>
          <w:lang w:val="zh-CN"/>
        </w:rPr>
        <w:t>加快，后期沉陷面积增加慢，但积水容积增加多。每采1万t煤，沉陷面积随着矿井多煤层重复采动的影响越来越小，趋于1.32亩/万吨；而每采1万t煤，积水面积则越来越大，趋于5318m³ /万t，据此推算，每采1m³煤，地面可积水0.745m³。预计到2020年，累计采煤沉陷面积为186.7km2，其中积水面积112.65km2。沉陷的农用地面积约165.1km2（其中耕地面积约123.9km2），建设用地约19.5km2，未利用土地约2.2km2。到2030年，累计采煤沉陷面积为275.2km2，其中积水面积195.40km2。沉陷的农用地面积约243.2km2（其中耕地面积约182.4km2），建设用地约28.7km2，未利用地约3.3km2。</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lang w:val="zh-CN"/>
        </w:rPr>
      </w:pPr>
      <w:r>
        <w:rPr>
          <w:rFonts w:hint="default" w:ascii="Times New Roman" w:hAnsi="Times New Roman" w:eastAsia="方正仿宋_GBK" w:cs="Times New Roman"/>
          <w:sz w:val="32"/>
          <w:szCs w:val="32"/>
          <w:lang w:val="zh-CN"/>
        </w:rPr>
        <w:t>未来15年，由于采煤影响，西淝河及其支流港河、济河等河流范围内，将形成较大面积的沉陷区和积水区，沉陷积水区域与主要水系相连，将形成大范围的湖泊群。</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lang w:val="zh-CN"/>
        </w:rPr>
      </w:pPr>
      <w:r>
        <w:rPr>
          <w:rFonts w:hint="default" w:ascii="Times New Roman" w:hAnsi="Times New Roman" w:eastAsia="方正仿宋_GBK" w:cs="Times New Roman"/>
          <w:sz w:val="32"/>
          <w:szCs w:val="32"/>
          <w:lang w:val="zh-CN"/>
        </w:rPr>
        <w:t>2030年后西淝河及其支流港河、济河以及泥河、架河等区域的采煤沉陷区将连成片，沉陷积水区域与水系下游洼地相连，将形成较大范围的沉陷区和积水区。到2050年，高程22.0m以下蓄水库容约46.0亿m³；到2135年，-1500m以上煤层全部采完后（约130年后），地表总下沉量约23m，届时塌陷面积1500 km2，积水区面积约930km2，最大积水深度超过20m，高程（85黄海）22.0m 以下蓄水库容超过95亿m³。</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lang w:val="zh-CN"/>
        </w:rPr>
      </w:pPr>
      <w:r>
        <w:rPr>
          <w:rFonts w:hint="default" w:ascii="Times New Roman" w:hAnsi="Times New Roman" w:eastAsia="方正仿宋_GBK" w:cs="Times New Roman"/>
          <w:sz w:val="32"/>
          <w:szCs w:val="32"/>
          <w:lang w:val="zh-CN"/>
        </w:rPr>
        <w:t>淮河中游的蓄水空间不足，致使分蓄洪水、蓄滞内涝水、调蓄水资源能力都显不足，淮南煤田煤炭开采沉陷在紧临淮河以北地区形成巨大的蓄水空间，正好弥补了中游蓄水空间的先天不足。因此，针对淮河中游存在问题，统筹考虑采煤沉陷区治理利用与淮河治理和沿淮淮北地区社会经济发展条件的需求，因势利导利用采煤沉陷区的蓄水空间建设平原水库，变沉陷区为宝，最大限度地减少煤炭开采沉陷的不利影响，发挥水库在蓄滞洪涝水、调蓄水资源的作用，提高区域防洪、除涝和水资源保障的能力，并改善区域生态环境等具有十分实际意义。</w:t>
      </w:r>
    </w:p>
    <w:p>
      <w:pPr>
        <w:pStyle w:val="5"/>
        <w:keepNext w:val="0"/>
        <w:keepLines w:val="0"/>
        <w:pageBreakBefore w:val="0"/>
        <w:widowControl w:val="0"/>
        <w:kinsoku/>
        <w:wordWrap/>
        <w:overflowPunct/>
        <w:autoSpaceDE/>
        <w:autoSpaceDN/>
        <w:bidi w:val="0"/>
        <w:spacing w:line="590" w:lineRule="exact"/>
        <w:ind w:firstLine="562"/>
        <w:rPr>
          <w:rFonts w:hint="default" w:ascii="Times New Roman" w:hAnsi="Times New Roman" w:eastAsia="方正楷体_GBK" w:cs="Times New Roman"/>
          <w:b w:val="0"/>
          <w:bCs/>
          <w:sz w:val="32"/>
          <w:szCs w:val="32"/>
          <w:lang w:val="zh-CN"/>
        </w:rPr>
      </w:pPr>
      <w:bookmarkStart w:id="137" w:name="_Toc28687"/>
      <w:bookmarkStart w:id="138" w:name="_Toc7972"/>
      <w:bookmarkStart w:id="139" w:name="_Toc31132"/>
      <w:r>
        <w:rPr>
          <w:rFonts w:hint="default" w:ascii="Times New Roman" w:hAnsi="Times New Roman" w:eastAsia="方正楷体_GBK" w:cs="Times New Roman"/>
          <w:b w:val="0"/>
          <w:bCs/>
          <w:sz w:val="32"/>
          <w:szCs w:val="32"/>
          <w:lang w:val="zh-CN"/>
        </w:rPr>
        <w:t>五、湿地生态功能退化问题</w:t>
      </w:r>
      <w:bookmarkEnd w:id="137"/>
      <w:bookmarkEnd w:id="138"/>
      <w:bookmarkEnd w:id="139"/>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lang w:val="zh-CN"/>
        </w:rPr>
      </w:pPr>
      <w:r>
        <w:rPr>
          <w:rFonts w:hint="default" w:ascii="Times New Roman" w:hAnsi="Times New Roman" w:eastAsia="方正仿宋_GBK" w:cs="Times New Roman"/>
          <w:sz w:val="32"/>
          <w:szCs w:val="32"/>
          <w:lang w:val="zh-CN"/>
        </w:rPr>
        <w:t>淮南市境内湿地面积约692.1km2，占国土面积的12.4%。其中，天然湿地面积约172.4km2，人工湿地面积约519.7km2，百分比分别为24.9%、75.1%。境内重要湿地有：瓦埠湖、焦岗湖、高塘湖、煤矿塌陷区、安丰塘水库、花果水库、大井水库、东淝河等。</w:t>
      </w:r>
    </w:p>
    <w:p>
      <w:pPr>
        <w:spacing w:line="360" w:lineRule="auto"/>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表3.4-2  淮南市湿地类型调查成果表</w:t>
      </w:r>
    </w:p>
    <w:tbl>
      <w:tblPr>
        <w:tblStyle w:val="12"/>
        <w:tblW w:w="0" w:type="auto"/>
        <w:jc w:val="center"/>
        <w:tblLayout w:type="fixed"/>
        <w:tblCellMar>
          <w:top w:w="0" w:type="dxa"/>
          <w:left w:w="108" w:type="dxa"/>
          <w:bottom w:w="0" w:type="dxa"/>
          <w:right w:w="108" w:type="dxa"/>
        </w:tblCellMar>
      </w:tblPr>
      <w:tblGrid>
        <w:gridCol w:w="1090"/>
        <w:gridCol w:w="2184"/>
        <w:gridCol w:w="2543"/>
        <w:gridCol w:w="2543"/>
      </w:tblGrid>
      <w:tr>
        <w:tblPrEx>
          <w:tblCellMar>
            <w:top w:w="0" w:type="dxa"/>
            <w:left w:w="108" w:type="dxa"/>
            <w:bottom w:w="0" w:type="dxa"/>
            <w:right w:w="108" w:type="dxa"/>
          </w:tblCellMar>
        </w:tblPrEx>
        <w:trPr>
          <w:trHeight w:val="341" w:hRule="atLeast"/>
          <w:jc w:val="center"/>
        </w:trPr>
        <w:tc>
          <w:tcPr>
            <w:tcW w:w="1090" w:type="dxa"/>
            <w:tcBorders>
              <w:top w:val="single" w:color="auto" w:sz="4" w:space="0"/>
              <w:left w:val="single" w:color="auto" w:sz="4" w:space="0"/>
              <w:bottom w:val="nil"/>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湿地系统</w:t>
            </w:r>
          </w:p>
        </w:tc>
        <w:tc>
          <w:tcPr>
            <w:tcW w:w="2184" w:type="dxa"/>
            <w:tcBorders>
              <w:top w:val="single" w:color="auto" w:sz="4" w:space="0"/>
              <w:left w:val="nil"/>
              <w:bottom w:val="nil"/>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湿地类型</w:t>
            </w:r>
          </w:p>
        </w:tc>
        <w:tc>
          <w:tcPr>
            <w:tcW w:w="2543"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面积（km</w:t>
            </w:r>
            <w:r>
              <w:rPr>
                <w:rFonts w:hint="default" w:ascii="Times New Roman" w:hAnsi="Times New Roman" w:eastAsia="方正仿宋_GBK" w:cs="Times New Roman"/>
                <w:kern w:val="0"/>
                <w:szCs w:val="21"/>
                <w:vertAlign w:val="superscript"/>
              </w:rPr>
              <w:t>2</w:t>
            </w:r>
            <w:r>
              <w:rPr>
                <w:rFonts w:hint="default" w:ascii="Times New Roman" w:hAnsi="Times New Roman" w:eastAsia="方正仿宋_GBK" w:cs="Times New Roman"/>
                <w:kern w:val="0"/>
                <w:szCs w:val="21"/>
              </w:rPr>
              <w:t>）</w:t>
            </w:r>
          </w:p>
        </w:tc>
        <w:tc>
          <w:tcPr>
            <w:tcW w:w="2543" w:type="dxa"/>
            <w:tcBorders>
              <w:top w:val="single" w:color="auto" w:sz="4" w:space="0"/>
              <w:left w:val="nil"/>
              <w:bottom w:val="nil"/>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百分比（%）</w:t>
            </w:r>
          </w:p>
        </w:tc>
      </w:tr>
      <w:tr>
        <w:tblPrEx>
          <w:tblCellMar>
            <w:top w:w="0" w:type="dxa"/>
            <w:left w:w="108" w:type="dxa"/>
            <w:bottom w:w="0" w:type="dxa"/>
            <w:right w:w="108" w:type="dxa"/>
          </w:tblCellMar>
        </w:tblPrEx>
        <w:trPr>
          <w:trHeight w:val="341" w:hRule="atLeast"/>
          <w:jc w:val="center"/>
        </w:trPr>
        <w:tc>
          <w:tcPr>
            <w:tcW w:w="109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天然湿地</w:t>
            </w:r>
          </w:p>
        </w:tc>
        <w:tc>
          <w:tcPr>
            <w:tcW w:w="2184"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天然河流</w:t>
            </w:r>
          </w:p>
        </w:tc>
        <w:tc>
          <w:tcPr>
            <w:tcW w:w="25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62.4</w:t>
            </w:r>
          </w:p>
        </w:tc>
        <w:tc>
          <w:tcPr>
            <w:tcW w:w="2543"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 xml:space="preserve">9.0 </w:t>
            </w:r>
          </w:p>
        </w:tc>
      </w:tr>
      <w:tr>
        <w:tblPrEx>
          <w:tblCellMar>
            <w:top w:w="0" w:type="dxa"/>
            <w:left w:w="108" w:type="dxa"/>
            <w:bottom w:w="0" w:type="dxa"/>
            <w:right w:w="108" w:type="dxa"/>
          </w:tblCellMar>
        </w:tblPrEx>
        <w:trPr>
          <w:trHeight w:val="341" w:hRule="atLeast"/>
          <w:jc w:val="center"/>
        </w:trPr>
        <w:tc>
          <w:tcPr>
            <w:tcW w:w="109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218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天然湖泊</w:t>
            </w:r>
          </w:p>
        </w:tc>
        <w:tc>
          <w:tcPr>
            <w:tcW w:w="25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110</w:t>
            </w:r>
          </w:p>
        </w:tc>
        <w:tc>
          <w:tcPr>
            <w:tcW w:w="25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 xml:space="preserve">15.9 </w:t>
            </w:r>
          </w:p>
        </w:tc>
      </w:tr>
      <w:tr>
        <w:tblPrEx>
          <w:tblCellMar>
            <w:top w:w="0" w:type="dxa"/>
            <w:left w:w="108" w:type="dxa"/>
            <w:bottom w:w="0" w:type="dxa"/>
            <w:right w:w="108" w:type="dxa"/>
          </w:tblCellMar>
        </w:tblPrEx>
        <w:trPr>
          <w:trHeight w:val="341" w:hRule="atLeast"/>
          <w:jc w:val="center"/>
        </w:trPr>
        <w:tc>
          <w:tcPr>
            <w:tcW w:w="109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218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小计</w:t>
            </w:r>
          </w:p>
        </w:tc>
        <w:tc>
          <w:tcPr>
            <w:tcW w:w="25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172.4</w:t>
            </w:r>
          </w:p>
        </w:tc>
        <w:tc>
          <w:tcPr>
            <w:tcW w:w="25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 xml:space="preserve">24.9 </w:t>
            </w:r>
          </w:p>
        </w:tc>
      </w:tr>
      <w:tr>
        <w:tblPrEx>
          <w:tblCellMar>
            <w:top w:w="0" w:type="dxa"/>
            <w:left w:w="108" w:type="dxa"/>
            <w:bottom w:w="0" w:type="dxa"/>
            <w:right w:w="108" w:type="dxa"/>
          </w:tblCellMar>
        </w:tblPrEx>
        <w:trPr>
          <w:trHeight w:val="341" w:hRule="atLeast"/>
          <w:jc w:val="center"/>
        </w:trPr>
        <w:tc>
          <w:tcPr>
            <w:tcW w:w="1090" w:type="dxa"/>
            <w:vMerge w:val="restart"/>
            <w:tcBorders>
              <w:top w:val="nil"/>
              <w:left w:val="single" w:color="auto" w:sz="4" w:space="0"/>
              <w:right w:val="single" w:color="auto" w:sz="4" w:space="0"/>
            </w:tcBorders>
            <w:noWrap w:val="0"/>
            <w:vAlign w:val="center"/>
          </w:tcPr>
          <w:p>
            <w:pPr>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人工湿地　</w:t>
            </w:r>
          </w:p>
        </w:tc>
        <w:tc>
          <w:tcPr>
            <w:tcW w:w="218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人工河流</w:t>
            </w:r>
          </w:p>
        </w:tc>
        <w:tc>
          <w:tcPr>
            <w:tcW w:w="25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7.5</w:t>
            </w:r>
          </w:p>
        </w:tc>
        <w:tc>
          <w:tcPr>
            <w:tcW w:w="25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 xml:space="preserve">1.1 </w:t>
            </w:r>
          </w:p>
        </w:tc>
      </w:tr>
      <w:tr>
        <w:tblPrEx>
          <w:tblCellMar>
            <w:top w:w="0" w:type="dxa"/>
            <w:left w:w="108" w:type="dxa"/>
            <w:bottom w:w="0" w:type="dxa"/>
            <w:right w:w="108" w:type="dxa"/>
          </w:tblCellMar>
        </w:tblPrEx>
        <w:trPr>
          <w:trHeight w:val="341" w:hRule="atLeast"/>
          <w:jc w:val="center"/>
        </w:trPr>
        <w:tc>
          <w:tcPr>
            <w:tcW w:w="1090" w:type="dxa"/>
            <w:vMerge w:val="continue"/>
            <w:tcBorders>
              <w:left w:val="single" w:color="auto" w:sz="4" w:space="0"/>
              <w:right w:val="single" w:color="auto" w:sz="4" w:space="0"/>
            </w:tcBorders>
            <w:noWrap w:val="0"/>
            <w:vAlign w:val="center"/>
          </w:tcPr>
          <w:p>
            <w:pPr>
              <w:jc w:val="center"/>
              <w:rPr>
                <w:rFonts w:hint="default" w:ascii="Times New Roman" w:hAnsi="Times New Roman" w:eastAsia="方正仿宋_GBK" w:cs="Times New Roman"/>
                <w:kern w:val="0"/>
                <w:szCs w:val="21"/>
              </w:rPr>
            </w:pPr>
          </w:p>
        </w:tc>
        <w:tc>
          <w:tcPr>
            <w:tcW w:w="218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水库、池塘</w:t>
            </w:r>
          </w:p>
        </w:tc>
        <w:tc>
          <w:tcPr>
            <w:tcW w:w="25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18.1</w:t>
            </w:r>
          </w:p>
        </w:tc>
        <w:tc>
          <w:tcPr>
            <w:tcW w:w="25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 xml:space="preserve">2.6 </w:t>
            </w:r>
          </w:p>
        </w:tc>
      </w:tr>
      <w:tr>
        <w:tblPrEx>
          <w:tblCellMar>
            <w:top w:w="0" w:type="dxa"/>
            <w:left w:w="108" w:type="dxa"/>
            <w:bottom w:w="0" w:type="dxa"/>
            <w:right w:w="108" w:type="dxa"/>
          </w:tblCellMar>
        </w:tblPrEx>
        <w:trPr>
          <w:trHeight w:val="341" w:hRule="atLeast"/>
          <w:jc w:val="center"/>
        </w:trPr>
        <w:tc>
          <w:tcPr>
            <w:tcW w:w="1090" w:type="dxa"/>
            <w:vMerge w:val="continue"/>
            <w:tcBorders>
              <w:left w:val="single" w:color="auto" w:sz="4" w:space="0"/>
              <w:right w:val="single" w:color="auto" w:sz="4" w:space="0"/>
            </w:tcBorders>
            <w:noWrap w:val="0"/>
            <w:vAlign w:val="center"/>
          </w:tcPr>
          <w:p>
            <w:pPr>
              <w:jc w:val="center"/>
              <w:rPr>
                <w:rFonts w:hint="default" w:ascii="Times New Roman" w:hAnsi="Times New Roman" w:eastAsia="方正仿宋_GBK" w:cs="Times New Roman"/>
                <w:kern w:val="0"/>
                <w:szCs w:val="21"/>
              </w:rPr>
            </w:pPr>
          </w:p>
        </w:tc>
        <w:tc>
          <w:tcPr>
            <w:tcW w:w="218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采煤沉陷区</w:t>
            </w:r>
          </w:p>
        </w:tc>
        <w:tc>
          <w:tcPr>
            <w:tcW w:w="25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44.1</w:t>
            </w:r>
          </w:p>
        </w:tc>
        <w:tc>
          <w:tcPr>
            <w:tcW w:w="25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 xml:space="preserve">6.4 </w:t>
            </w:r>
          </w:p>
        </w:tc>
      </w:tr>
      <w:tr>
        <w:tblPrEx>
          <w:tblCellMar>
            <w:top w:w="0" w:type="dxa"/>
            <w:left w:w="108" w:type="dxa"/>
            <w:bottom w:w="0" w:type="dxa"/>
            <w:right w:w="108" w:type="dxa"/>
          </w:tblCellMar>
        </w:tblPrEx>
        <w:trPr>
          <w:trHeight w:val="341" w:hRule="atLeast"/>
          <w:jc w:val="center"/>
        </w:trPr>
        <w:tc>
          <w:tcPr>
            <w:tcW w:w="1090" w:type="dxa"/>
            <w:vMerge w:val="continue"/>
            <w:tcBorders>
              <w:left w:val="single" w:color="auto" w:sz="4" w:space="0"/>
              <w:right w:val="single" w:color="auto" w:sz="4" w:space="0"/>
            </w:tcBorders>
            <w:noWrap w:val="0"/>
            <w:vAlign w:val="center"/>
          </w:tcPr>
          <w:p>
            <w:pPr>
              <w:jc w:val="center"/>
              <w:rPr>
                <w:rFonts w:hint="default" w:ascii="Times New Roman" w:hAnsi="Times New Roman" w:eastAsia="方正仿宋_GBK" w:cs="Times New Roman"/>
                <w:kern w:val="0"/>
                <w:szCs w:val="21"/>
              </w:rPr>
            </w:pPr>
          </w:p>
        </w:tc>
        <w:tc>
          <w:tcPr>
            <w:tcW w:w="218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水稻田</w:t>
            </w:r>
          </w:p>
        </w:tc>
        <w:tc>
          <w:tcPr>
            <w:tcW w:w="25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450</w:t>
            </w:r>
          </w:p>
        </w:tc>
        <w:tc>
          <w:tcPr>
            <w:tcW w:w="25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 xml:space="preserve">65.0 </w:t>
            </w:r>
          </w:p>
        </w:tc>
      </w:tr>
      <w:tr>
        <w:tblPrEx>
          <w:tblCellMar>
            <w:top w:w="0" w:type="dxa"/>
            <w:left w:w="108" w:type="dxa"/>
            <w:bottom w:w="0" w:type="dxa"/>
            <w:right w:w="108" w:type="dxa"/>
          </w:tblCellMar>
        </w:tblPrEx>
        <w:trPr>
          <w:trHeight w:val="341" w:hRule="atLeast"/>
          <w:jc w:val="center"/>
        </w:trPr>
        <w:tc>
          <w:tcPr>
            <w:tcW w:w="1090" w:type="dxa"/>
            <w:vMerge w:val="continue"/>
            <w:tcBorders>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218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小计</w:t>
            </w:r>
          </w:p>
        </w:tc>
        <w:tc>
          <w:tcPr>
            <w:tcW w:w="25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519.7</w:t>
            </w:r>
          </w:p>
        </w:tc>
        <w:tc>
          <w:tcPr>
            <w:tcW w:w="25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 xml:space="preserve">75.1 </w:t>
            </w:r>
          </w:p>
        </w:tc>
      </w:tr>
      <w:tr>
        <w:tblPrEx>
          <w:tblCellMar>
            <w:top w:w="0" w:type="dxa"/>
            <w:left w:w="108" w:type="dxa"/>
            <w:bottom w:w="0" w:type="dxa"/>
            <w:right w:w="108" w:type="dxa"/>
          </w:tblCellMar>
        </w:tblPrEx>
        <w:trPr>
          <w:trHeight w:val="349" w:hRule="atLeast"/>
          <w:jc w:val="center"/>
        </w:trPr>
        <w:tc>
          <w:tcPr>
            <w:tcW w:w="3274"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25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lang w:bidi="ar"/>
              </w:rPr>
              <w:t>692.1</w:t>
            </w:r>
          </w:p>
        </w:tc>
        <w:tc>
          <w:tcPr>
            <w:tcW w:w="25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lang w:bidi="ar"/>
              </w:rPr>
              <w:t xml:space="preserve">100.0 </w:t>
            </w:r>
          </w:p>
        </w:tc>
      </w:tr>
    </w:tbl>
    <w:p>
      <w:pPr>
        <w:tabs>
          <w:tab w:val="left" w:pos="525"/>
        </w:tabs>
        <w:snapToGrid w:val="0"/>
        <w:spacing w:line="360" w:lineRule="auto"/>
        <w:ind w:firstLine="482"/>
        <w:rPr>
          <w:sz w:val="24"/>
        </w:rPr>
      </w:pPr>
    </w:p>
    <w:p>
      <w:pPr>
        <w:keepNext w:val="0"/>
        <w:keepLines w:val="0"/>
        <w:pageBreakBefore w:val="0"/>
        <w:widowControl w:val="0"/>
        <w:tabs>
          <w:tab w:val="left" w:pos="525"/>
        </w:tabs>
        <w:kinsoku/>
        <w:wordWrap/>
        <w:overflowPunct/>
        <w:topLinePunct w:val="0"/>
        <w:autoSpaceDE/>
        <w:autoSpaceDN/>
        <w:bidi w:val="0"/>
        <w:snapToGrid w:val="0"/>
        <w:spacing w:line="590" w:lineRule="exact"/>
        <w:ind w:firstLine="482"/>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目前境内湿地存在的主要问题有：</w:t>
      </w:r>
    </w:p>
    <w:p>
      <w:pPr>
        <w:keepNext w:val="0"/>
        <w:keepLines w:val="0"/>
        <w:pageBreakBefore w:val="0"/>
        <w:widowControl w:val="0"/>
        <w:kinsoku/>
        <w:wordWrap/>
        <w:overflowPunct/>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（1）生物多样性下降</w:t>
      </w:r>
    </w:p>
    <w:p>
      <w:pPr>
        <w:keepNext w:val="0"/>
        <w:keepLines w:val="0"/>
        <w:pageBreakBefore w:val="0"/>
        <w:widowControl w:val="0"/>
        <w:tabs>
          <w:tab w:val="left" w:pos="525"/>
        </w:tabs>
        <w:kinsoku/>
        <w:wordWrap/>
        <w:overflowPunct/>
        <w:topLinePunct w:val="0"/>
        <w:autoSpaceDE/>
        <w:autoSpaceDN/>
        <w:bidi w:val="0"/>
        <w:snapToGrid w:val="0"/>
        <w:spacing w:line="590" w:lineRule="exact"/>
        <w:ind w:firstLine="482"/>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长期以来，由于人类活动的干扰，大量污废水排入河湖，河湖水质污染严重，水环境恶化严重，影响鱼类洄游，导致大批鱼类死亡，直接影响河湖鱼类资源，对浮游生物、底栖生物等多种鱼类饵料生物造成危害，破坏水体食物链。水生生物赖以栖息的生境改变，进而影响水生生物的繁衍与增殖，淮河珍稀鱼类蛔王鱼几乎灭绝，餐桌上几乎不见淮河里养的鱼，水生生物的多样性呈明显的下降趋势，如鱼类面临濒危物种增加、种群数量萎缩、种质资源退化等诸多问题。</w:t>
      </w:r>
    </w:p>
    <w:p>
      <w:pPr>
        <w:keepNext w:val="0"/>
        <w:keepLines w:val="0"/>
        <w:pageBreakBefore w:val="0"/>
        <w:widowControl w:val="0"/>
        <w:kinsoku/>
        <w:wordWrap/>
        <w:overflowPunct/>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（2）天然湿地萎缩，生境退化</w:t>
      </w:r>
    </w:p>
    <w:p>
      <w:pPr>
        <w:keepNext w:val="0"/>
        <w:keepLines w:val="0"/>
        <w:pageBreakBefore w:val="0"/>
        <w:widowControl w:val="0"/>
        <w:tabs>
          <w:tab w:val="left" w:pos="525"/>
        </w:tabs>
        <w:kinsoku/>
        <w:wordWrap/>
        <w:overflowPunct/>
        <w:topLinePunct w:val="0"/>
        <w:autoSpaceDE/>
        <w:autoSpaceDN/>
        <w:bidi w:val="0"/>
        <w:snapToGrid w:val="0"/>
        <w:spacing w:line="590" w:lineRule="exact"/>
        <w:ind w:firstLine="482"/>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境内水系发达，河湖众多，发育了类型多样的湿地生态系统。境内地处亚热带季风气候区，气温温和和湿润，这些湿地成就了鱼类、水禽等栖息、觅食、产卵、越冬、避害的天堂。受多方面影响，近半个世纪以来，天然湿地退化严重，湿地作为鱼类、水禽等重要栖息地的环境状况整体呈下降趋势。</w:t>
      </w:r>
    </w:p>
    <w:p>
      <w:pPr>
        <w:keepNext w:val="0"/>
        <w:keepLines w:val="0"/>
        <w:pageBreakBefore w:val="0"/>
        <w:widowControl w:val="0"/>
        <w:tabs>
          <w:tab w:val="left" w:pos="525"/>
        </w:tabs>
        <w:kinsoku/>
        <w:wordWrap/>
        <w:overflowPunct/>
        <w:topLinePunct w:val="0"/>
        <w:autoSpaceDE/>
        <w:autoSpaceDN/>
        <w:bidi w:val="0"/>
        <w:snapToGrid w:val="0"/>
        <w:spacing w:line="590" w:lineRule="exact"/>
        <w:ind w:firstLine="482"/>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由于围湖造田、环境污染以及对湿地的不合理开发，改变了原来湖沼湿地的生态系统结构，是生态系统的结构趋于简单，组成种类趋于单一，生产力降低，生态系统功能减弱；同时也导致湿地动植物生存环境的改变和破坏，使越来越多的生物物种，特别是珍稀生物失去生存空间而濒危和灭绝，物种多样性减少而使生态系统趋向简单，使系统内能流和物流中断或不畅，削弱了生态系统自我调控能力，降低了生态系统的稳定性和有序性，湿地作为鱼类、水禽等重要栖息地的环境条件正在逐步丧失。</w:t>
      </w:r>
    </w:p>
    <w:p>
      <w:pPr>
        <w:pageBreakBefore w:val="0"/>
        <w:widowControl w:val="0"/>
        <w:kinsoku/>
        <w:wordWrap/>
        <w:overflowPunct/>
        <w:autoSpaceDE/>
        <w:autoSpaceDN/>
        <w:bidi w:val="0"/>
        <w:adjustRightInd w:val="0"/>
        <w:snapToGrid w:val="0"/>
        <w:spacing w:before="93" w:beforeLines="30" w:after="93" w:afterLines="30" w:line="590" w:lineRule="exact"/>
        <w:ind w:firstLine="643" w:firstLineChars="200"/>
        <w:rPr>
          <w:rFonts w:hint="eastAsia" w:ascii="方正仿宋_GBK" w:hAnsi="方正仿宋_GBK" w:eastAsia="方正仿宋_GBK" w:cs="方正仿宋_GBK"/>
          <w:b/>
          <w:bCs w:val="0"/>
          <w:sz w:val="32"/>
          <w:szCs w:val="32"/>
        </w:rPr>
      </w:pPr>
      <w:r>
        <w:rPr>
          <w:rFonts w:hint="eastAsia" w:ascii="方正仿宋_GBK" w:hAnsi="方正仿宋_GBK" w:eastAsia="方正仿宋_GBK" w:cs="方正仿宋_GBK"/>
          <w:b/>
          <w:bCs w:val="0"/>
          <w:sz w:val="32"/>
          <w:szCs w:val="32"/>
        </w:rPr>
        <w:t>（3）水资源开发产生的影响凸显</w:t>
      </w:r>
    </w:p>
    <w:p>
      <w:pPr>
        <w:pageBreakBefore w:val="0"/>
        <w:widowControl w:val="0"/>
        <w:tabs>
          <w:tab w:val="left" w:pos="525"/>
        </w:tabs>
        <w:kinsoku/>
        <w:wordWrap/>
        <w:overflowPunct/>
        <w:autoSpaceDE/>
        <w:autoSpaceDN/>
        <w:bidi w:val="0"/>
        <w:snapToGrid w:val="0"/>
        <w:spacing w:line="590" w:lineRule="exact"/>
        <w:ind w:firstLine="48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无序开发、过度开发和不合理利用改变了河流径流的天然属性，造成河流减水、脱水，水生态环境恶化。尤其在枯水季节，河流减脱水问题突出，加上河流上闸坝林立，部分河段常处于断流状态。</w:t>
      </w:r>
    </w:p>
    <w:p>
      <w:pPr>
        <w:pageBreakBefore w:val="0"/>
        <w:widowControl w:val="0"/>
        <w:tabs>
          <w:tab w:val="left" w:pos="525"/>
        </w:tabs>
        <w:kinsoku/>
        <w:wordWrap/>
        <w:overflowPunct/>
        <w:autoSpaceDE/>
        <w:autoSpaceDN/>
        <w:bidi w:val="0"/>
        <w:snapToGrid w:val="0"/>
        <w:spacing w:line="590" w:lineRule="exact"/>
        <w:ind w:firstLine="48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境内各种水工建筑阻断了湖泊与河流的自然联系及鱼类的洄游通道，很多天然产卵场受泥沙淤积及水文条件变化而消失。使那些不能在湖中繁殖的种群无法从河流中得到补充，在水系中逐年减少乃至绝迹，引起鱼类资源的衰退。此外，滩涂围垦开发也破坏了水生生物栖息繁育的生存空间。</w:t>
      </w:r>
    </w:p>
    <w:p>
      <w:pPr>
        <w:pStyle w:val="4"/>
        <w:pageBreakBefore w:val="0"/>
        <w:widowControl w:val="0"/>
        <w:kinsoku/>
        <w:wordWrap/>
        <w:overflowPunct/>
        <w:autoSpaceDE/>
        <w:autoSpaceDN/>
        <w:bidi w:val="0"/>
        <w:spacing w:beforeAutospacing="0" w:afterAutospacing="0" w:line="590" w:lineRule="exact"/>
        <w:rPr>
          <w:rFonts w:hint="default" w:ascii="Times New Roman" w:hAnsi="Times New Roman" w:eastAsia="方正黑体_GBK" w:cs="Times New Roman"/>
          <w:b w:val="0"/>
          <w:bCs w:val="0"/>
          <w:kern w:val="21"/>
          <w:sz w:val="32"/>
          <w:szCs w:val="32"/>
        </w:rPr>
      </w:pPr>
      <w:bookmarkStart w:id="140" w:name="_Toc26084"/>
      <w:r>
        <w:rPr>
          <w:rFonts w:hint="default" w:ascii="Times New Roman" w:hAnsi="Times New Roman" w:eastAsia="方正黑体_GBK" w:cs="Times New Roman"/>
          <w:b w:val="0"/>
          <w:bCs w:val="0"/>
          <w:sz w:val="32"/>
          <w:szCs w:val="36"/>
        </w:rPr>
        <w:t>第</w:t>
      </w:r>
      <w:r>
        <w:rPr>
          <w:rFonts w:hint="default" w:ascii="Times New Roman" w:hAnsi="Times New Roman" w:eastAsia="方正黑体_GBK" w:cs="Times New Roman"/>
          <w:b w:val="0"/>
          <w:bCs w:val="0"/>
          <w:sz w:val="32"/>
          <w:szCs w:val="36"/>
          <w:lang w:eastAsia="zh-CN"/>
        </w:rPr>
        <w:t>五</w:t>
      </w:r>
      <w:r>
        <w:rPr>
          <w:rFonts w:hint="default" w:ascii="Times New Roman" w:hAnsi="Times New Roman" w:eastAsia="方正黑体_GBK" w:cs="Times New Roman"/>
          <w:b w:val="0"/>
          <w:bCs w:val="0"/>
          <w:sz w:val="32"/>
          <w:szCs w:val="36"/>
        </w:rPr>
        <w:t>节  水资源及其开发利用评价</w:t>
      </w:r>
      <w:bookmarkEnd w:id="140"/>
    </w:p>
    <w:p>
      <w:pPr>
        <w:pStyle w:val="5"/>
        <w:pageBreakBefore w:val="0"/>
        <w:widowControl w:val="0"/>
        <w:kinsoku/>
        <w:wordWrap/>
        <w:overflowPunct/>
        <w:autoSpaceDE/>
        <w:autoSpaceDN/>
        <w:bidi w:val="0"/>
        <w:spacing w:beforeAutospacing="0" w:afterAutospacing="0" w:line="590" w:lineRule="exact"/>
        <w:ind w:firstLine="562"/>
        <w:rPr>
          <w:rFonts w:hint="default" w:ascii="Times New Roman" w:hAnsi="Times New Roman" w:eastAsia="方正楷体_GBK" w:cs="Times New Roman"/>
          <w:b w:val="0"/>
          <w:bCs w:val="0"/>
          <w:sz w:val="32"/>
          <w:szCs w:val="32"/>
        </w:rPr>
      </w:pPr>
      <w:bookmarkStart w:id="141" w:name="_Toc9696"/>
      <w:r>
        <w:rPr>
          <w:rFonts w:hint="default" w:ascii="Times New Roman" w:hAnsi="Times New Roman" w:eastAsia="方正楷体_GBK" w:cs="Times New Roman"/>
          <w:b w:val="0"/>
          <w:bCs w:val="0"/>
          <w:sz w:val="32"/>
          <w:szCs w:val="32"/>
        </w:rPr>
        <w:t>一、水资源条件</w:t>
      </w:r>
      <w:bookmarkEnd w:id="141"/>
    </w:p>
    <w:p>
      <w:pPr>
        <w:pageBreakBefore w:val="0"/>
        <w:widowControl w:val="0"/>
        <w:tabs>
          <w:tab w:val="left" w:pos="525"/>
        </w:tabs>
        <w:kinsoku/>
        <w:wordWrap/>
        <w:overflowPunct/>
        <w:autoSpaceDE/>
        <w:autoSpaceDN/>
        <w:bidi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淮南市多年平均水资源总量16.53亿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，约占全省总量716.11亿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的2.3%，占全省淮河流域总量226.14亿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的7.3%。全市多年人均水资源总量481.8</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，不到全省多年人均水资源总量1086</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的二分之一。淮河以北多年平均水资源量5.82亿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，淮河以南多年平均水资源量10.71亿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。行政分区：市区多年平均水资源量2.29亿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，单位面积产水模数25.5万</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/km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sz w:val="32"/>
          <w:szCs w:val="32"/>
        </w:rPr>
        <w:t>；凤台县、毛集区多年平均水资源量3.76亿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，单位面积产水模数34.2万</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/km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sz w:val="32"/>
          <w:szCs w:val="32"/>
        </w:rPr>
        <w:t>；潘集区多年平均水资源量2.18亿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，单位面积产水模数36.3万</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/km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sz w:val="32"/>
          <w:szCs w:val="32"/>
        </w:rPr>
        <w:t>；寿县多年平均水资源量8.30亿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，单位面积产水模数27.8万</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/km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sz w:val="32"/>
          <w:szCs w:val="32"/>
        </w:rPr>
        <w:t>；总量寿县占全市的1/2，单位面积产水模数凤台县、潘集区高于淮南市市区和寿县。</w:t>
      </w:r>
    </w:p>
    <w:p>
      <w:pPr>
        <w:pageBreakBefore w:val="0"/>
        <w:widowControl w:val="0"/>
        <w:kinsoku/>
        <w:wordWrap/>
        <w:overflowPunct/>
        <w:autoSpaceDE/>
        <w:autoSpaceDN/>
        <w:bidi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淮南市境内浅层地下水资源量5.75亿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，重复计算量3.28亿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，中深层地下水资源量2.34亿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，浅、中深层地下水可利用量分别为4.14亿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、1.55亿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w:t>
      </w:r>
    </w:p>
    <w:p>
      <w:pPr>
        <w:pageBreakBefore w:val="0"/>
        <w:widowControl w:val="0"/>
        <w:tabs>
          <w:tab w:val="left" w:pos="525"/>
        </w:tabs>
        <w:kinsoku/>
        <w:wordWrap/>
        <w:overflowPunct/>
        <w:autoSpaceDE/>
        <w:autoSpaceDN/>
        <w:bidi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淮南市当地地表水水资源多年平均可利用量7.35亿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，淮河干流多年平均过境水资源可利用量为41.08亿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（为阜阳、淮南、亳州、蚌埠共用水）。此外，有瓦埠湖、高塘湖等尚有一定的过境水资源可利用量。</w:t>
      </w:r>
    </w:p>
    <w:p>
      <w:pPr>
        <w:pStyle w:val="5"/>
        <w:pageBreakBefore w:val="0"/>
        <w:widowControl w:val="0"/>
        <w:kinsoku/>
        <w:wordWrap/>
        <w:overflowPunct/>
        <w:autoSpaceDE/>
        <w:autoSpaceDN/>
        <w:bidi w:val="0"/>
        <w:spacing w:beforeAutospacing="0" w:afterAutospacing="0" w:line="590" w:lineRule="exact"/>
        <w:ind w:firstLine="562"/>
        <w:rPr>
          <w:rFonts w:hint="eastAsia" w:ascii="方正楷体_GBK" w:hAnsi="方正楷体_GBK" w:eastAsia="方正楷体_GBK" w:cs="方正楷体_GBK"/>
          <w:b w:val="0"/>
          <w:bCs w:val="0"/>
          <w:sz w:val="32"/>
          <w:szCs w:val="32"/>
        </w:rPr>
      </w:pPr>
      <w:bookmarkStart w:id="142" w:name="_Toc312309855"/>
      <w:bookmarkStart w:id="143" w:name="_Toc16097"/>
      <w:r>
        <w:rPr>
          <w:rFonts w:hint="eastAsia" w:ascii="方正楷体_GBK" w:hAnsi="方正楷体_GBK" w:eastAsia="方正楷体_GBK" w:cs="方正楷体_GBK"/>
          <w:b w:val="0"/>
          <w:bCs w:val="0"/>
          <w:sz w:val="32"/>
          <w:szCs w:val="32"/>
        </w:rPr>
        <w:t>二、</w:t>
      </w:r>
      <w:bookmarkEnd w:id="142"/>
      <w:r>
        <w:rPr>
          <w:rFonts w:hint="eastAsia" w:ascii="方正楷体_GBK" w:hAnsi="方正楷体_GBK" w:eastAsia="方正楷体_GBK" w:cs="方正楷体_GBK"/>
          <w:b w:val="0"/>
          <w:bCs w:val="0"/>
          <w:sz w:val="32"/>
          <w:szCs w:val="32"/>
        </w:rPr>
        <w:t>供用水趋势</w:t>
      </w:r>
      <w:bookmarkEnd w:id="143"/>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（1）供水设施不断完善，供水能力明显提高</w:t>
      </w:r>
    </w:p>
    <w:p>
      <w:pPr>
        <w:pageBreakBefore w:val="0"/>
        <w:widowControl w:val="0"/>
        <w:kinsoku/>
        <w:wordWrap/>
        <w:overflowPunct/>
        <w:autoSpaceDE/>
        <w:autoSpaceDN/>
        <w:bidi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不断加强蓄水工程、引水工程、提水工程等多层次的供水设施的建设步伐，截止到2015年底淮南市已建成各类涵闸465余座，全市机电排灌站1723处，总装机容量25.3万kw，万亩以上灌区20处，中型涵闸15座，中小型水库184座。全市现有规模以上的取水口266个，取水能力可达16.0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；规模以下取水口123个，取水能力可达0.08亿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。相对完善的供水设施，有力地保障了淮南市社会经济的快速发展对用水的需求。</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（2）用水总量较大，城市用水占总用水量比例高</w:t>
      </w:r>
    </w:p>
    <w:p>
      <w:pPr>
        <w:pageBreakBefore w:val="0"/>
        <w:widowControl w:val="0"/>
        <w:kinsoku/>
        <w:wordWrap/>
        <w:overflowPunct/>
        <w:autoSpaceDE/>
        <w:autoSpaceDN/>
        <w:bidi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近6年淮南市年总用水量平均为20.59亿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，2015年全市总用水量18.05亿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，占当年安徽省淮河流域总用水量的19.4%。总用水量中，城市用水比例高，每年城市用水占全市总用水量基本上都在15.6%以上。</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（3）煤城能源优势明显，火力发电用水需求较高</w:t>
      </w:r>
    </w:p>
    <w:p>
      <w:pPr>
        <w:pageBreakBefore w:val="0"/>
        <w:widowControl w:val="0"/>
        <w:kinsoku/>
        <w:wordWrap/>
        <w:overflowPunct/>
        <w:autoSpaceDE/>
        <w:autoSpaceDN/>
        <w:bidi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淮南市火电用水量大，是造成占全省及流域比例高的主要原因；到2015年末，全市火电总装机1169万kW，约占全省总装机26.7%，约占全省淮河流域总装机的63.4%；火电用水量1.70亿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，占全市用水总量的9.4%，占工业用水总量的60.5%。</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（4）城镇化率不断上升，城镇生活用水增长迅速</w:t>
      </w:r>
    </w:p>
    <w:p>
      <w:pPr>
        <w:pageBreakBefore w:val="0"/>
        <w:widowControl w:val="0"/>
        <w:kinsoku/>
        <w:wordWrap/>
        <w:overflowPunct/>
        <w:autoSpaceDE/>
        <w:autoSpaceDN/>
        <w:bidi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2010年全市城镇生活用水量1.11亿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，占全市当年总用水量的4.0%；2015年城镇生活用水量达1.53亿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，占全市全年总用水量的6.6%，年平均增长率达到5.5%。农村生活用水量变化不大，2015年农村生活用水量0.41亿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，农村生活多年平均用水量0.75亿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w:t>
      </w:r>
    </w:p>
    <w:p>
      <w:pPr>
        <w:pStyle w:val="3"/>
        <w:pageBreakBefore w:val="0"/>
        <w:widowControl w:val="0"/>
        <w:kinsoku/>
        <w:wordWrap/>
        <w:overflowPunct/>
        <w:autoSpaceDE/>
        <w:autoSpaceDN/>
        <w:bidi w:val="0"/>
        <w:adjustRightInd/>
        <w:snapToGrid/>
        <w:spacing w:before="0" w:beforeAutospacing="0" w:after="0" w:afterAutospacing="0" w:line="590" w:lineRule="exact"/>
        <w:jc w:val="center"/>
        <w:rPr>
          <w:rStyle w:val="16"/>
          <w:rFonts w:hint="default" w:ascii="Times New Roman" w:hAnsi="Times New Roman" w:eastAsia="方正小标宋_GBK" w:cs="Times New Roman"/>
          <w:b w:val="0"/>
          <w:bCs w:val="0"/>
          <w:sz w:val="44"/>
          <w:szCs w:val="44"/>
        </w:rPr>
      </w:pPr>
      <w:r>
        <w:rPr>
          <w:rStyle w:val="16"/>
          <w:rFonts w:hint="default" w:ascii="Times New Roman" w:hAnsi="Times New Roman" w:cs="Times New Roman"/>
          <w:b/>
          <w:szCs w:val="36"/>
        </w:rPr>
        <w:br w:type="page"/>
      </w:r>
      <w:bookmarkStart w:id="144" w:name="_Toc29355"/>
      <w:r>
        <w:rPr>
          <w:rStyle w:val="16"/>
          <w:rFonts w:hint="default" w:ascii="Times New Roman" w:hAnsi="Times New Roman" w:eastAsia="方正小标宋_GBK" w:cs="Times New Roman"/>
          <w:b w:val="0"/>
          <w:bCs w:val="0"/>
          <w:sz w:val="44"/>
          <w:szCs w:val="44"/>
        </w:rPr>
        <w:t>第四章  水资源需求预测</w:t>
      </w:r>
      <w:bookmarkEnd w:id="144"/>
    </w:p>
    <w:p>
      <w:pPr>
        <w:pStyle w:val="4"/>
        <w:pageBreakBefore w:val="0"/>
        <w:widowControl w:val="0"/>
        <w:kinsoku/>
        <w:wordWrap/>
        <w:overflowPunct/>
        <w:autoSpaceDE/>
        <w:autoSpaceDN/>
        <w:bidi w:val="0"/>
        <w:adjustRightInd/>
        <w:snapToGrid/>
        <w:spacing w:line="590" w:lineRule="exact"/>
        <w:rPr>
          <w:rFonts w:hint="default" w:ascii="Times New Roman" w:hAnsi="Times New Roman" w:eastAsia="方正黑体_GBK" w:cs="Times New Roman"/>
          <w:b w:val="0"/>
          <w:bCs w:val="0"/>
          <w:sz w:val="32"/>
          <w:szCs w:val="32"/>
        </w:rPr>
      </w:pPr>
      <w:bookmarkStart w:id="145" w:name="_Toc32219"/>
      <w:bookmarkStart w:id="146" w:name="_Toc312309862"/>
      <w:r>
        <w:rPr>
          <w:rFonts w:hint="default" w:ascii="Times New Roman" w:hAnsi="Times New Roman" w:eastAsia="方正黑体_GBK" w:cs="Times New Roman"/>
          <w:b w:val="0"/>
          <w:bCs w:val="0"/>
          <w:sz w:val="32"/>
          <w:szCs w:val="36"/>
        </w:rPr>
        <w:t>第一节  经济社会发展指标</w:t>
      </w:r>
      <w:bookmarkEnd w:id="145"/>
      <w:bookmarkEnd w:id="146"/>
    </w:p>
    <w:p>
      <w:pPr>
        <w:pStyle w:val="5"/>
        <w:pageBreakBefore w:val="0"/>
        <w:widowControl w:val="0"/>
        <w:kinsoku/>
        <w:wordWrap/>
        <w:overflowPunct/>
        <w:autoSpaceDE/>
        <w:autoSpaceDN/>
        <w:bidi w:val="0"/>
        <w:adjustRightInd/>
        <w:snapToGrid/>
        <w:spacing w:line="590" w:lineRule="exact"/>
        <w:ind w:firstLine="562"/>
        <w:rPr>
          <w:rFonts w:hint="eastAsia" w:ascii="方正楷体_GBK" w:hAnsi="方正楷体_GBK" w:eastAsia="方正楷体_GBK" w:cs="方正楷体_GBK"/>
          <w:b w:val="0"/>
          <w:bCs w:val="0"/>
          <w:sz w:val="32"/>
          <w:szCs w:val="32"/>
        </w:rPr>
      </w:pPr>
      <w:bookmarkStart w:id="147" w:name="_Toc312309863"/>
      <w:bookmarkStart w:id="148" w:name="_Toc16342"/>
      <w:r>
        <w:rPr>
          <w:rFonts w:hint="eastAsia" w:ascii="方正楷体_GBK" w:hAnsi="方正楷体_GBK" w:eastAsia="方正楷体_GBK" w:cs="方正楷体_GBK"/>
          <w:b w:val="0"/>
          <w:bCs w:val="0"/>
          <w:sz w:val="32"/>
          <w:szCs w:val="32"/>
        </w:rPr>
        <w:t>一、经济社会发展历程</w:t>
      </w:r>
      <w:bookmarkEnd w:id="147"/>
      <w:bookmarkEnd w:id="148"/>
    </w:p>
    <w:p>
      <w:pPr>
        <w:pageBreakBefore w:val="0"/>
        <w:widowControl w:val="0"/>
        <w:kinsoku/>
        <w:wordWrap/>
        <w:overflowPunct/>
        <w:autoSpaceDE/>
        <w:autoSpaceDN/>
        <w:bidi w:val="0"/>
        <w:adjustRightInd/>
        <w:snapToGrid/>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2015年淮南市总户籍人口349.6万（2015年12月份寿县划归淮南市），其中：男性201.46万人，女性181.94万人。全市人口出生率11.53‰，死亡率5.45‰。常</w:t>
      </w:r>
      <w:r>
        <w:rPr>
          <w:rFonts w:hint="eastAsia" w:ascii="Times New Roman" w:hAnsi="Times New Roman" w:eastAsia="方正仿宋_GBK" w:cs="Times New Roman"/>
          <w:sz w:val="32"/>
          <w:szCs w:val="32"/>
          <w:lang w:eastAsia="zh-CN"/>
        </w:rPr>
        <w:t>住</w:t>
      </w:r>
      <w:r>
        <w:rPr>
          <w:rFonts w:hint="default" w:ascii="Times New Roman" w:hAnsi="Times New Roman" w:eastAsia="方正仿宋_GBK" w:cs="Times New Roman"/>
          <w:sz w:val="32"/>
          <w:szCs w:val="32"/>
        </w:rPr>
        <w:t>人口343.1万，其中非农业人口202.0万，城镇化率58.9%。2010～2015年淮南市户籍人口数量变化见表4.1-1、图4.1-1。</w:t>
      </w:r>
    </w:p>
    <w:p>
      <w:pPr>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表4.1-1  2010～2015年淮南市户籍人口数量变表</w:t>
      </w:r>
    </w:p>
    <w:tbl>
      <w:tblPr>
        <w:tblStyle w:val="12"/>
        <w:tblW w:w="0" w:type="auto"/>
        <w:jc w:val="center"/>
        <w:tblLayout w:type="fixed"/>
        <w:tblCellMar>
          <w:top w:w="15" w:type="dxa"/>
          <w:left w:w="15" w:type="dxa"/>
          <w:bottom w:w="15" w:type="dxa"/>
          <w:right w:w="15" w:type="dxa"/>
        </w:tblCellMar>
      </w:tblPr>
      <w:tblGrid>
        <w:gridCol w:w="1278"/>
        <w:gridCol w:w="1150"/>
        <w:gridCol w:w="1151"/>
        <w:gridCol w:w="1150"/>
        <w:gridCol w:w="1150"/>
        <w:gridCol w:w="1151"/>
        <w:gridCol w:w="1150"/>
      </w:tblGrid>
      <w:tr>
        <w:tblPrEx>
          <w:tblCellMar>
            <w:top w:w="15" w:type="dxa"/>
            <w:left w:w="15" w:type="dxa"/>
            <w:bottom w:w="15" w:type="dxa"/>
            <w:right w:w="15" w:type="dxa"/>
          </w:tblCellMar>
        </w:tblPrEx>
        <w:trPr>
          <w:trHeight w:val="363" w:hRule="atLeast"/>
          <w:jc w:val="center"/>
        </w:trPr>
        <w:tc>
          <w:tcPr>
            <w:tcW w:w="12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年份</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2010</w:t>
            </w:r>
          </w:p>
        </w:tc>
        <w:tc>
          <w:tcPr>
            <w:tcW w:w="11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2011</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2012</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2013</w:t>
            </w:r>
          </w:p>
        </w:tc>
        <w:tc>
          <w:tcPr>
            <w:tcW w:w="11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2014</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2015</w:t>
            </w:r>
          </w:p>
        </w:tc>
      </w:tr>
      <w:tr>
        <w:tblPrEx>
          <w:tblCellMar>
            <w:top w:w="15" w:type="dxa"/>
            <w:left w:w="15" w:type="dxa"/>
            <w:bottom w:w="15" w:type="dxa"/>
            <w:right w:w="15" w:type="dxa"/>
          </w:tblCellMar>
        </w:tblPrEx>
        <w:trPr>
          <w:trHeight w:val="363" w:hRule="atLeast"/>
          <w:jc w:val="center"/>
        </w:trPr>
        <w:tc>
          <w:tcPr>
            <w:tcW w:w="12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年末人口</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343.59</w:t>
            </w:r>
          </w:p>
        </w:tc>
        <w:tc>
          <w:tcPr>
            <w:tcW w:w="11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345.19</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343.3</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343.03</w:t>
            </w:r>
          </w:p>
        </w:tc>
        <w:tc>
          <w:tcPr>
            <w:tcW w:w="11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345.39</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349.6</w:t>
            </w:r>
          </w:p>
        </w:tc>
      </w:tr>
      <w:tr>
        <w:tblPrEx>
          <w:tblCellMar>
            <w:top w:w="15" w:type="dxa"/>
            <w:left w:w="15" w:type="dxa"/>
            <w:bottom w:w="15" w:type="dxa"/>
            <w:right w:w="15" w:type="dxa"/>
          </w:tblCellMar>
        </w:tblPrEx>
        <w:trPr>
          <w:trHeight w:val="363" w:hRule="atLeast"/>
          <w:jc w:val="center"/>
        </w:trPr>
        <w:tc>
          <w:tcPr>
            <w:tcW w:w="12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农业人口</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196.02</w:t>
            </w:r>
          </w:p>
        </w:tc>
        <w:tc>
          <w:tcPr>
            <w:tcW w:w="11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196.93</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195.08</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194.03</w:t>
            </w:r>
          </w:p>
        </w:tc>
        <w:tc>
          <w:tcPr>
            <w:tcW w:w="11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194.89</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168.66</w:t>
            </w:r>
          </w:p>
        </w:tc>
      </w:tr>
      <w:tr>
        <w:tblPrEx>
          <w:tblCellMar>
            <w:top w:w="15" w:type="dxa"/>
            <w:left w:w="15" w:type="dxa"/>
            <w:bottom w:w="15" w:type="dxa"/>
            <w:right w:w="15" w:type="dxa"/>
          </w:tblCellMar>
        </w:tblPrEx>
        <w:trPr>
          <w:trHeight w:val="423" w:hRule="atLeast"/>
          <w:jc w:val="center"/>
        </w:trPr>
        <w:tc>
          <w:tcPr>
            <w:tcW w:w="12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非农业人口</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147.57</w:t>
            </w:r>
          </w:p>
        </w:tc>
        <w:tc>
          <w:tcPr>
            <w:tcW w:w="11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148.26</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148.22</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149</w:t>
            </w:r>
          </w:p>
        </w:tc>
        <w:tc>
          <w:tcPr>
            <w:tcW w:w="11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150.5</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180.94</w:t>
            </w:r>
          </w:p>
        </w:tc>
      </w:tr>
    </w:tbl>
    <w:p>
      <w:pPr>
        <w:spacing w:line="360" w:lineRule="auto"/>
        <w:jc w:val="center"/>
        <w:rPr>
          <w:sz w:val="24"/>
        </w:rPr>
      </w:pPr>
    </w:p>
    <w:p>
      <w:pPr>
        <w:spacing w:line="360" w:lineRule="auto"/>
        <w:jc w:val="center"/>
        <w:rPr>
          <w:sz w:val="24"/>
        </w:rPr>
      </w:pPr>
      <w:r>
        <w:drawing>
          <wp:inline distT="0" distB="0" distL="114300" distR="114300">
            <wp:extent cx="4591050" cy="2762250"/>
            <wp:effectExtent l="4445" t="4445" r="14605" b="14605"/>
            <wp:docPr id="84" name="图表 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jc w:val="center"/>
        <w:rPr>
          <w:rFonts w:hint="eastAsia" w:ascii="方正黑体_GBK" w:hAnsi="方正黑体_GBK" w:eastAsia="方正黑体_GBK" w:cs="方正黑体_GBK"/>
          <w:b/>
          <w:bCs/>
          <w:sz w:val="24"/>
        </w:rPr>
      </w:pPr>
      <w:bookmarkStart w:id="149" w:name="OLE_LINK1"/>
      <w:r>
        <w:rPr>
          <w:rFonts w:hint="eastAsia" w:ascii="方正黑体_GBK" w:hAnsi="方正黑体_GBK" w:eastAsia="方正黑体_GBK" w:cs="方正黑体_GBK"/>
          <w:b/>
          <w:bCs/>
          <w:sz w:val="24"/>
        </w:rPr>
        <w:t>图4.1-1  2010～2015年淮南市户籍人口数量变化折线图</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2015年全市国内生产总值达到901.3亿，约占全省GDP总量的4.10%，人均GDP 2626.9元，</w:t>
      </w:r>
      <w:bookmarkStart w:id="150" w:name="OLE_LINK2"/>
      <w:r>
        <w:rPr>
          <w:rFonts w:hint="default" w:ascii="Times New Roman" w:hAnsi="Times New Roman" w:eastAsia="方正仿宋_GBK" w:cs="Times New Roman"/>
          <w:sz w:val="32"/>
          <w:szCs w:val="32"/>
        </w:rPr>
        <w:t>低于全省人均GDP 9883元（全省人均GDP 36176元）。</w:t>
      </w:r>
      <w:bookmarkEnd w:id="149"/>
      <w:bookmarkEnd w:id="150"/>
      <w:r>
        <w:rPr>
          <w:rFonts w:hint="default" w:ascii="Times New Roman" w:hAnsi="Times New Roman" w:eastAsia="方正仿宋_GBK" w:cs="Times New Roman"/>
          <w:sz w:val="32"/>
          <w:szCs w:val="32"/>
        </w:rPr>
        <w:t>2010~2015年淮南市经济发展变化见表4.1-2、图4.1-2。</w:t>
      </w:r>
    </w:p>
    <w:p>
      <w:pPr>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表4.1-2  淮南市经济发展变化表</w:t>
      </w:r>
    </w:p>
    <w:tbl>
      <w:tblPr>
        <w:tblStyle w:val="12"/>
        <w:tblW w:w="0" w:type="auto"/>
        <w:jc w:val="center"/>
        <w:tblLayout w:type="fixed"/>
        <w:tblCellMar>
          <w:top w:w="15" w:type="dxa"/>
          <w:left w:w="15" w:type="dxa"/>
          <w:bottom w:w="15" w:type="dxa"/>
          <w:right w:w="15" w:type="dxa"/>
        </w:tblCellMar>
      </w:tblPr>
      <w:tblGrid>
        <w:gridCol w:w="1077"/>
        <w:gridCol w:w="1077"/>
        <w:gridCol w:w="1077"/>
        <w:gridCol w:w="1078"/>
        <w:gridCol w:w="1077"/>
        <w:gridCol w:w="1077"/>
        <w:gridCol w:w="1077"/>
      </w:tblGrid>
      <w:tr>
        <w:tblPrEx>
          <w:tblCellMar>
            <w:top w:w="15" w:type="dxa"/>
            <w:left w:w="15" w:type="dxa"/>
            <w:bottom w:w="15" w:type="dxa"/>
            <w:right w:w="15" w:type="dxa"/>
          </w:tblCellMar>
        </w:tblPrEx>
        <w:trPr>
          <w:trHeight w:val="333" w:hRule="atLeast"/>
          <w:jc w:val="center"/>
        </w:trPr>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年份</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2010</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2011</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2012</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2013</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2014</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2015</w:t>
            </w:r>
          </w:p>
        </w:tc>
      </w:tr>
      <w:tr>
        <w:tblPrEx>
          <w:tblCellMar>
            <w:top w:w="15" w:type="dxa"/>
            <w:left w:w="15" w:type="dxa"/>
            <w:bottom w:w="15" w:type="dxa"/>
            <w:right w:w="15" w:type="dxa"/>
          </w:tblCellMar>
        </w:tblPrEx>
        <w:trPr>
          <w:trHeight w:val="333" w:hRule="atLeast"/>
          <w:jc w:val="center"/>
        </w:trPr>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GDP</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710.3</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814.6</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887.7</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936.7</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912.7</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901.3</w:t>
            </w:r>
          </w:p>
        </w:tc>
      </w:tr>
      <w:tr>
        <w:tblPrEx>
          <w:tblCellMar>
            <w:top w:w="15" w:type="dxa"/>
            <w:left w:w="15" w:type="dxa"/>
            <w:bottom w:w="15" w:type="dxa"/>
            <w:right w:w="15" w:type="dxa"/>
          </w:tblCellMar>
        </w:tblPrEx>
        <w:trPr>
          <w:trHeight w:val="333" w:hRule="atLeast"/>
          <w:jc w:val="center"/>
        </w:trPr>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一产</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86.1</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98.1</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99</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104.8</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109.1</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111.5</w:t>
            </w:r>
          </w:p>
        </w:tc>
      </w:tr>
      <w:tr>
        <w:tblPrEx>
          <w:tblCellMar>
            <w:top w:w="15" w:type="dxa"/>
            <w:left w:w="15" w:type="dxa"/>
            <w:bottom w:w="15" w:type="dxa"/>
            <w:right w:w="15" w:type="dxa"/>
          </w:tblCellMar>
        </w:tblPrEx>
        <w:trPr>
          <w:trHeight w:val="333" w:hRule="atLeast"/>
          <w:jc w:val="center"/>
        </w:trPr>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二产</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425.8</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489.3</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530.3</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528.7</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477.3</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434.3</w:t>
            </w:r>
          </w:p>
        </w:tc>
      </w:tr>
      <w:tr>
        <w:tblPrEx>
          <w:tblCellMar>
            <w:top w:w="15" w:type="dxa"/>
            <w:left w:w="15" w:type="dxa"/>
            <w:bottom w:w="15" w:type="dxa"/>
            <w:right w:w="15" w:type="dxa"/>
          </w:tblCellMar>
        </w:tblPrEx>
        <w:trPr>
          <w:trHeight w:val="343" w:hRule="atLeast"/>
          <w:jc w:val="center"/>
        </w:trPr>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三产</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198.4</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227.2</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258.4</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303.2</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326.3</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355.5</w:t>
            </w:r>
          </w:p>
        </w:tc>
      </w:tr>
    </w:tbl>
    <w:p>
      <w:pPr>
        <w:jc w:val="center"/>
        <w:rPr>
          <w:sz w:val="24"/>
        </w:rPr>
      </w:pPr>
      <w:r>
        <w:drawing>
          <wp:inline distT="0" distB="0" distL="114300" distR="114300">
            <wp:extent cx="4648200" cy="2781300"/>
            <wp:effectExtent l="4445" t="4445" r="14605" b="14605"/>
            <wp:docPr id="88" name="图表 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图4.1-2  2010~2015年淮南市经济发展变化折线图</w:t>
      </w:r>
    </w:p>
    <w:p>
      <w:pPr>
        <w:pStyle w:val="5"/>
        <w:keepNext w:val="0"/>
        <w:keepLines w:val="0"/>
        <w:pageBreakBefore w:val="0"/>
        <w:widowControl w:val="0"/>
        <w:kinsoku/>
        <w:wordWrap/>
        <w:overflowPunct/>
        <w:autoSpaceDE/>
        <w:autoSpaceDN/>
        <w:bidi w:val="0"/>
        <w:spacing w:line="590" w:lineRule="exact"/>
        <w:ind w:firstLine="562"/>
        <w:rPr>
          <w:rFonts w:hint="eastAsia" w:ascii="方正楷体_GBK" w:hAnsi="方正楷体_GBK" w:eastAsia="方正楷体_GBK" w:cs="方正楷体_GBK"/>
          <w:b w:val="0"/>
          <w:bCs/>
          <w:sz w:val="32"/>
          <w:szCs w:val="32"/>
        </w:rPr>
      </w:pPr>
      <w:bookmarkStart w:id="151" w:name="_Toc2482"/>
      <w:bookmarkStart w:id="152" w:name="_Toc312309864"/>
      <w:r>
        <w:rPr>
          <w:rFonts w:hint="eastAsia" w:ascii="方正楷体_GBK" w:hAnsi="方正楷体_GBK" w:eastAsia="方正楷体_GBK" w:cs="方正楷体_GBK"/>
          <w:b w:val="0"/>
          <w:bCs/>
          <w:sz w:val="32"/>
          <w:szCs w:val="32"/>
        </w:rPr>
        <w:t>二、经济社会发展现状</w:t>
      </w:r>
      <w:bookmarkEnd w:id="151"/>
      <w:bookmarkEnd w:id="152"/>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（1）城镇化率</w:t>
      </w:r>
    </w:p>
    <w:p>
      <w:pPr>
        <w:keepNext w:val="0"/>
        <w:keepLines w:val="0"/>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2015年，全市常</w:t>
      </w:r>
      <w:r>
        <w:rPr>
          <w:rFonts w:hint="eastAsia" w:ascii="Times New Roman" w:hAnsi="Times New Roman" w:eastAsia="方正仿宋_GBK" w:cs="Times New Roman"/>
          <w:sz w:val="32"/>
          <w:szCs w:val="32"/>
          <w:lang w:eastAsia="zh-CN"/>
        </w:rPr>
        <w:t>住</w:t>
      </w:r>
      <w:r>
        <w:rPr>
          <w:rFonts w:hint="default" w:ascii="Times New Roman" w:hAnsi="Times New Roman" w:eastAsia="方正仿宋_GBK" w:cs="Times New Roman"/>
          <w:sz w:val="32"/>
          <w:szCs w:val="32"/>
        </w:rPr>
        <w:t>人口343.1万，其中城镇人口202.0万，城镇化率58.9%。其中，王蚌区间北岸城镇化率41.0%，王蚌区间南岸城镇化率66.9%。相比全省城镇化率50.5%，淮南市城镇化率高出6.4个百分点。</w:t>
      </w:r>
    </w:p>
    <w:p>
      <w:pPr>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表4.1-3  2015 年淮南市常住人口分布和城镇发展统计表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09"/>
        <w:gridCol w:w="1654"/>
        <w:gridCol w:w="1423"/>
        <w:gridCol w:w="1365"/>
        <w:gridCol w:w="1423"/>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2863" w:type="dxa"/>
            <w:gridSpan w:val="2"/>
            <w:vMerge w:val="restart"/>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计算分区</w:t>
            </w:r>
          </w:p>
        </w:tc>
        <w:tc>
          <w:tcPr>
            <w:tcW w:w="1423"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总人口</w:t>
            </w:r>
          </w:p>
        </w:tc>
        <w:tc>
          <w:tcPr>
            <w:tcW w:w="1365"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城镇人口</w:t>
            </w:r>
          </w:p>
        </w:tc>
        <w:tc>
          <w:tcPr>
            <w:tcW w:w="1423"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农村人口</w:t>
            </w:r>
          </w:p>
        </w:tc>
        <w:tc>
          <w:tcPr>
            <w:tcW w:w="1366"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城镇化率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2863" w:type="dxa"/>
            <w:gridSpan w:val="2"/>
            <w:vMerge w:val="continue"/>
            <w:noWrap w:val="0"/>
            <w:vAlign w:val="center"/>
          </w:tcPr>
          <w:p>
            <w:pPr>
              <w:adjustRightInd w:val="0"/>
              <w:snapToGrid w:val="0"/>
              <w:jc w:val="center"/>
              <w:rPr>
                <w:rFonts w:hint="default" w:ascii="Times New Roman" w:hAnsi="Times New Roman" w:eastAsia="方正仿宋_GBK" w:cs="Times New Roman"/>
                <w:szCs w:val="21"/>
              </w:rPr>
            </w:pPr>
          </w:p>
        </w:tc>
        <w:tc>
          <w:tcPr>
            <w:tcW w:w="1423"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（万人）</w:t>
            </w:r>
          </w:p>
        </w:tc>
        <w:tc>
          <w:tcPr>
            <w:tcW w:w="1365"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（万人）</w:t>
            </w:r>
          </w:p>
        </w:tc>
        <w:tc>
          <w:tcPr>
            <w:tcW w:w="1423"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（万人）</w:t>
            </w:r>
          </w:p>
        </w:tc>
        <w:tc>
          <w:tcPr>
            <w:tcW w:w="1366"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209"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水资源</w:t>
            </w:r>
          </w:p>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分区</w:t>
            </w:r>
          </w:p>
        </w:tc>
        <w:tc>
          <w:tcPr>
            <w:tcW w:w="1654"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王蚌区间北岸</w:t>
            </w:r>
          </w:p>
        </w:tc>
        <w:tc>
          <w:tcPr>
            <w:tcW w:w="1423" w:type="dxa"/>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 xml:space="preserve">106.48 </w:t>
            </w:r>
          </w:p>
        </w:tc>
        <w:tc>
          <w:tcPr>
            <w:tcW w:w="1365" w:type="dxa"/>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 xml:space="preserve">43.64 </w:t>
            </w:r>
          </w:p>
        </w:tc>
        <w:tc>
          <w:tcPr>
            <w:tcW w:w="1423" w:type="dxa"/>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 xml:space="preserve">62.84 </w:t>
            </w:r>
          </w:p>
        </w:tc>
        <w:tc>
          <w:tcPr>
            <w:tcW w:w="1366" w:type="dxa"/>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 xml:space="preserve">41.0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209" w:type="dxa"/>
            <w:vMerge w:val="continue"/>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p>
        </w:tc>
        <w:tc>
          <w:tcPr>
            <w:tcW w:w="1654"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王蚌区间南岸</w:t>
            </w:r>
          </w:p>
        </w:tc>
        <w:tc>
          <w:tcPr>
            <w:tcW w:w="1423" w:type="dxa"/>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 xml:space="preserve">236.62 </w:t>
            </w:r>
          </w:p>
        </w:tc>
        <w:tc>
          <w:tcPr>
            <w:tcW w:w="1365" w:type="dxa"/>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 xml:space="preserve">158.30 </w:t>
            </w:r>
          </w:p>
        </w:tc>
        <w:tc>
          <w:tcPr>
            <w:tcW w:w="1423" w:type="dxa"/>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 xml:space="preserve">78.32 </w:t>
            </w:r>
          </w:p>
        </w:tc>
        <w:tc>
          <w:tcPr>
            <w:tcW w:w="1366" w:type="dxa"/>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 xml:space="preserve">66.9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209" w:type="dxa"/>
            <w:vMerge w:val="continue"/>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bidi="ar"/>
              </w:rPr>
            </w:pPr>
          </w:p>
        </w:tc>
        <w:tc>
          <w:tcPr>
            <w:tcW w:w="1654" w:type="dxa"/>
            <w:noWrap w:val="0"/>
            <w:vAlign w:val="center"/>
          </w:tcPr>
          <w:p>
            <w:pPr>
              <w:widowControl/>
              <w:adjustRightInd w:val="0"/>
              <w:snapToGrid w:val="0"/>
              <w:jc w:val="center"/>
              <w:textAlignment w:val="center"/>
              <w:rPr>
                <w:rFonts w:hint="default" w:ascii="Times New Roman" w:hAnsi="Times New Roman" w:eastAsia="方正仿宋_GBK" w:cs="Times New Roman"/>
                <w:b/>
                <w:bCs/>
                <w:kern w:val="0"/>
                <w:szCs w:val="21"/>
                <w:lang w:bidi="ar"/>
              </w:rPr>
            </w:pPr>
            <w:r>
              <w:rPr>
                <w:rFonts w:hint="default" w:ascii="Times New Roman" w:hAnsi="Times New Roman" w:eastAsia="方正仿宋_GBK" w:cs="Times New Roman"/>
                <w:b/>
                <w:bCs/>
                <w:kern w:val="0"/>
                <w:szCs w:val="21"/>
                <w:lang w:bidi="ar"/>
              </w:rPr>
              <w:t>合  计</w:t>
            </w:r>
          </w:p>
        </w:tc>
        <w:tc>
          <w:tcPr>
            <w:tcW w:w="1423" w:type="dxa"/>
            <w:noWrap w:val="0"/>
            <w:vAlign w:val="center"/>
          </w:tcPr>
          <w:p>
            <w:pPr>
              <w:adjustRightInd w:val="0"/>
              <w:snapToGrid w:val="0"/>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 xml:space="preserve">343.10 </w:t>
            </w:r>
          </w:p>
        </w:tc>
        <w:tc>
          <w:tcPr>
            <w:tcW w:w="1365" w:type="dxa"/>
            <w:noWrap w:val="0"/>
            <w:vAlign w:val="center"/>
          </w:tcPr>
          <w:p>
            <w:pPr>
              <w:adjustRightInd w:val="0"/>
              <w:snapToGrid w:val="0"/>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 xml:space="preserve">201.94 </w:t>
            </w:r>
          </w:p>
        </w:tc>
        <w:tc>
          <w:tcPr>
            <w:tcW w:w="1423" w:type="dxa"/>
            <w:noWrap w:val="0"/>
            <w:vAlign w:val="center"/>
          </w:tcPr>
          <w:p>
            <w:pPr>
              <w:adjustRightInd w:val="0"/>
              <w:snapToGrid w:val="0"/>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 xml:space="preserve">141.16 </w:t>
            </w:r>
          </w:p>
        </w:tc>
        <w:tc>
          <w:tcPr>
            <w:tcW w:w="1366" w:type="dxa"/>
            <w:noWrap w:val="0"/>
            <w:vAlign w:val="center"/>
          </w:tcPr>
          <w:p>
            <w:pPr>
              <w:adjustRightInd w:val="0"/>
              <w:snapToGrid w:val="0"/>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 xml:space="preserve">58.9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209"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行政</w:t>
            </w:r>
          </w:p>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分区</w:t>
            </w:r>
          </w:p>
        </w:tc>
        <w:tc>
          <w:tcPr>
            <w:tcW w:w="1654"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淮南市市区</w:t>
            </w:r>
          </w:p>
        </w:tc>
        <w:tc>
          <w:tcPr>
            <w:tcW w:w="1423" w:type="dxa"/>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 xml:space="preserve">130.80 </w:t>
            </w:r>
          </w:p>
        </w:tc>
        <w:tc>
          <w:tcPr>
            <w:tcW w:w="1365" w:type="dxa"/>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 xml:space="preserve">114.19 </w:t>
            </w:r>
          </w:p>
        </w:tc>
        <w:tc>
          <w:tcPr>
            <w:tcW w:w="1423" w:type="dxa"/>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 xml:space="preserve">16.61 </w:t>
            </w:r>
          </w:p>
        </w:tc>
        <w:tc>
          <w:tcPr>
            <w:tcW w:w="1366" w:type="dxa"/>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 xml:space="preserve">87.3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209" w:type="dxa"/>
            <w:vMerge w:val="continue"/>
            <w:noWrap w:val="0"/>
            <w:vAlign w:val="center"/>
          </w:tcPr>
          <w:p>
            <w:pPr>
              <w:adjustRightInd w:val="0"/>
              <w:snapToGrid w:val="0"/>
              <w:jc w:val="center"/>
              <w:rPr>
                <w:rFonts w:hint="default" w:ascii="Times New Roman" w:hAnsi="Times New Roman" w:eastAsia="方正仿宋_GBK" w:cs="Times New Roman"/>
                <w:szCs w:val="21"/>
              </w:rPr>
            </w:pPr>
          </w:p>
        </w:tc>
        <w:tc>
          <w:tcPr>
            <w:tcW w:w="1654"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潘集区</w:t>
            </w:r>
          </w:p>
        </w:tc>
        <w:tc>
          <w:tcPr>
            <w:tcW w:w="1423" w:type="dxa"/>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 xml:space="preserve">40.20 </w:t>
            </w:r>
          </w:p>
        </w:tc>
        <w:tc>
          <w:tcPr>
            <w:tcW w:w="1365" w:type="dxa"/>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 xml:space="preserve">16.37 </w:t>
            </w:r>
          </w:p>
        </w:tc>
        <w:tc>
          <w:tcPr>
            <w:tcW w:w="1423" w:type="dxa"/>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 xml:space="preserve">23.83 </w:t>
            </w:r>
          </w:p>
        </w:tc>
        <w:tc>
          <w:tcPr>
            <w:tcW w:w="1366" w:type="dxa"/>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 xml:space="preserve">40.7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209" w:type="dxa"/>
            <w:vMerge w:val="continue"/>
            <w:noWrap w:val="0"/>
            <w:vAlign w:val="center"/>
          </w:tcPr>
          <w:p>
            <w:pPr>
              <w:adjustRightInd w:val="0"/>
              <w:snapToGrid w:val="0"/>
              <w:jc w:val="center"/>
              <w:rPr>
                <w:rFonts w:hint="default" w:ascii="Times New Roman" w:hAnsi="Times New Roman" w:eastAsia="方正仿宋_GBK" w:cs="Times New Roman"/>
                <w:szCs w:val="21"/>
              </w:rPr>
            </w:pPr>
          </w:p>
        </w:tc>
        <w:tc>
          <w:tcPr>
            <w:tcW w:w="1654"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凤台县、毛集区</w:t>
            </w:r>
          </w:p>
        </w:tc>
        <w:tc>
          <w:tcPr>
            <w:tcW w:w="1423" w:type="dxa"/>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 xml:space="preserve">68.70 </w:t>
            </w:r>
          </w:p>
        </w:tc>
        <w:tc>
          <w:tcPr>
            <w:tcW w:w="1365" w:type="dxa"/>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 xml:space="preserve">28.44 </w:t>
            </w:r>
          </w:p>
        </w:tc>
        <w:tc>
          <w:tcPr>
            <w:tcW w:w="1423" w:type="dxa"/>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 xml:space="preserve">40.26 </w:t>
            </w:r>
          </w:p>
        </w:tc>
        <w:tc>
          <w:tcPr>
            <w:tcW w:w="1366" w:type="dxa"/>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 xml:space="preserve">41.4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209" w:type="dxa"/>
            <w:vMerge w:val="continue"/>
            <w:noWrap w:val="0"/>
            <w:vAlign w:val="center"/>
          </w:tcPr>
          <w:p>
            <w:pPr>
              <w:adjustRightInd w:val="0"/>
              <w:snapToGrid w:val="0"/>
              <w:jc w:val="center"/>
              <w:rPr>
                <w:rFonts w:hint="default" w:ascii="Times New Roman" w:hAnsi="Times New Roman" w:eastAsia="方正仿宋_GBK" w:cs="Times New Roman"/>
                <w:szCs w:val="21"/>
              </w:rPr>
            </w:pPr>
          </w:p>
        </w:tc>
        <w:tc>
          <w:tcPr>
            <w:tcW w:w="1654"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1423" w:type="dxa"/>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 xml:space="preserve">103.40 </w:t>
            </w:r>
          </w:p>
        </w:tc>
        <w:tc>
          <w:tcPr>
            <w:tcW w:w="1365" w:type="dxa"/>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 xml:space="preserve">42.94 </w:t>
            </w:r>
          </w:p>
        </w:tc>
        <w:tc>
          <w:tcPr>
            <w:tcW w:w="1423" w:type="dxa"/>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 xml:space="preserve">60.46 </w:t>
            </w:r>
          </w:p>
        </w:tc>
        <w:tc>
          <w:tcPr>
            <w:tcW w:w="1366" w:type="dxa"/>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 xml:space="preserve">41.5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209" w:type="dxa"/>
            <w:vMerge w:val="continue"/>
            <w:noWrap w:val="0"/>
            <w:vAlign w:val="center"/>
          </w:tcPr>
          <w:p>
            <w:pPr>
              <w:widowControl/>
              <w:adjustRightInd w:val="0"/>
              <w:snapToGrid w:val="0"/>
              <w:jc w:val="center"/>
              <w:textAlignment w:val="center"/>
              <w:rPr>
                <w:rFonts w:hint="default" w:ascii="Times New Roman" w:hAnsi="Times New Roman" w:eastAsia="方正仿宋_GBK" w:cs="Times New Roman"/>
                <w:b/>
                <w:bCs/>
                <w:szCs w:val="21"/>
              </w:rPr>
            </w:pPr>
          </w:p>
        </w:tc>
        <w:tc>
          <w:tcPr>
            <w:tcW w:w="1654" w:type="dxa"/>
            <w:noWrap w:val="0"/>
            <w:vAlign w:val="center"/>
          </w:tcPr>
          <w:p>
            <w:pPr>
              <w:widowControl/>
              <w:adjustRightInd w:val="0"/>
              <w:snapToGrid w:val="0"/>
              <w:jc w:val="center"/>
              <w:textAlignment w:val="center"/>
              <w:rPr>
                <w:rFonts w:hint="default" w:ascii="Times New Roman" w:hAnsi="Times New Roman" w:eastAsia="方正仿宋_GBK" w:cs="Times New Roman"/>
                <w:b/>
                <w:bCs/>
                <w:kern w:val="0"/>
                <w:szCs w:val="21"/>
                <w:lang w:bidi="ar"/>
              </w:rPr>
            </w:pPr>
            <w:r>
              <w:rPr>
                <w:rFonts w:hint="default" w:ascii="Times New Roman" w:hAnsi="Times New Roman" w:eastAsia="方正仿宋_GBK" w:cs="Times New Roman"/>
                <w:b/>
                <w:bCs/>
                <w:kern w:val="0"/>
                <w:szCs w:val="21"/>
                <w:lang w:bidi="ar"/>
              </w:rPr>
              <w:t>合  计</w:t>
            </w:r>
          </w:p>
        </w:tc>
        <w:tc>
          <w:tcPr>
            <w:tcW w:w="1423" w:type="dxa"/>
            <w:noWrap w:val="0"/>
            <w:vAlign w:val="center"/>
          </w:tcPr>
          <w:p>
            <w:pPr>
              <w:adjustRightInd w:val="0"/>
              <w:snapToGrid w:val="0"/>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 xml:space="preserve">343.10 </w:t>
            </w:r>
          </w:p>
        </w:tc>
        <w:tc>
          <w:tcPr>
            <w:tcW w:w="1365" w:type="dxa"/>
            <w:noWrap w:val="0"/>
            <w:vAlign w:val="center"/>
          </w:tcPr>
          <w:p>
            <w:pPr>
              <w:adjustRightInd w:val="0"/>
              <w:snapToGrid w:val="0"/>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 xml:space="preserve">201.94 </w:t>
            </w:r>
          </w:p>
        </w:tc>
        <w:tc>
          <w:tcPr>
            <w:tcW w:w="1423" w:type="dxa"/>
            <w:noWrap w:val="0"/>
            <w:vAlign w:val="center"/>
          </w:tcPr>
          <w:p>
            <w:pPr>
              <w:adjustRightInd w:val="0"/>
              <w:snapToGrid w:val="0"/>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 xml:space="preserve">141.16 </w:t>
            </w:r>
          </w:p>
        </w:tc>
        <w:tc>
          <w:tcPr>
            <w:tcW w:w="1366" w:type="dxa"/>
            <w:noWrap w:val="0"/>
            <w:vAlign w:val="center"/>
          </w:tcPr>
          <w:p>
            <w:pPr>
              <w:adjustRightInd w:val="0"/>
              <w:snapToGrid w:val="0"/>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 xml:space="preserve">58.9 </w:t>
            </w:r>
          </w:p>
        </w:tc>
      </w:tr>
    </w:tbl>
    <w:p>
      <w:pPr>
        <w:adjustRightInd w:val="0"/>
        <w:snapToGrid w:val="0"/>
        <w:spacing w:line="520" w:lineRule="exact"/>
        <w:ind w:firstLine="643" w:firstLineChars="200"/>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（2）经济发展</w:t>
      </w:r>
    </w:p>
    <w:p>
      <w:pPr>
        <w:spacing w:line="52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2015年全市实现GDP（国民生产总值）901.3亿元（当年价），其中一产、二产、三产比重分别为12.4%、48.2%、39.4%。淮南市国民生产总值（GDP）列全省第十二位，占全省总量的4.10%。全市人均GDP 2629元/人，低于全省人均GDP 9883元，人均GDP列全省第十二位。</w:t>
      </w:r>
    </w:p>
    <w:p>
      <w:pPr>
        <w:spacing w:line="52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二个水资源三级区中，王蚌区间南岸GDP约占46.0%，王蚌区间北岸约占54.0%，北岸略多于南岸。</w:t>
      </w:r>
    </w:p>
    <w:p>
      <w:pPr>
        <w:spacing w:line="360" w:lineRule="auto"/>
        <w:jc w:val="center"/>
        <w:rPr>
          <w:rFonts w:hint="eastAsia" w:ascii="方正黑体_GBK" w:hAnsi="方正黑体_GBK" w:eastAsia="方正黑体_GBK" w:cs="方正黑体_GBK"/>
          <w:b/>
          <w:sz w:val="24"/>
        </w:rPr>
      </w:pPr>
      <w:r>
        <w:rPr>
          <w:rFonts w:hint="eastAsia" w:ascii="方正黑体_GBK" w:hAnsi="方正黑体_GBK" w:eastAsia="方正黑体_GBK" w:cs="方正黑体_GBK"/>
          <w:b/>
          <w:sz w:val="24"/>
        </w:rPr>
        <w:t>表4.1-4   2015年淮南市生产总值统计表  单位：亿元</w:t>
      </w:r>
    </w:p>
    <w:tbl>
      <w:tblPr>
        <w:tblStyle w:val="12"/>
        <w:tblW w:w="0" w:type="auto"/>
        <w:jc w:val="center"/>
        <w:tblLayout w:type="fixed"/>
        <w:tblCellMar>
          <w:top w:w="15" w:type="dxa"/>
          <w:left w:w="15" w:type="dxa"/>
          <w:bottom w:w="15" w:type="dxa"/>
          <w:right w:w="15" w:type="dxa"/>
        </w:tblCellMar>
      </w:tblPr>
      <w:tblGrid>
        <w:gridCol w:w="960"/>
        <w:gridCol w:w="1558"/>
        <w:gridCol w:w="984"/>
        <w:gridCol w:w="1104"/>
        <w:gridCol w:w="1104"/>
        <w:gridCol w:w="1320"/>
        <w:gridCol w:w="996"/>
        <w:gridCol w:w="1116"/>
      </w:tblGrid>
      <w:tr>
        <w:tblPrEx>
          <w:tblCellMar>
            <w:top w:w="15" w:type="dxa"/>
            <w:left w:w="15" w:type="dxa"/>
            <w:bottom w:w="15" w:type="dxa"/>
            <w:right w:w="15" w:type="dxa"/>
          </w:tblCellMar>
        </w:tblPrEx>
        <w:trPr>
          <w:trHeight w:val="297" w:hRule="atLeast"/>
          <w:jc w:val="center"/>
        </w:trPr>
        <w:tc>
          <w:tcPr>
            <w:tcW w:w="2518"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计算分区</w:t>
            </w:r>
          </w:p>
        </w:tc>
        <w:tc>
          <w:tcPr>
            <w:tcW w:w="98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一产</w:t>
            </w:r>
          </w:p>
        </w:tc>
        <w:tc>
          <w:tcPr>
            <w:tcW w:w="3528"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二产</w:t>
            </w:r>
          </w:p>
        </w:tc>
        <w:tc>
          <w:tcPr>
            <w:tcW w:w="99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三产</w:t>
            </w:r>
          </w:p>
        </w:tc>
        <w:tc>
          <w:tcPr>
            <w:tcW w:w="111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GDP</w:t>
            </w:r>
          </w:p>
        </w:tc>
      </w:tr>
      <w:tr>
        <w:tblPrEx>
          <w:tblCellMar>
            <w:top w:w="15" w:type="dxa"/>
            <w:left w:w="15" w:type="dxa"/>
            <w:bottom w:w="15" w:type="dxa"/>
            <w:right w:w="15" w:type="dxa"/>
          </w:tblCellMar>
        </w:tblPrEx>
        <w:trPr>
          <w:trHeight w:val="297" w:hRule="atLeast"/>
          <w:jc w:val="center"/>
        </w:trPr>
        <w:tc>
          <w:tcPr>
            <w:tcW w:w="2518"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98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1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工业</w:t>
            </w:r>
          </w:p>
        </w:tc>
        <w:tc>
          <w:tcPr>
            <w:tcW w:w="11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建筑业</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二产合计</w:t>
            </w:r>
          </w:p>
        </w:tc>
        <w:tc>
          <w:tcPr>
            <w:tcW w:w="99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1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r>
      <w:tr>
        <w:tblPrEx>
          <w:tblCellMar>
            <w:top w:w="15" w:type="dxa"/>
            <w:left w:w="15" w:type="dxa"/>
            <w:bottom w:w="15" w:type="dxa"/>
            <w:right w:w="15" w:type="dxa"/>
          </w:tblCellMar>
        </w:tblPrEx>
        <w:trPr>
          <w:trHeight w:val="297" w:hRule="atLeast"/>
          <w:jc w:val="center"/>
        </w:trPr>
        <w:tc>
          <w:tcPr>
            <w:tcW w:w="960"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水资源</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分区</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王蚌区间北岸</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53.3</w:t>
            </w:r>
          </w:p>
        </w:tc>
        <w:tc>
          <w:tcPr>
            <w:tcW w:w="11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202.7 </w:t>
            </w:r>
          </w:p>
        </w:tc>
        <w:tc>
          <w:tcPr>
            <w:tcW w:w="11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43.4 </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246.1</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187.3</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486.7</w:t>
            </w:r>
          </w:p>
        </w:tc>
      </w:tr>
      <w:tr>
        <w:tblPrEx>
          <w:tblCellMar>
            <w:top w:w="15" w:type="dxa"/>
            <w:left w:w="15" w:type="dxa"/>
            <w:bottom w:w="15" w:type="dxa"/>
            <w:right w:w="15" w:type="dxa"/>
          </w:tblCellMar>
        </w:tblPrEx>
        <w:trPr>
          <w:trHeight w:val="297" w:hRule="atLeast"/>
          <w:jc w:val="center"/>
        </w:trPr>
        <w:tc>
          <w:tcPr>
            <w:tcW w:w="960" w:type="dxa"/>
            <w:vMerge w:val="continue"/>
            <w:tcBorders>
              <w:left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p>
        </w:tc>
        <w:tc>
          <w:tcPr>
            <w:tcW w:w="155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王蚌区间南岸</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58.2</w:t>
            </w:r>
          </w:p>
        </w:tc>
        <w:tc>
          <w:tcPr>
            <w:tcW w:w="11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162.3 </w:t>
            </w:r>
          </w:p>
        </w:tc>
        <w:tc>
          <w:tcPr>
            <w:tcW w:w="11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25.9 </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188.2</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168.2</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414.6</w:t>
            </w:r>
          </w:p>
        </w:tc>
      </w:tr>
      <w:tr>
        <w:tblPrEx>
          <w:tblCellMar>
            <w:top w:w="15" w:type="dxa"/>
            <w:left w:w="15" w:type="dxa"/>
            <w:bottom w:w="15" w:type="dxa"/>
            <w:right w:w="15" w:type="dxa"/>
          </w:tblCellMar>
        </w:tblPrEx>
        <w:trPr>
          <w:trHeight w:val="297" w:hRule="atLeast"/>
          <w:jc w:val="center"/>
        </w:trPr>
        <w:tc>
          <w:tcPr>
            <w:tcW w:w="960" w:type="dxa"/>
            <w:vMerge w:val="continue"/>
            <w:tcBorders>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p>
        </w:tc>
        <w:tc>
          <w:tcPr>
            <w:tcW w:w="155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bCs/>
                <w:kern w:val="0"/>
                <w:szCs w:val="21"/>
                <w:lang w:bidi="ar"/>
              </w:rPr>
            </w:pPr>
            <w:r>
              <w:rPr>
                <w:rFonts w:hint="default" w:ascii="Times New Roman" w:hAnsi="Times New Roman" w:eastAsia="方正仿宋_GBK" w:cs="Times New Roman"/>
                <w:b/>
                <w:bCs/>
                <w:kern w:val="0"/>
                <w:szCs w:val="21"/>
                <w:lang w:bidi="ar"/>
              </w:rPr>
              <w:t>合  计</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b/>
                <w:bCs/>
                <w:kern w:val="0"/>
                <w:szCs w:val="21"/>
                <w:lang w:bidi="ar"/>
              </w:rPr>
              <w:t>111.5</w:t>
            </w:r>
          </w:p>
        </w:tc>
        <w:tc>
          <w:tcPr>
            <w:tcW w:w="11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b/>
                <w:bCs/>
                <w:kern w:val="0"/>
                <w:szCs w:val="21"/>
                <w:lang w:bidi="ar"/>
              </w:rPr>
              <w:t>365</w:t>
            </w:r>
          </w:p>
        </w:tc>
        <w:tc>
          <w:tcPr>
            <w:tcW w:w="11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b/>
                <w:bCs/>
                <w:kern w:val="0"/>
                <w:szCs w:val="21"/>
                <w:lang w:bidi="ar"/>
              </w:rPr>
              <w:t>69.3</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b/>
                <w:bCs/>
                <w:kern w:val="0"/>
                <w:szCs w:val="21"/>
                <w:lang w:bidi="ar"/>
              </w:rPr>
              <w:t>434.3</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b/>
                <w:bCs/>
                <w:kern w:val="0"/>
                <w:szCs w:val="21"/>
                <w:lang w:bidi="ar"/>
              </w:rPr>
              <w:t>355.5</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b/>
                <w:bCs/>
                <w:kern w:val="0"/>
                <w:szCs w:val="21"/>
                <w:lang w:bidi="ar"/>
              </w:rPr>
              <w:t>901.3</w:t>
            </w:r>
          </w:p>
        </w:tc>
      </w:tr>
      <w:tr>
        <w:tblPrEx>
          <w:tblCellMar>
            <w:top w:w="15" w:type="dxa"/>
            <w:left w:w="15" w:type="dxa"/>
            <w:bottom w:w="15" w:type="dxa"/>
            <w:right w:w="15" w:type="dxa"/>
          </w:tblCellMar>
        </w:tblPrEx>
        <w:trPr>
          <w:trHeight w:val="297" w:hRule="atLeast"/>
          <w:jc w:val="center"/>
        </w:trPr>
        <w:tc>
          <w:tcPr>
            <w:tcW w:w="960"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行政</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分区</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淮南市市区</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15.9</w:t>
            </w:r>
          </w:p>
        </w:tc>
        <w:tc>
          <w:tcPr>
            <w:tcW w:w="11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129</w:t>
            </w:r>
          </w:p>
        </w:tc>
        <w:tc>
          <w:tcPr>
            <w:tcW w:w="11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23.2</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152.2</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115.9</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284</w:t>
            </w:r>
          </w:p>
        </w:tc>
      </w:tr>
      <w:tr>
        <w:tblPrEx>
          <w:tblCellMar>
            <w:top w:w="15" w:type="dxa"/>
            <w:left w:w="15" w:type="dxa"/>
            <w:bottom w:w="15" w:type="dxa"/>
            <w:right w:w="15" w:type="dxa"/>
          </w:tblCellMar>
        </w:tblPrEx>
        <w:trPr>
          <w:trHeight w:val="297" w:hRule="atLeast"/>
          <w:jc w:val="center"/>
        </w:trPr>
        <w:tc>
          <w:tcPr>
            <w:tcW w:w="960"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55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潘集区</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18.3</w:t>
            </w:r>
          </w:p>
        </w:tc>
        <w:tc>
          <w:tcPr>
            <w:tcW w:w="11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91</w:t>
            </w:r>
          </w:p>
        </w:tc>
        <w:tc>
          <w:tcPr>
            <w:tcW w:w="11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18.3</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109.3</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82.7</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210.3</w:t>
            </w:r>
          </w:p>
        </w:tc>
      </w:tr>
      <w:tr>
        <w:tblPrEx>
          <w:tblCellMar>
            <w:top w:w="15" w:type="dxa"/>
            <w:left w:w="15" w:type="dxa"/>
            <w:bottom w:w="15" w:type="dxa"/>
            <w:right w:w="15" w:type="dxa"/>
          </w:tblCellMar>
        </w:tblPrEx>
        <w:trPr>
          <w:trHeight w:val="297" w:hRule="atLeast"/>
          <w:jc w:val="center"/>
        </w:trPr>
        <w:tc>
          <w:tcPr>
            <w:tcW w:w="960"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55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凤台县、毛集区</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35</w:t>
            </w:r>
          </w:p>
        </w:tc>
        <w:tc>
          <w:tcPr>
            <w:tcW w:w="11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117</w:t>
            </w:r>
          </w:p>
        </w:tc>
        <w:tc>
          <w:tcPr>
            <w:tcW w:w="11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19.8</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136.8</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104.6</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276.4</w:t>
            </w:r>
          </w:p>
        </w:tc>
      </w:tr>
      <w:tr>
        <w:tblPrEx>
          <w:tblCellMar>
            <w:top w:w="15" w:type="dxa"/>
            <w:left w:w="15" w:type="dxa"/>
            <w:bottom w:w="15" w:type="dxa"/>
            <w:right w:w="15" w:type="dxa"/>
          </w:tblCellMar>
        </w:tblPrEx>
        <w:trPr>
          <w:trHeight w:val="297" w:hRule="atLeast"/>
          <w:jc w:val="center"/>
        </w:trPr>
        <w:tc>
          <w:tcPr>
            <w:tcW w:w="960"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55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42.3</w:t>
            </w:r>
          </w:p>
        </w:tc>
        <w:tc>
          <w:tcPr>
            <w:tcW w:w="11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28</w:t>
            </w:r>
          </w:p>
        </w:tc>
        <w:tc>
          <w:tcPr>
            <w:tcW w:w="11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36</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52.3</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130.6</w:t>
            </w:r>
          </w:p>
        </w:tc>
      </w:tr>
      <w:tr>
        <w:tblPrEx>
          <w:tblCellMar>
            <w:top w:w="15" w:type="dxa"/>
            <w:left w:w="15" w:type="dxa"/>
            <w:bottom w:w="15" w:type="dxa"/>
            <w:right w:w="15" w:type="dxa"/>
          </w:tblCellMar>
        </w:tblPrEx>
        <w:trPr>
          <w:trHeight w:val="319" w:hRule="atLeast"/>
          <w:jc w:val="center"/>
        </w:trPr>
        <w:tc>
          <w:tcPr>
            <w:tcW w:w="960" w:type="dxa"/>
            <w:vMerge w:val="continue"/>
            <w:tcBorders>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p>
        </w:tc>
        <w:tc>
          <w:tcPr>
            <w:tcW w:w="155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bCs/>
                <w:kern w:val="0"/>
                <w:szCs w:val="21"/>
                <w:lang w:bidi="ar"/>
              </w:rPr>
            </w:pPr>
            <w:r>
              <w:rPr>
                <w:rFonts w:hint="default" w:ascii="Times New Roman" w:hAnsi="Times New Roman" w:eastAsia="方正仿宋_GBK" w:cs="Times New Roman"/>
                <w:b/>
                <w:bCs/>
                <w:kern w:val="0"/>
                <w:szCs w:val="21"/>
                <w:lang w:bidi="ar"/>
              </w:rPr>
              <w:t>合  计</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111.5</w:t>
            </w:r>
          </w:p>
        </w:tc>
        <w:tc>
          <w:tcPr>
            <w:tcW w:w="11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365</w:t>
            </w:r>
          </w:p>
        </w:tc>
        <w:tc>
          <w:tcPr>
            <w:tcW w:w="11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69.3</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434.3</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355.5</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901.3</w:t>
            </w:r>
          </w:p>
        </w:tc>
      </w:tr>
    </w:tbl>
    <w:p>
      <w:pPr>
        <w:pStyle w:val="5"/>
        <w:keepNext w:val="0"/>
        <w:keepLines w:val="0"/>
        <w:pageBreakBefore w:val="0"/>
        <w:widowControl w:val="0"/>
        <w:kinsoku/>
        <w:wordWrap/>
        <w:overflowPunct/>
        <w:autoSpaceDE/>
        <w:autoSpaceDN/>
        <w:bidi w:val="0"/>
        <w:adjustRightInd/>
        <w:snapToGrid/>
        <w:spacing w:line="590" w:lineRule="exact"/>
        <w:ind w:firstLine="562"/>
        <w:rPr>
          <w:rFonts w:hint="eastAsia" w:ascii="方正楷体_GBK" w:hAnsi="方正楷体_GBK" w:eastAsia="方正楷体_GBK" w:cs="方正楷体_GBK"/>
          <w:b w:val="0"/>
          <w:bCs/>
          <w:sz w:val="32"/>
          <w:szCs w:val="32"/>
        </w:rPr>
      </w:pPr>
      <w:bookmarkStart w:id="153" w:name="_Toc312309865"/>
      <w:bookmarkStart w:id="154" w:name="_Toc3433"/>
      <w:r>
        <w:rPr>
          <w:rFonts w:hint="eastAsia" w:ascii="方正楷体_GBK" w:hAnsi="方正楷体_GBK" w:eastAsia="方正楷体_GBK" w:cs="方正楷体_GBK"/>
          <w:b w:val="0"/>
          <w:bCs/>
          <w:sz w:val="32"/>
          <w:szCs w:val="32"/>
        </w:rPr>
        <w:t>三、农业发展现状</w:t>
      </w:r>
      <w:bookmarkEnd w:id="153"/>
      <w:bookmarkEnd w:id="154"/>
    </w:p>
    <w:p>
      <w:pPr>
        <w:keepNext w:val="0"/>
        <w:keepLines w:val="0"/>
        <w:pageBreakBefore w:val="0"/>
        <w:widowControl w:val="0"/>
        <w:kinsoku/>
        <w:wordWrap/>
        <w:overflowPunct/>
        <w:autoSpaceDE/>
        <w:autoSpaceDN/>
        <w:bidi w:val="0"/>
        <w:adjustRightInd/>
        <w:snapToGrid/>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2015年淮南市农作物播种面积530053公顷（795.08万亩），其中粮食种植面积431794公顷，棉花种植面积2421公顷，油料种植面积10468公顷，蔬菜种植面积35181公顷。全年粮食总产量315.8万t，棉花产量3497t，油料产量3.12万t。主要粮食作物为水稻、小麦、大豆和薯类，主要油料作物为油菜、花生、芝麻。</w:t>
      </w:r>
    </w:p>
    <w:p>
      <w:pPr>
        <w:keepNext w:val="0"/>
        <w:keepLines w:val="0"/>
        <w:pageBreakBefore w:val="0"/>
        <w:widowControl w:val="0"/>
        <w:kinsoku/>
        <w:wordWrap/>
        <w:overflowPunct/>
        <w:autoSpaceDE/>
        <w:autoSpaceDN/>
        <w:bidi w:val="0"/>
        <w:adjustRightInd/>
        <w:snapToGrid/>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全年主要肉类总产量23.97万吨。全年生猪出栏158.03万头，出栏羊75.45万只。</w:t>
      </w:r>
    </w:p>
    <w:p>
      <w:pPr>
        <w:keepNext w:val="0"/>
        <w:keepLines w:val="0"/>
        <w:pageBreakBefore w:val="0"/>
        <w:widowControl w:val="0"/>
        <w:kinsoku/>
        <w:wordWrap/>
        <w:overflowPunct/>
        <w:autoSpaceDE/>
        <w:autoSpaceDN/>
        <w:bidi w:val="0"/>
        <w:adjustRightInd/>
        <w:snapToGrid/>
        <w:spacing w:line="590" w:lineRule="exact"/>
        <w:ind w:firstLine="643" w:firstLineChars="200"/>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（1）有效灌溉面积</w:t>
      </w:r>
    </w:p>
    <w:p>
      <w:pPr>
        <w:keepNext w:val="0"/>
        <w:keepLines w:val="0"/>
        <w:pageBreakBefore w:val="0"/>
        <w:widowControl w:val="0"/>
        <w:kinsoku/>
        <w:wordWrap/>
        <w:overflowPunct/>
        <w:autoSpaceDE/>
        <w:autoSpaceDN/>
        <w:bidi w:val="0"/>
        <w:adjustRightInd/>
        <w:snapToGrid/>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全市现有有效灌溉面积390.5万亩，在有效灌溉面积中，河灌区371.5万亩（其中有井渠混灌面积16万亩），井灌区2.3万亩，灌溉林果地16.7万亩。全市耕地及播种面积见表4.1-5。</w:t>
      </w:r>
    </w:p>
    <w:p>
      <w:pPr>
        <w:spacing w:line="360" w:lineRule="auto"/>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表4.1-5  淮南市农业有效灌溉面积统计表</w:t>
      </w:r>
    </w:p>
    <w:tbl>
      <w:tblPr>
        <w:tblStyle w:val="12"/>
        <w:tblW w:w="0" w:type="auto"/>
        <w:jc w:val="center"/>
        <w:tblLayout w:type="fixed"/>
        <w:tblCellMar>
          <w:top w:w="15" w:type="dxa"/>
          <w:left w:w="15" w:type="dxa"/>
          <w:bottom w:w="15" w:type="dxa"/>
          <w:right w:w="15" w:type="dxa"/>
        </w:tblCellMar>
      </w:tblPr>
      <w:tblGrid>
        <w:gridCol w:w="792"/>
        <w:gridCol w:w="1409"/>
        <w:gridCol w:w="1545"/>
        <w:gridCol w:w="1105"/>
        <w:gridCol w:w="1544"/>
        <w:gridCol w:w="1105"/>
        <w:gridCol w:w="1112"/>
      </w:tblGrid>
      <w:tr>
        <w:tblPrEx>
          <w:tblCellMar>
            <w:top w:w="15" w:type="dxa"/>
            <w:left w:w="15" w:type="dxa"/>
            <w:bottom w:w="15" w:type="dxa"/>
            <w:right w:w="15" w:type="dxa"/>
          </w:tblCellMar>
        </w:tblPrEx>
        <w:trPr>
          <w:trHeight w:val="318" w:hRule="atLeast"/>
          <w:jc w:val="center"/>
        </w:trPr>
        <w:tc>
          <w:tcPr>
            <w:tcW w:w="2201" w:type="dxa"/>
            <w:gridSpan w:val="2"/>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计算分区</w:t>
            </w:r>
          </w:p>
        </w:tc>
        <w:tc>
          <w:tcPr>
            <w:tcW w:w="4194"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农田有效灌溉面积</w:t>
            </w:r>
          </w:p>
        </w:tc>
        <w:tc>
          <w:tcPr>
            <w:tcW w:w="1105"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林果</w:t>
            </w:r>
          </w:p>
        </w:tc>
        <w:tc>
          <w:tcPr>
            <w:tcW w:w="1112"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有效灌溉面积</w:t>
            </w:r>
          </w:p>
        </w:tc>
      </w:tr>
      <w:tr>
        <w:tblPrEx>
          <w:tblCellMar>
            <w:top w:w="15" w:type="dxa"/>
            <w:left w:w="15" w:type="dxa"/>
            <w:bottom w:w="15" w:type="dxa"/>
            <w:right w:w="15" w:type="dxa"/>
          </w:tblCellMar>
        </w:tblPrEx>
        <w:trPr>
          <w:trHeight w:val="312" w:hRule="atLeast"/>
          <w:jc w:val="center"/>
        </w:trPr>
        <w:tc>
          <w:tcPr>
            <w:tcW w:w="2201" w:type="dxa"/>
            <w:gridSpan w:val="2"/>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河灌区</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井灌区</w:t>
            </w:r>
          </w:p>
        </w:tc>
        <w:tc>
          <w:tcPr>
            <w:tcW w:w="15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小计</w:t>
            </w:r>
          </w:p>
        </w:tc>
        <w:tc>
          <w:tcPr>
            <w:tcW w:w="1105"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112"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r>
      <w:tr>
        <w:tblPrEx>
          <w:tblCellMar>
            <w:top w:w="15" w:type="dxa"/>
            <w:left w:w="15" w:type="dxa"/>
            <w:bottom w:w="15" w:type="dxa"/>
            <w:right w:w="15" w:type="dxa"/>
          </w:tblCellMar>
        </w:tblPrEx>
        <w:trPr>
          <w:trHeight w:val="407" w:hRule="atLeast"/>
          <w:jc w:val="center"/>
        </w:trPr>
        <w:tc>
          <w:tcPr>
            <w:tcW w:w="79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水资源分区</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王蚌区间北岸</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148.6 </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1.59</w:t>
            </w:r>
          </w:p>
        </w:tc>
        <w:tc>
          <w:tcPr>
            <w:tcW w:w="154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150.2 </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5.1</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155.4 </w:t>
            </w:r>
          </w:p>
        </w:tc>
      </w:tr>
      <w:tr>
        <w:tblPrEx>
          <w:tblCellMar>
            <w:top w:w="15" w:type="dxa"/>
            <w:left w:w="15" w:type="dxa"/>
            <w:bottom w:w="15" w:type="dxa"/>
            <w:right w:w="15" w:type="dxa"/>
          </w:tblCellMar>
        </w:tblPrEx>
        <w:trPr>
          <w:trHeight w:val="462" w:hRule="atLeast"/>
          <w:jc w:val="center"/>
        </w:trPr>
        <w:tc>
          <w:tcPr>
            <w:tcW w:w="79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4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王蚌区间南岸</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222.9 </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0.71</w:t>
            </w:r>
          </w:p>
        </w:tc>
        <w:tc>
          <w:tcPr>
            <w:tcW w:w="154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223.6 </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11.6</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235.2 </w:t>
            </w:r>
          </w:p>
        </w:tc>
      </w:tr>
      <w:tr>
        <w:tblPrEx>
          <w:tblCellMar>
            <w:top w:w="15" w:type="dxa"/>
            <w:left w:w="15" w:type="dxa"/>
            <w:bottom w:w="15" w:type="dxa"/>
            <w:right w:w="15" w:type="dxa"/>
          </w:tblCellMar>
        </w:tblPrEx>
        <w:trPr>
          <w:trHeight w:val="318" w:hRule="atLeast"/>
          <w:jc w:val="center"/>
        </w:trPr>
        <w:tc>
          <w:tcPr>
            <w:tcW w:w="79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4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合计</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szCs w:val="21"/>
              </w:rPr>
              <w:t xml:space="preserve">371.5 </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szCs w:val="21"/>
              </w:rPr>
              <w:t xml:space="preserve">2.3 </w:t>
            </w:r>
          </w:p>
        </w:tc>
        <w:tc>
          <w:tcPr>
            <w:tcW w:w="154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szCs w:val="21"/>
              </w:rPr>
              <w:t xml:space="preserve">373.8 </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szCs w:val="21"/>
              </w:rPr>
              <w:t xml:space="preserve">16.7 </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szCs w:val="21"/>
              </w:rPr>
              <w:t xml:space="preserve">390.5 </w:t>
            </w:r>
          </w:p>
        </w:tc>
      </w:tr>
      <w:tr>
        <w:tblPrEx>
          <w:tblCellMar>
            <w:top w:w="15" w:type="dxa"/>
            <w:left w:w="15" w:type="dxa"/>
            <w:bottom w:w="15" w:type="dxa"/>
            <w:right w:w="15" w:type="dxa"/>
          </w:tblCellMar>
        </w:tblPrEx>
        <w:trPr>
          <w:trHeight w:val="318" w:hRule="atLeast"/>
          <w:jc w:val="center"/>
        </w:trPr>
        <w:tc>
          <w:tcPr>
            <w:tcW w:w="79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行政分区</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淮南市辖区</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52.8 </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0.71</w:t>
            </w:r>
          </w:p>
        </w:tc>
        <w:tc>
          <w:tcPr>
            <w:tcW w:w="154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53.5 </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3.6</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57.1 </w:t>
            </w:r>
          </w:p>
        </w:tc>
      </w:tr>
      <w:tr>
        <w:tblPrEx>
          <w:tblCellMar>
            <w:top w:w="15" w:type="dxa"/>
            <w:left w:w="15" w:type="dxa"/>
            <w:bottom w:w="15" w:type="dxa"/>
            <w:right w:w="15" w:type="dxa"/>
          </w:tblCellMar>
        </w:tblPrEx>
        <w:trPr>
          <w:trHeight w:val="380" w:hRule="atLeast"/>
          <w:jc w:val="center"/>
        </w:trPr>
        <w:tc>
          <w:tcPr>
            <w:tcW w:w="79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4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潘集区</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57.9 </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0.73</w:t>
            </w:r>
          </w:p>
        </w:tc>
        <w:tc>
          <w:tcPr>
            <w:tcW w:w="154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58.6 </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2.2</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60.8 </w:t>
            </w:r>
          </w:p>
        </w:tc>
      </w:tr>
      <w:tr>
        <w:tblPrEx>
          <w:tblCellMar>
            <w:top w:w="15" w:type="dxa"/>
            <w:left w:w="15" w:type="dxa"/>
            <w:bottom w:w="15" w:type="dxa"/>
            <w:right w:w="15" w:type="dxa"/>
          </w:tblCellMar>
        </w:tblPrEx>
        <w:trPr>
          <w:trHeight w:val="441" w:hRule="atLeast"/>
          <w:jc w:val="center"/>
        </w:trPr>
        <w:tc>
          <w:tcPr>
            <w:tcW w:w="79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4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凤台县、毛集区</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90.8 </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0.86</w:t>
            </w:r>
          </w:p>
        </w:tc>
        <w:tc>
          <w:tcPr>
            <w:tcW w:w="154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91.6 </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2.9</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94.5 </w:t>
            </w:r>
          </w:p>
        </w:tc>
      </w:tr>
      <w:tr>
        <w:tblPrEx>
          <w:tblCellMar>
            <w:top w:w="15" w:type="dxa"/>
            <w:left w:w="15" w:type="dxa"/>
            <w:bottom w:w="15" w:type="dxa"/>
            <w:right w:w="15" w:type="dxa"/>
          </w:tblCellMar>
        </w:tblPrEx>
        <w:trPr>
          <w:trHeight w:val="318" w:hRule="atLeast"/>
          <w:jc w:val="center"/>
        </w:trPr>
        <w:tc>
          <w:tcPr>
            <w:tcW w:w="79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4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170.1 </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w:t>
            </w:r>
          </w:p>
        </w:tc>
        <w:tc>
          <w:tcPr>
            <w:tcW w:w="154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170.1 </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8.0</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178.1 </w:t>
            </w:r>
          </w:p>
        </w:tc>
      </w:tr>
      <w:tr>
        <w:tblPrEx>
          <w:tblCellMar>
            <w:top w:w="15" w:type="dxa"/>
            <w:left w:w="15" w:type="dxa"/>
            <w:bottom w:w="15" w:type="dxa"/>
            <w:right w:w="15" w:type="dxa"/>
          </w:tblCellMar>
        </w:tblPrEx>
        <w:trPr>
          <w:trHeight w:val="327" w:hRule="atLeast"/>
          <w:jc w:val="center"/>
        </w:trPr>
        <w:tc>
          <w:tcPr>
            <w:tcW w:w="79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4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合  计</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szCs w:val="21"/>
              </w:rPr>
              <w:t xml:space="preserve">371.5 </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szCs w:val="21"/>
              </w:rPr>
              <w:t xml:space="preserve">2.3 </w:t>
            </w:r>
          </w:p>
        </w:tc>
        <w:tc>
          <w:tcPr>
            <w:tcW w:w="154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szCs w:val="21"/>
              </w:rPr>
              <w:t xml:space="preserve">373.8 </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szCs w:val="21"/>
              </w:rPr>
              <w:t xml:space="preserve">16.7 </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szCs w:val="21"/>
              </w:rPr>
              <w:t xml:space="preserve">390.5 </w:t>
            </w:r>
          </w:p>
        </w:tc>
      </w:tr>
    </w:tbl>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（2）畜牧业及鱼塘面积</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到2015年末，全市共有鱼塘面积约20.1万亩；全市大牲畜存栏数21.9万头，小牲畜275.9万只。畜牧业生产重点主要集中于淮河以南，合计大、小牲畜总数年底存栏数297.8万头（只），王蚌区间北岸约占全市总数的34.5%，南岸只占65.5%。</w:t>
      </w: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具体情况见表4.1-6。</w:t>
      </w:r>
    </w:p>
    <w:p>
      <w:pPr>
        <w:spacing w:line="360" w:lineRule="auto"/>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表4.1-6   淮南市鱼、畜牧业生产情况</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54"/>
        <w:gridCol w:w="1650"/>
        <w:gridCol w:w="1451"/>
        <w:gridCol w:w="1459"/>
        <w:gridCol w:w="1557"/>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6" w:hRule="atLeast"/>
          <w:jc w:val="center"/>
        </w:trPr>
        <w:tc>
          <w:tcPr>
            <w:tcW w:w="2704" w:type="dxa"/>
            <w:gridSpan w:val="2"/>
            <w:vMerge w:val="restart"/>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计算分区</w:t>
            </w:r>
          </w:p>
        </w:tc>
        <w:tc>
          <w:tcPr>
            <w:tcW w:w="1451" w:type="dxa"/>
            <w:vMerge w:val="restart"/>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鱼塘补水</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（万亩）</w:t>
            </w:r>
          </w:p>
        </w:tc>
        <w:tc>
          <w:tcPr>
            <w:tcW w:w="4525" w:type="dxa"/>
            <w:gridSpan w:val="3"/>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牲畜头数（万头/万只）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6" w:hRule="atLeast"/>
          <w:jc w:val="center"/>
        </w:trPr>
        <w:tc>
          <w:tcPr>
            <w:tcW w:w="2704" w:type="dxa"/>
            <w:gridSpan w:val="2"/>
            <w:vMerge w:val="continue"/>
            <w:noWrap w:val="0"/>
            <w:vAlign w:val="center"/>
          </w:tcPr>
          <w:p>
            <w:pPr>
              <w:jc w:val="center"/>
              <w:rPr>
                <w:rFonts w:hint="default" w:ascii="Times New Roman" w:hAnsi="Times New Roman" w:eastAsia="方正仿宋_GBK" w:cs="Times New Roman"/>
                <w:szCs w:val="21"/>
              </w:rPr>
            </w:pPr>
          </w:p>
        </w:tc>
        <w:tc>
          <w:tcPr>
            <w:tcW w:w="1451" w:type="dxa"/>
            <w:vMerge w:val="continue"/>
            <w:noWrap w:val="0"/>
            <w:vAlign w:val="center"/>
          </w:tcPr>
          <w:p>
            <w:pPr>
              <w:widowControl/>
              <w:jc w:val="center"/>
              <w:textAlignment w:val="center"/>
              <w:rPr>
                <w:rFonts w:hint="default" w:ascii="Times New Roman" w:hAnsi="Times New Roman" w:eastAsia="方正仿宋_GBK" w:cs="Times New Roman"/>
                <w:szCs w:val="21"/>
              </w:rPr>
            </w:pPr>
          </w:p>
        </w:tc>
        <w:tc>
          <w:tcPr>
            <w:tcW w:w="1459"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大牲畜</w:t>
            </w:r>
          </w:p>
        </w:tc>
        <w:tc>
          <w:tcPr>
            <w:tcW w:w="1557"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小牲畜</w:t>
            </w:r>
          </w:p>
        </w:tc>
        <w:tc>
          <w:tcPr>
            <w:tcW w:w="1509"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6" w:hRule="atLeast"/>
          <w:jc w:val="center"/>
        </w:trPr>
        <w:tc>
          <w:tcPr>
            <w:tcW w:w="1054" w:type="dxa"/>
            <w:vMerge w:val="restart"/>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水资源</w:t>
            </w:r>
          </w:p>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分区</w:t>
            </w:r>
          </w:p>
        </w:tc>
        <w:tc>
          <w:tcPr>
            <w:tcW w:w="1650"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王蚌区间北岸</w:t>
            </w:r>
          </w:p>
        </w:tc>
        <w:tc>
          <w:tcPr>
            <w:tcW w:w="1451"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6.3 </w:t>
            </w:r>
          </w:p>
        </w:tc>
        <w:tc>
          <w:tcPr>
            <w:tcW w:w="1459"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8.1 </w:t>
            </w:r>
          </w:p>
        </w:tc>
        <w:tc>
          <w:tcPr>
            <w:tcW w:w="1557"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94.7 </w:t>
            </w:r>
          </w:p>
        </w:tc>
        <w:tc>
          <w:tcPr>
            <w:tcW w:w="1509"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102.8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6" w:hRule="atLeast"/>
          <w:jc w:val="center"/>
        </w:trPr>
        <w:tc>
          <w:tcPr>
            <w:tcW w:w="1054" w:type="dxa"/>
            <w:vMerge w:val="continue"/>
            <w:noWrap w:val="0"/>
            <w:vAlign w:val="center"/>
          </w:tcPr>
          <w:p>
            <w:pPr>
              <w:widowControl/>
              <w:jc w:val="center"/>
              <w:textAlignment w:val="center"/>
              <w:rPr>
                <w:rFonts w:hint="default" w:ascii="Times New Roman" w:hAnsi="Times New Roman" w:eastAsia="方正仿宋_GBK" w:cs="Times New Roman"/>
                <w:szCs w:val="21"/>
              </w:rPr>
            </w:pPr>
          </w:p>
        </w:tc>
        <w:tc>
          <w:tcPr>
            <w:tcW w:w="1650"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王蚌区间南岸</w:t>
            </w:r>
          </w:p>
        </w:tc>
        <w:tc>
          <w:tcPr>
            <w:tcW w:w="1451"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13.8 </w:t>
            </w:r>
          </w:p>
        </w:tc>
        <w:tc>
          <w:tcPr>
            <w:tcW w:w="1459"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13.8 </w:t>
            </w:r>
          </w:p>
        </w:tc>
        <w:tc>
          <w:tcPr>
            <w:tcW w:w="1557"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181.2 </w:t>
            </w:r>
          </w:p>
        </w:tc>
        <w:tc>
          <w:tcPr>
            <w:tcW w:w="1509"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194.9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6" w:hRule="atLeast"/>
          <w:jc w:val="center"/>
        </w:trPr>
        <w:tc>
          <w:tcPr>
            <w:tcW w:w="1054" w:type="dxa"/>
            <w:vMerge w:val="continue"/>
            <w:noWrap w:val="0"/>
            <w:vAlign w:val="center"/>
          </w:tcPr>
          <w:p>
            <w:pPr>
              <w:widowControl/>
              <w:jc w:val="center"/>
              <w:textAlignment w:val="center"/>
              <w:rPr>
                <w:rFonts w:hint="default" w:ascii="Times New Roman" w:hAnsi="Times New Roman" w:eastAsia="方正仿宋_GBK" w:cs="Times New Roman"/>
                <w:kern w:val="0"/>
                <w:szCs w:val="21"/>
                <w:lang w:bidi="ar"/>
              </w:rPr>
            </w:pPr>
          </w:p>
        </w:tc>
        <w:tc>
          <w:tcPr>
            <w:tcW w:w="1650"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b/>
                <w:bCs/>
                <w:kern w:val="0"/>
                <w:szCs w:val="21"/>
                <w:lang w:bidi="ar"/>
              </w:rPr>
              <w:t>合  计</w:t>
            </w:r>
          </w:p>
        </w:tc>
        <w:tc>
          <w:tcPr>
            <w:tcW w:w="1451"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b/>
                <w:bCs/>
                <w:kern w:val="0"/>
                <w:szCs w:val="21"/>
                <w:lang w:bidi="ar"/>
              </w:rPr>
              <w:t xml:space="preserve">20.1 </w:t>
            </w:r>
          </w:p>
        </w:tc>
        <w:tc>
          <w:tcPr>
            <w:tcW w:w="1459"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b/>
                <w:bCs/>
                <w:kern w:val="0"/>
                <w:szCs w:val="21"/>
                <w:lang w:bidi="ar"/>
              </w:rPr>
              <w:t xml:space="preserve">21.9 </w:t>
            </w:r>
          </w:p>
        </w:tc>
        <w:tc>
          <w:tcPr>
            <w:tcW w:w="1557"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b/>
                <w:bCs/>
                <w:kern w:val="0"/>
                <w:szCs w:val="21"/>
                <w:lang w:bidi="ar"/>
              </w:rPr>
              <w:t xml:space="preserve">275.9 </w:t>
            </w:r>
          </w:p>
        </w:tc>
        <w:tc>
          <w:tcPr>
            <w:tcW w:w="1509"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b/>
                <w:bCs/>
                <w:kern w:val="0"/>
                <w:szCs w:val="21"/>
                <w:lang w:bidi="ar"/>
              </w:rPr>
              <w:t xml:space="preserve">297.8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6" w:hRule="atLeast"/>
          <w:jc w:val="center"/>
        </w:trPr>
        <w:tc>
          <w:tcPr>
            <w:tcW w:w="1054" w:type="dxa"/>
            <w:vMerge w:val="restart"/>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行政分区</w:t>
            </w:r>
          </w:p>
        </w:tc>
        <w:tc>
          <w:tcPr>
            <w:tcW w:w="1650"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淮南市市区</w:t>
            </w:r>
          </w:p>
        </w:tc>
        <w:tc>
          <w:tcPr>
            <w:tcW w:w="1451"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3.4 </w:t>
            </w:r>
          </w:p>
        </w:tc>
        <w:tc>
          <w:tcPr>
            <w:tcW w:w="1459"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2.9 </w:t>
            </w:r>
          </w:p>
        </w:tc>
        <w:tc>
          <w:tcPr>
            <w:tcW w:w="1557"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22.7 </w:t>
            </w:r>
          </w:p>
        </w:tc>
        <w:tc>
          <w:tcPr>
            <w:tcW w:w="1509"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6" w:hRule="atLeast"/>
          <w:jc w:val="center"/>
        </w:trPr>
        <w:tc>
          <w:tcPr>
            <w:tcW w:w="1054" w:type="dxa"/>
            <w:vMerge w:val="continue"/>
            <w:noWrap w:val="0"/>
            <w:vAlign w:val="center"/>
          </w:tcPr>
          <w:p>
            <w:pPr>
              <w:jc w:val="center"/>
              <w:rPr>
                <w:rFonts w:hint="default" w:ascii="Times New Roman" w:hAnsi="Times New Roman" w:eastAsia="方正仿宋_GBK" w:cs="Times New Roman"/>
                <w:szCs w:val="21"/>
              </w:rPr>
            </w:pPr>
          </w:p>
        </w:tc>
        <w:tc>
          <w:tcPr>
            <w:tcW w:w="1650"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潘集区</w:t>
            </w:r>
          </w:p>
        </w:tc>
        <w:tc>
          <w:tcPr>
            <w:tcW w:w="1451"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1.9 </w:t>
            </w:r>
          </w:p>
        </w:tc>
        <w:tc>
          <w:tcPr>
            <w:tcW w:w="1459"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2.7 </w:t>
            </w:r>
          </w:p>
        </w:tc>
        <w:tc>
          <w:tcPr>
            <w:tcW w:w="1557"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24.6 </w:t>
            </w:r>
          </w:p>
        </w:tc>
        <w:tc>
          <w:tcPr>
            <w:tcW w:w="1509"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27.3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6" w:hRule="atLeast"/>
          <w:jc w:val="center"/>
        </w:trPr>
        <w:tc>
          <w:tcPr>
            <w:tcW w:w="1054" w:type="dxa"/>
            <w:vMerge w:val="continue"/>
            <w:noWrap w:val="0"/>
            <w:vAlign w:val="center"/>
          </w:tcPr>
          <w:p>
            <w:pPr>
              <w:jc w:val="center"/>
              <w:rPr>
                <w:rFonts w:hint="default" w:ascii="Times New Roman" w:hAnsi="Times New Roman" w:eastAsia="方正仿宋_GBK" w:cs="Times New Roman"/>
                <w:szCs w:val="21"/>
              </w:rPr>
            </w:pPr>
          </w:p>
        </w:tc>
        <w:tc>
          <w:tcPr>
            <w:tcW w:w="1650"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凤台县、毛集区</w:t>
            </w:r>
          </w:p>
        </w:tc>
        <w:tc>
          <w:tcPr>
            <w:tcW w:w="1451"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4.6 </w:t>
            </w:r>
          </w:p>
        </w:tc>
        <w:tc>
          <w:tcPr>
            <w:tcW w:w="1459"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5.7 </w:t>
            </w:r>
          </w:p>
        </w:tc>
        <w:tc>
          <w:tcPr>
            <w:tcW w:w="1557"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74.3 </w:t>
            </w:r>
          </w:p>
        </w:tc>
        <w:tc>
          <w:tcPr>
            <w:tcW w:w="1509"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6" w:hRule="atLeast"/>
          <w:jc w:val="center"/>
        </w:trPr>
        <w:tc>
          <w:tcPr>
            <w:tcW w:w="1054" w:type="dxa"/>
            <w:vMerge w:val="continue"/>
            <w:noWrap w:val="0"/>
            <w:vAlign w:val="center"/>
          </w:tcPr>
          <w:p>
            <w:pPr>
              <w:jc w:val="center"/>
              <w:rPr>
                <w:rFonts w:hint="default" w:ascii="Times New Roman" w:hAnsi="Times New Roman" w:eastAsia="方正仿宋_GBK" w:cs="Times New Roman"/>
                <w:szCs w:val="21"/>
              </w:rPr>
            </w:pPr>
          </w:p>
        </w:tc>
        <w:tc>
          <w:tcPr>
            <w:tcW w:w="1650"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1451"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10.2 </w:t>
            </w:r>
          </w:p>
        </w:tc>
        <w:tc>
          <w:tcPr>
            <w:tcW w:w="1459"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10.5 </w:t>
            </w:r>
          </w:p>
        </w:tc>
        <w:tc>
          <w:tcPr>
            <w:tcW w:w="1557"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154.3 </w:t>
            </w:r>
          </w:p>
        </w:tc>
        <w:tc>
          <w:tcPr>
            <w:tcW w:w="1509"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164.8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6" w:hRule="atLeast"/>
          <w:jc w:val="center"/>
        </w:trPr>
        <w:tc>
          <w:tcPr>
            <w:tcW w:w="1054" w:type="dxa"/>
            <w:vMerge w:val="continue"/>
            <w:noWrap w:val="0"/>
            <w:vAlign w:val="center"/>
          </w:tcPr>
          <w:p>
            <w:pPr>
              <w:widowControl/>
              <w:jc w:val="center"/>
              <w:textAlignment w:val="center"/>
              <w:rPr>
                <w:rFonts w:hint="default" w:ascii="Times New Roman" w:hAnsi="Times New Roman" w:eastAsia="方正仿宋_GBK" w:cs="Times New Roman"/>
                <w:szCs w:val="21"/>
              </w:rPr>
            </w:pPr>
          </w:p>
        </w:tc>
        <w:tc>
          <w:tcPr>
            <w:tcW w:w="1650" w:type="dxa"/>
            <w:noWrap w:val="0"/>
            <w:vAlign w:val="center"/>
          </w:tcPr>
          <w:p>
            <w:pPr>
              <w:widowControl/>
              <w:jc w:val="center"/>
              <w:textAlignment w:val="center"/>
              <w:rPr>
                <w:rFonts w:hint="default" w:ascii="Times New Roman" w:hAnsi="Times New Roman" w:eastAsia="方正仿宋_GBK" w:cs="Times New Roman"/>
                <w:b/>
                <w:bCs/>
                <w:kern w:val="0"/>
                <w:szCs w:val="21"/>
                <w:lang w:bidi="ar"/>
              </w:rPr>
            </w:pPr>
            <w:r>
              <w:rPr>
                <w:rFonts w:hint="default" w:ascii="Times New Roman" w:hAnsi="Times New Roman" w:eastAsia="方正仿宋_GBK" w:cs="Times New Roman"/>
                <w:b/>
                <w:bCs/>
                <w:kern w:val="0"/>
                <w:szCs w:val="21"/>
                <w:lang w:bidi="ar"/>
              </w:rPr>
              <w:t>合  计</w:t>
            </w:r>
          </w:p>
        </w:tc>
        <w:tc>
          <w:tcPr>
            <w:tcW w:w="1451" w:type="dxa"/>
            <w:noWrap w:val="0"/>
            <w:vAlign w:val="center"/>
          </w:tcPr>
          <w:p>
            <w:pPr>
              <w:widowControl/>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 xml:space="preserve">20.1 </w:t>
            </w:r>
          </w:p>
        </w:tc>
        <w:tc>
          <w:tcPr>
            <w:tcW w:w="1459" w:type="dxa"/>
            <w:noWrap w:val="0"/>
            <w:vAlign w:val="center"/>
          </w:tcPr>
          <w:p>
            <w:pPr>
              <w:widowControl/>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 xml:space="preserve">21.9 </w:t>
            </w:r>
          </w:p>
        </w:tc>
        <w:tc>
          <w:tcPr>
            <w:tcW w:w="1557" w:type="dxa"/>
            <w:noWrap w:val="0"/>
            <w:vAlign w:val="center"/>
          </w:tcPr>
          <w:p>
            <w:pPr>
              <w:widowControl/>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 xml:space="preserve">275.9 </w:t>
            </w:r>
          </w:p>
        </w:tc>
        <w:tc>
          <w:tcPr>
            <w:tcW w:w="1509" w:type="dxa"/>
            <w:noWrap w:val="0"/>
            <w:vAlign w:val="center"/>
          </w:tcPr>
          <w:p>
            <w:pPr>
              <w:widowControl/>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kern w:val="0"/>
                <w:szCs w:val="21"/>
                <w:lang w:bidi="ar"/>
              </w:rPr>
              <w:t xml:space="preserve">297.8 </w:t>
            </w:r>
          </w:p>
        </w:tc>
      </w:tr>
    </w:tbl>
    <w:p>
      <w:bookmarkStart w:id="155" w:name="_Toc312309866"/>
    </w:p>
    <w:p>
      <w:pPr>
        <w:pStyle w:val="2"/>
        <w:ind w:firstLine="480"/>
        <w:rPr>
          <w:rFonts w:ascii="Times New Roman" w:hAnsi="Times New Roman"/>
        </w:rPr>
      </w:pPr>
    </w:p>
    <w:p>
      <w:pPr>
        <w:pStyle w:val="4"/>
        <w:pageBreakBefore w:val="0"/>
        <w:widowControl w:val="0"/>
        <w:kinsoku/>
        <w:wordWrap/>
        <w:overflowPunct/>
        <w:autoSpaceDE/>
        <w:autoSpaceDN/>
        <w:bidi w:val="0"/>
        <w:adjustRightInd/>
        <w:snapToGrid/>
        <w:spacing w:line="590" w:lineRule="exact"/>
        <w:rPr>
          <w:rFonts w:hint="default" w:ascii="Times New Roman" w:hAnsi="Times New Roman" w:eastAsia="方正黑体_GBK" w:cs="Times New Roman"/>
          <w:b w:val="0"/>
          <w:bCs w:val="0"/>
          <w:sz w:val="32"/>
          <w:szCs w:val="36"/>
        </w:rPr>
      </w:pPr>
      <w:bookmarkStart w:id="156" w:name="_Toc27732"/>
      <w:r>
        <w:rPr>
          <w:rFonts w:hint="default" w:ascii="Times New Roman" w:hAnsi="Times New Roman" w:eastAsia="方正黑体_GBK" w:cs="Times New Roman"/>
          <w:b w:val="0"/>
          <w:bCs w:val="0"/>
          <w:sz w:val="32"/>
          <w:szCs w:val="36"/>
        </w:rPr>
        <w:t>第二节  经济社会发展主要指标预测</w:t>
      </w:r>
      <w:bookmarkEnd w:id="155"/>
      <w:bookmarkEnd w:id="156"/>
    </w:p>
    <w:p>
      <w:pPr>
        <w:pStyle w:val="5"/>
        <w:pageBreakBefore w:val="0"/>
        <w:widowControl w:val="0"/>
        <w:kinsoku/>
        <w:wordWrap/>
        <w:overflowPunct/>
        <w:autoSpaceDE/>
        <w:autoSpaceDN/>
        <w:bidi w:val="0"/>
        <w:adjustRightInd/>
        <w:snapToGrid/>
        <w:spacing w:line="590" w:lineRule="exact"/>
        <w:ind w:firstLine="482"/>
        <w:rPr>
          <w:rFonts w:hint="default" w:ascii="Times New Roman" w:hAnsi="Times New Roman" w:eastAsia="方正楷体_GBK" w:cs="Times New Roman"/>
          <w:szCs w:val="24"/>
        </w:rPr>
      </w:pPr>
      <w:bookmarkStart w:id="157" w:name="_Toc10130"/>
      <w:bookmarkStart w:id="158" w:name="_Toc312309867"/>
      <w:r>
        <w:rPr>
          <w:rFonts w:hint="default" w:ascii="Times New Roman" w:hAnsi="Times New Roman" w:eastAsia="方正楷体_GBK" w:cs="Times New Roman"/>
          <w:b w:val="0"/>
          <w:bCs/>
          <w:sz w:val="32"/>
          <w:szCs w:val="32"/>
        </w:rPr>
        <w:t>一、人口与城镇化预测</w:t>
      </w:r>
      <w:bookmarkEnd w:id="157"/>
      <w:bookmarkEnd w:id="158"/>
    </w:p>
    <w:p>
      <w:pPr>
        <w:pageBreakBefore w:val="0"/>
        <w:widowControl w:val="0"/>
        <w:kinsoku/>
        <w:wordWrap/>
        <w:overflowPunct/>
        <w:autoSpaceDE/>
        <w:autoSpaceDN/>
        <w:bidi w:val="0"/>
        <w:adjustRightInd/>
        <w:snapToGrid/>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状年2015年，常住总人口达到343.1万人左右，其中城镇人口201.9万人左右，城镇化率达58.9%左右；根据《淮南市国民经济和社会发展十三个五年发展规划纲要》、《安徽省城镇体系规划》（2014.8）、县区相关规划并参考其人口预测方法，预测淮南市域总人口规模为：2020年，淮南市总人口将达到372.5万人左右，其中城镇人口243.8万人左右，城镇化率达65%左右；至2030年，总人口将达到402.7万人左右，其中城镇人口301.8万人左右，城镇化率达75%左右。</w:t>
      </w:r>
    </w:p>
    <w:p>
      <w:pPr>
        <w:pageBreakBefore w:val="0"/>
        <w:widowControl w:val="0"/>
        <w:kinsoku/>
        <w:wordWrap/>
        <w:overflowPunct/>
        <w:autoSpaceDE/>
        <w:autoSpaceDN/>
        <w:bidi w:val="0"/>
        <w:adjustRightInd/>
        <w:snapToGrid/>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各水平年淮南市人口、城镇化率预测结果见表4.2-1。</w:t>
      </w:r>
    </w:p>
    <w:p>
      <w:pPr>
        <w:spacing w:line="360" w:lineRule="auto"/>
        <w:jc w:val="center"/>
        <w:rPr>
          <w:rFonts w:hint="eastAsia" w:ascii="方正黑体_GBK" w:hAnsi="方正黑体_GBK" w:eastAsia="方正黑体_GBK" w:cs="方正黑体_GBK"/>
          <w:sz w:val="24"/>
        </w:rPr>
      </w:pPr>
      <w:r>
        <w:rPr>
          <w:rFonts w:hint="eastAsia" w:ascii="方正黑体_GBK" w:hAnsi="方正黑体_GBK" w:eastAsia="方正黑体_GBK" w:cs="方正黑体_GBK"/>
          <w:b/>
          <w:bCs/>
          <w:sz w:val="24"/>
        </w:rPr>
        <w:t>表4.2-1  淮南市人口与城镇化率预测表</w:t>
      </w:r>
    </w:p>
    <w:tbl>
      <w:tblPr>
        <w:tblStyle w:val="12"/>
        <w:tblW w:w="0" w:type="auto"/>
        <w:jc w:val="center"/>
        <w:tblLayout w:type="fixed"/>
        <w:tblCellMar>
          <w:top w:w="0" w:type="dxa"/>
          <w:left w:w="108" w:type="dxa"/>
          <w:bottom w:w="0" w:type="dxa"/>
          <w:right w:w="108" w:type="dxa"/>
        </w:tblCellMar>
      </w:tblPr>
      <w:tblGrid>
        <w:gridCol w:w="1140"/>
        <w:gridCol w:w="1140"/>
        <w:gridCol w:w="1631"/>
        <w:gridCol w:w="1144"/>
        <w:gridCol w:w="1140"/>
        <w:gridCol w:w="1145"/>
        <w:gridCol w:w="1140"/>
      </w:tblGrid>
      <w:tr>
        <w:tblPrEx>
          <w:tblCellMar>
            <w:top w:w="0" w:type="dxa"/>
            <w:left w:w="108" w:type="dxa"/>
            <w:bottom w:w="0" w:type="dxa"/>
            <w:right w:w="108" w:type="dxa"/>
          </w:tblCellMar>
        </w:tblPrEx>
        <w:trPr>
          <w:trHeight w:val="587" w:hRule="atLeast"/>
          <w:jc w:val="center"/>
        </w:trPr>
        <w:tc>
          <w:tcPr>
            <w:tcW w:w="114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水平年</w:t>
            </w:r>
          </w:p>
        </w:tc>
        <w:tc>
          <w:tcPr>
            <w:tcW w:w="2771" w:type="dxa"/>
            <w:gridSpan w:val="2"/>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计算分区</w:t>
            </w:r>
          </w:p>
        </w:tc>
        <w:tc>
          <w:tcPr>
            <w:tcW w:w="1144"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总人口     （万人）</w:t>
            </w:r>
          </w:p>
        </w:tc>
        <w:tc>
          <w:tcPr>
            <w:tcW w:w="1140"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城镇人口    （万人）</w:t>
            </w:r>
          </w:p>
        </w:tc>
        <w:tc>
          <w:tcPr>
            <w:tcW w:w="1145"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农村人口      （万人）</w:t>
            </w:r>
          </w:p>
        </w:tc>
        <w:tc>
          <w:tcPr>
            <w:tcW w:w="1140"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城镇化率（%）</w:t>
            </w:r>
          </w:p>
        </w:tc>
      </w:tr>
      <w:tr>
        <w:tblPrEx>
          <w:tblCellMar>
            <w:top w:w="0" w:type="dxa"/>
            <w:left w:w="108" w:type="dxa"/>
            <w:bottom w:w="0" w:type="dxa"/>
            <w:right w:w="108" w:type="dxa"/>
          </w:tblCellMar>
        </w:tblPrEx>
        <w:trPr>
          <w:trHeight w:val="285" w:hRule="atLeast"/>
          <w:jc w:val="center"/>
        </w:trPr>
        <w:tc>
          <w:tcPr>
            <w:tcW w:w="1140"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2015年</w:t>
            </w:r>
          </w:p>
        </w:tc>
        <w:tc>
          <w:tcPr>
            <w:tcW w:w="1140"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w:t>
            </w:r>
          </w:p>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分区</w:t>
            </w:r>
          </w:p>
        </w:tc>
        <w:tc>
          <w:tcPr>
            <w:tcW w:w="16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14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106.5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43.6 </w:t>
            </w:r>
          </w:p>
        </w:tc>
        <w:tc>
          <w:tcPr>
            <w:tcW w:w="114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62.8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41.0 </w:t>
            </w:r>
          </w:p>
        </w:tc>
      </w:tr>
      <w:tr>
        <w:tblPrEx>
          <w:tblCellMar>
            <w:top w:w="0" w:type="dxa"/>
            <w:left w:w="108" w:type="dxa"/>
            <w:bottom w:w="0" w:type="dxa"/>
            <w:right w:w="108" w:type="dxa"/>
          </w:tblCellMar>
        </w:tblPrEx>
        <w:trPr>
          <w:trHeight w:val="285" w:hRule="atLeast"/>
          <w:jc w:val="center"/>
        </w:trPr>
        <w:tc>
          <w:tcPr>
            <w:tcW w:w="1140"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140"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14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236.6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158.3 </w:t>
            </w:r>
          </w:p>
        </w:tc>
        <w:tc>
          <w:tcPr>
            <w:tcW w:w="114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78.3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66.9 </w:t>
            </w:r>
          </w:p>
        </w:tc>
      </w:tr>
      <w:tr>
        <w:tblPrEx>
          <w:tblCellMar>
            <w:top w:w="0" w:type="dxa"/>
            <w:left w:w="108" w:type="dxa"/>
            <w:bottom w:w="0" w:type="dxa"/>
            <w:right w:w="108" w:type="dxa"/>
          </w:tblCellMar>
        </w:tblPrEx>
        <w:trPr>
          <w:trHeight w:val="285" w:hRule="atLeast"/>
          <w:jc w:val="center"/>
        </w:trPr>
        <w:tc>
          <w:tcPr>
            <w:tcW w:w="1140"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140"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114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343.1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201.9 </w:t>
            </w:r>
          </w:p>
        </w:tc>
        <w:tc>
          <w:tcPr>
            <w:tcW w:w="114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141.2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58.9 </w:t>
            </w:r>
          </w:p>
        </w:tc>
      </w:tr>
      <w:tr>
        <w:tblPrEx>
          <w:tblCellMar>
            <w:top w:w="0" w:type="dxa"/>
            <w:left w:w="108" w:type="dxa"/>
            <w:bottom w:w="0" w:type="dxa"/>
            <w:right w:w="108" w:type="dxa"/>
          </w:tblCellMar>
        </w:tblPrEx>
        <w:trPr>
          <w:trHeight w:val="285" w:hRule="atLeast"/>
          <w:jc w:val="center"/>
        </w:trPr>
        <w:tc>
          <w:tcPr>
            <w:tcW w:w="1140"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140"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14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130.8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114.2 </w:t>
            </w:r>
          </w:p>
        </w:tc>
        <w:tc>
          <w:tcPr>
            <w:tcW w:w="114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16.6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87.3 </w:t>
            </w:r>
          </w:p>
        </w:tc>
      </w:tr>
      <w:tr>
        <w:tblPrEx>
          <w:tblCellMar>
            <w:top w:w="0" w:type="dxa"/>
            <w:left w:w="108" w:type="dxa"/>
            <w:bottom w:w="0" w:type="dxa"/>
            <w:right w:w="108" w:type="dxa"/>
          </w:tblCellMar>
        </w:tblPrEx>
        <w:trPr>
          <w:trHeight w:val="285" w:hRule="atLeast"/>
          <w:jc w:val="center"/>
        </w:trPr>
        <w:tc>
          <w:tcPr>
            <w:tcW w:w="1140"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140"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14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40.2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16.4 </w:t>
            </w:r>
          </w:p>
        </w:tc>
        <w:tc>
          <w:tcPr>
            <w:tcW w:w="114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23.8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40.7 </w:t>
            </w:r>
          </w:p>
        </w:tc>
      </w:tr>
      <w:tr>
        <w:tblPrEx>
          <w:tblCellMar>
            <w:top w:w="0" w:type="dxa"/>
            <w:left w:w="108" w:type="dxa"/>
            <w:bottom w:w="0" w:type="dxa"/>
            <w:right w:w="108" w:type="dxa"/>
          </w:tblCellMar>
        </w:tblPrEx>
        <w:trPr>
          <w:trHeight w:val="285" w:hRule="atLeast"/>
          <w:jc w:val="center"/>
        </w:trPr>
        <w:tc>
          <w:tcPr>
            <w:tcW w:w="1140"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140"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14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68.7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28.4 </w:t>
            </w:r>
          </w:p>
        </w:tc>
        <w:tc>
          <w:tcPr>
            <w:tcW w:w="114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40.3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41.4 </w:t>
            </w:r>
          </w:p>
        </w:tc>
      </w:tr>
      <w:tr>
        <w:tblPrEx>
          <w:tblCellMar>
            <w:top w:w="0" w:type="dxa"/>
            <w:left w:w="108" w:type="dxa"/>
            <w:bottom w:w="0" w:type="dxa"/>
            <w:right w:w="108" w:type="dxa"/>
          </w:tblCellMar>
        </w:tblPrEx>
        <w:trPr>
          <w:trHeight w:val="285" w:hRule="atLeast"/>
          <w:jc w:val="center"/>
        </w:trPr>
        <w:tc>
          <w:tcPr>
            <w:tcW w:w="1140"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140"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14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103.4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42.9 </w:t>
            </w:r>
          </w:p>
        </w:tc>
        <w:tc>
          <w:tcPr>
            <w:tcW w:w="114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60.5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41.5 </w:t>
            </w:r>
          </w:p>
        </w:tc>
      </w:tr>
      <w:tr>
        <w:tblPrEx>
          <w:tblCellMar>
            <w:top w:w="0" w:type="dxa"/>
            <w:left w:w="108" w:type="dxa"/>
            <w:bottom w:w="0" w:type="dxa"/>
            <w:right w:w="108" w:type="dxa"/>
          </w:tblCellMar>
        </w:tblPrEx>
        <w:trPr>
          <w:trHeight w:val="285" w:hRule="atLeast"/>
          <w:jc w:val="center"/>
        </w:trPr>
        <w:tc>
          <w:tcPr>
            <w:tcW w:w="1140"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140"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31"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144" w:type="dxa"/>
            <w:tcBorders>
              <w:top w:val="nil"/>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343.1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201.9 </w:t>
            </w:r>
          </w:p>
        </w:tc>
        <w:tc>
          <w:tcPr>
            <w:tcW w:w="114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141.2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58.9 </w:t>
            </w:r>
          </w:p>
        </w:tc>
      </w:tr>
      <w:tr>
        <w:tblPrEx>
          <w:tblCellMar>
            <w:top w:w="0" w:type="dxa"/>
            <w:left w:w="108" w:type="dxa"/>
            <w:bottom w:w="0" w:type="dxa"/>
            <w:right w:w="108" w:type="dxa"/>
          </w:tblCellMar>
        </w:tblPrEx>
        <w:trPr>
          <w:trHeight w:val="285" w:hRule="atLeast"/>
          <w:jc w:val="center"/>
        </w:trPr>
        <w:tc>
          <w:tcPr>
            <w:tcW w:w="1140"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2020年</w:t>
            </w:r>
          </w:p>
        </w:tc>
        <w:tc>
          <w:tcPr>
            <w:tcW w:w="1140"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w:t>
            </w:r>
          </w:p>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分区</w:t>
            </w:r>
          </w:p>
        </w:tc>
        <w:tc>
          <w:tcPr>
            <w:tcW w:w="16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14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114.7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53.0 </w:t>
            </w:r>
          </w:p>
        </w:tc>
        <w:tc>
          <w:tcPr>
            <w:tcW w:w="114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61.7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46.2 </w:t>
            </w:r>
          </w:p>
        </w:tc>
      </w:tr>
      <w:tr>
        <w:tblPrEx>
          <w:tblCellMar>
            <w:top w:w="0" w:type="dxa"/>
            <w:left w:w="108" w:type="dxa"/>
            <w:bottom w:w="0" w:type="dxa"/>
            <w:right w:w="108" w:type="dxa"/>
          </w:tblCellMar>
        </w:tblPrEx>
        <w:trPr>
          <w:trHeight w:val="285" w:hRule="atLeast"/>
          <w:jc w:val="center"/>
        </w:trPr>
        <w:tc>
          <w:tcPr>
            <w:tcW w:w="1140"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140"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14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257.8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190.7 </w:t>
            </w:r>
          </w:p>
        </w:tc>
        <w:tc>
          <w:tcPr>
            <w:tcW w:w="114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67.1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74.1</w:t>
            </w:r>
          </w:p>
        </w:tc>
      </w:tr>
      <w:tr>
        <w:tblPrEx>
          <w:tblCellMar>
            <w:top w:w="0" w:type="dxa"/>
            <w:left w:w="108" w:type="dxa"/>
            <w:bottom w:w="0" w:type="dxa"/>
            <w:right w:w="108" w:type="dxa"/>
          </w:tblCellMar>
        </w:tblPrEx>
        <w:trPr>
          <w:trHeight w:val="285" w:hRule="atLeast"/>
          <w:jc w:val="center"/>
        </w:trPr>
        <w:tc>
          <w:tcPr>
            <w:tcW w:w="1140"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140"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114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372.5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243.8 </w:t>
            </w:r>
          </w:p>
        </w:tc>
        <w:tc>
          <w:tcPr>
            <w:tcW w:w="114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128.7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65.4 </w:t>
            </w:r>
          </w:p>
        </w:tc>
      </w:tr>
      <w:tr>
        <w:tblPrEx>
          <w:tblCellMar>
            <w:top w:w="0" w:type="dxa"/>
            <w:left w:w="108" w:type="dxa"/>
            <w:bottom w:w="0" w:type="dxa"/>
            <w:right w:w="108" w:type="dxa"/>
          </w:tblCellMar>
        </w:tblPrEx>
        <w:trPr>
          <w:trHeight w:val="285" w:hRule="atLeast"/>
          <w:jc w:val="center"/>
        </w:trPr>
        <w:tc>
          <w:tcPr>
            <w:tcW w:w="1140"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140"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14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144.4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132.8 </w:t>
            </w:r>
          </w:p>
        </w:tc>
        <w:tc>
          <w:tcPr>
            <w:tcW w:w="114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11.5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92.0 </w:t>
            </w:r>
          </w:p>
        </w:tc>
      </w:tr>
      <w:tr>
        <w:tblPrEx>
          <w:tblCellMar>
            <w:top w:w="0" w:type="dxa"/>
            <w:left w:w="108" w:type="dxa"/>
            <w:bottom w:w="0" w:type="dxa"/>
            <w:right w:w="108" w:type="dxa"/>
          </w:tblCellMar>
        </w:tblPrEx>
        <w:trPr>
          <w:trHeight w:val="285" w:hRule="atLeast"/>
          <w:jc w:val="center"/>
        </w:trPr>
        <w:tc>
          <w:tcPr>
            <w:tcW w:w="1140"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140"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14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44.7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21.5 </w:t>
            </w:r>
          </w:p>
        </w:tc>
        <w:tc>
          <w:tcPr>
            <w:tcW w:w="114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23.2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48.0 </w:t>
            </w:r>
          </w:p>
        </w:tc>
      </w:tr>
      <w:tr>
        <w:tblPrEx>
          <w:tblCellMar>
            <w:top w:w="0" w:type="dxa"/>
            <w:left w:w="108" w:type="dxa"/>
            <w:bottom w:w="0" w:type="dxa"/>
            <w:right w:w="108" w:type="dxa"/>
          </w:tblCellMar>
        </w:tblPrEx>
        <w:trPr>
          <w:trHeight w:val="285" w:hRule="atLeast"/>
          <w:jc w:val="center"/>
        </w:trPr>
        <w:tc>
          <w:tcPr>
            <w:tcW w:w="1140"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140"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14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75.8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36.8 </w:t>
            </w:r>
          </w:p>
        </w:tc>
        <w:tc>
          <w:tcPr>
            <w:tcW w:w="114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39.0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48.5 </w:t>
            </w:r>
          </w:p>
        </w:tc>
      </w:tr>
      <w:tr>
        <w:tblPrEx>
          <w:tblCellMar>
            <w:top w:w="0" w:type="dxa"/>
            <w:left w:w="108" w:type="dxa"/>
            <w:bottom w:w="0" w:type="dxa"/>
            <w:right w:w="108" w:type="dxa"/>
          </w:tblCellMar>
        </w:tblPrEx>
        <w:trPr>
          <w:trHeight w:val="285" w:hRule="atLeast"/>
          <w:jc w:val="center"/>
        </w:trPr>
        <w:tc>
          <w:tcPr>
            <w:tcW w:w="1140"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140"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14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107.6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52.7 </w:t>
            </w:r>
          </w:p>
        </w:tc>
        <w:tc>
          <w:tcPr>
            <w:tcW w:w="114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54.9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49.0 </w:t>
            </w:r>
          </w:p>
        </w:tc>
      </w:tr>
      <w:tr>
        <w:tblPrEx>
          <w:tblCellMar>
            <w:top w:w="0" w:type="dxa"/>
            <w:left w:w="108" w:type="dxa"/>
            <w:bottom w:w="0" w:type="dxa"/>
            <w:right w:w="108" w:type="dxa"/>
          </w:tblCellMar>
        </w:tblPrEx>
        <w:trPr>
          <w:trHeight w:val="285" w:hRule="atLeast"/>
          <w:jc w:val="center"/>
        </w:trPr>
        <w:tc>
          <w:tcPr>
            <w:tcW w:w="1140"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140"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31"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144" w:type="dxa"/>
            <w:tcBorders>
              <w:top w:val="nil"/>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372.5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243.8 </w:t>
            </w:r>
          </w:p>
        </w:tc>
        <w:tc>
          <w:tcPr>
            <w:tcW w:w="114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128.7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65.4 </w:t>
            </w:r>
          </w:p>
        </w:tc>
      </w:tr>
      <w:tr>
        <w:tblPrEx>
          <w:tblCellMar>
            <w:top w:w="0" w:type="dxa"/>
            <w:left w:w="108" w:type="dxa"/>
            <w:bottom w:w="0" w:type="dxa"/>
            <w:right w:w="108" w:type="dxa"/>
          </w:tblCellMar>
        </w:tblPrEx>
        <w:trPr>
          <w:trHeight w:val="285" w:hRule="atLeast"/>
          <w:jc w:val="center"/>
        </w:trPr>
        <w:tc>
          <w:tcPr>
            <w:tcW w:w="1140"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2030年</w:t>
            </w:r>
          </w:p>
        </w:tc>
        <w:tc>
          <w:tcPr>
            <w:tcW w:w="1140"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w:t>
            </w:r>
          </w:p>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分区</w:t>
            </w:r>
          </w:p>
        </w:tc>
        <w:tc>
          <w:tcPr>
            <w:tcW w:w="16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14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123.8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78.7 </w:t>
            </w:r>
          </w:p>
        </w:tc>
        <w:tc>
          <w:tcPr>
            <w:tcW w:w="114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45.1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63.6 </w:t>
            </w:r>
          </w:p>
        </w:tc>
      </w:tr>
      <w:tr>
        <w:tblPrEx>
          <w:tblCellMar>
            <w:top w:w="0" w:type="dxa"/>
            <w:left w:w="108" w:type="dxa"/>
            <w:bottom w:w="0" w:type="dxa"/>
            <w:right w:w="108" w:type="dxa"/>
          </w:tblCellMar>
        </w:tblPrEx>
        <w:trPr>
          <w:trHeight w:val="285" w:hRule="atLeast"/>
          <w:jc w:val="center"/>
        </w:trPr>
        <w:tc>
          <w:tcPr>
            <w:tcW w:w="1140"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140"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14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279.0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223.2 </w:t>
            </w:r>
          </w:p>
        </w:tc>
        <w:tc>
          <w:tcPr>
            <w:tcW w:w="114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55.8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80.0 </w:t>
            </w:r>
          </w:p>
        </w:tc>
      </w:tr>
      <w:tr>
        <w:tblPrEx>
          <w:tblCellMar>
            <w:top w:w="0" w:type="dxa"/>
            <w:left w:w="108" w:type="dxa"/>
            <w:bottom w:w="0" w:type="dxa"/>
            <w:right w:w="108" w:type="dxa"/>
          </w:tblCellMar>
        </w:tblPrEx>
        <w:trPr>
          <w:trHeight w:val="285" w:hRule="atLeast"/>
          <w:jc w:val="center"/>
        </w:trPr>
        <w:tc>
          <w:tcPr>
            <w:tcW w:w="1140"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140"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114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402.7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301.8 </w:t>
            </w:r>
          </w:p>
        </w:tc>
        <w:tc>
          <w:tcPr>
            <w:tcW w:w="114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100.9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74.9 </w:t>
            </w:r>
          </w:p>
        </w:tc>
      </w:tr>
      <w:tr>
        <w:tblPrEx>
          <w:tblCellMar>
            <w:top w:w="0" w:type="dxa"/>
            <w:left w:w="108" w:type="dxa"/>
            <w:bottom w:w="0" w:type="dxa"/>
            <w:right w:w="108" w:type="dxa"/>
          </w:tblCellMar>
        </w:tblPrEx>
        <w:trPr>
          <w:trHeight w:val="285" w:hRule="atLeast"/>
          <w:jc w:val="center"/>
        </w:trPr>
        <w:tc>
          <w:tcPr>
            <w:tcW w:w="1140"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140"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14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157.9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150.0 </w:t>
            </w:r>
          </w:p>
        </w:tc>
        <w:tc>
          <w:tcPr>
            <w:tcW w:w="114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7.9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95.0 </w:t>
            </w:r>
          </w:p>
        </w:tc>
      </w:tr>
      <w:tr>
        <w:tblPrEx>
          <w:tblCellMar>
            <w:top w:w="0" w:type="dxa"/>
            <w:left w:w="108" w:type="dxa"/>
            <w:bottom w:w="0" w:type="dxa"/>
            <w:right w:w="108" w:type="dxa"/>
          </w:tblCellMar>
        </w:tblPrEx>
        <w:trPr>
          <w:trHeight w:val="285" w:hRule="atLeast"/>
          <w:jc w:val="center"/>
        </w:trPr>
        <w:tc>
          <w:tcPr>
            <w:tcW w:w="1140"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140"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14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49.2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34.4 </w:t>
            </w:r>
          </w:p>
        </w:tc>
        <w:tc>
          <w:tcPr>
            <w:tcW w:w="114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14.8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70.0 </w:t>
            </w:r>
          </w:p>
        </w:tc>
      </w:tr>
      <w:tr>
        <w:tblPrEx>
          <w:tblCellMar>
            <w:top w:w="0" w:type="dxa"/>
            <w:left w:w="108" w:type="dxa"/>
            <w:bottom w:w="0" w:type="dxa"/>
            <w:right w:w="108" w:type="dxa"/>
          </w:tblCellMar>
        </w:tblPrEx>
        <w:trPr>
          <w:trHeight w:val="285" w:hRule="atLeast"/>
          <w:jc w:val="center"/>
        </w:trPr>
        <w:tc>
          <w:tcPr>
            <w:tcW w:w="1140"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140"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14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82.9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49.7 </w:t>
            </w:r>
          </w:p>
        </w:tc>
        <w:tc>
          <w:tcPr>
            <w:tcW w:w="114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33.1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60.0 </w:t>
            </w:r>
          </w:p>
        </w:tc>
      </w:tr>
      <w:tr>
        <w:tblPrEx>
          <w:tblCellMar>
            <w:top w:w="0" w:type="dxa"/>
            <w:left w:w="108" w:type="dxa"/>
            <w:bottom w:w="0" w:type="dxa"/>
            <w:right w:w="108" w:type="dxa"/>
          </w:tblCellMar>
        </w:tblPrEx>
        <w:trPr>
          <w:trHeight w:val="285" w:hRule="atLeast"/>
          <w:jc w:val="center"/>
        </w:trPr>
        <w:tc>
          <w:tcPr>
            <w:tcW w:w="1140"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140"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14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112.7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67.6 </w:t>
            </w:r>
          </w:p>
        </w:tc>
        <w:tc>
          <w:tcPr>
            <w:tcW w:w="114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45.1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60.0 </w:t>
            </w:r>
          </w:p>
        </w:tc>
      </w:tr>
      <w:tr>
        <w:tblPrEx>
          <w:tblCellMar>
            <w:top w:w="0" w:type="dxa"/>
            <w:left w:w="108" w:type="dxa"/>
            <w:bottom w:w="0" w:type="dxa"/>
            <w:right w:w="108" w:type="dxa"/>
          </w:tblCellMar>
        </w:tblPrEx>
        <w:trPr>
          <w:trHeight w:val="295" w:hRule="atLeast"/>
          <w:jc w:val="center"/>
        </w:trPr>
        <w:tc>
          <w:tcPr>
            <w:tcW w:w="1140"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140"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31"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144" w:type="dxa"/>
            <w:tcBorders>
              <w:top w:val="nil"/>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402.7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301.8 </w:t>
            </w:r>
          </w:p>
        </w:tc>
        <w:tc>
          <w:tcPr>
            <w:tcW w:w="114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100.9 </w:t>
            </w:r>
          </w:p>
        </w:tc>
        <w:tc>
          <w:tcPr>
            <w:tcW w:w="114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74.9 </w:t>
            </w:r>
          </w:p>
        </w:tc>
      </w:tr>
    </w:tbl>
    <w:p>
      <w:pPr>
        <w:pStyle w:val="5"/>
        <w:keepNext w:val="0"/>
        <w:keepLines w:val="0"/>
        <w:pageBreakBefore w:val="0"/>
        <w:widowControl w:val="0"/>
        <w:kinsoku/>
        <w:wordWrap/>
        <w:overflowPunct/>
        <w:autoSpaceDE/>
        <w:autoSpaceDN/>
        <w:bidi w:val="0"/>
        <w:adjustRightInd/>
        <w:snapToGrid/>
        <w:spacing w:line="590" w:lineRule="exact"/>
        <w:ind w:firstLine="482"/>
        <w:rPr>
          <w:rFonts w:hint="default" w:ascii="Times New Roman" w:hAnsi="Times New Roman" w:eastAsia="方正楷体_GBK" w:cs="Times New Roman"/>
          <w:b w:val="0"/>
          <w:bCs/>
          <w:sz w:val="32"/>
          <w:szCs w:val="32"/>
        </w:rPr>
      </w:pPr>
      <w:bookmarkStart w:id="159" w:name="_Toc312309868"/>
      <w:bookmarkStart w:id="160" w:name="_Toc27462"/>
      <w:r>
        <w:rPr>
          <w:rFonts w:hint="default" w:ascii="Times New Roman" w:hAnsi="Times New Roman" w:eastAsia="方正楷体_GBK" w:cs="Times New Roman"/>
          <w:b w:val="0"/>
          <w:bCs/>
          <w:sz w:val="32"/>
          <w:szCs w:val="32"/>
        </w:rPr>
        <w:t>二、经济发展指标预测</w:t>
      </w:r>
      <w:bookmarkEnd w:id="159"/>
      <w:bookmarkEnd w:id="160"/>
    </w:p>
    <w:p>
      <w:pPr>
        <w:keepNext w:val="0"/>
        <w:keepLines w:val="0"/>
        <w:pageBreakBefore w:val="0"/>
        <w:widowControl w:val="0"/>
        <w:kinsoku/>
        <w:wordWrap/>
        <w:overflowPunct/>
        <w:autoSpaceDE/>
        <w:autoSpaceDN/>
        <w:bidi w:val="0"/>
        <w:adjustRightInd/>
        <w:snapToGrid/>
        <w:spacing w:line="590" w:lineRule="exact"/>
        <w:ind w:firstLine="643" w:firstLineChars="200"/>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w:t>
      </w:r>
      <w:r>
        <w:rPr>
          <w:rFonts w:hint="default" w:ascii="Times New Roman" w:hAnsi="Times New Roman" w:eastAsia="方正仿宋_GBK" w:cs="Times New Roman"/>
          <w:b/>
          <w:bCs w:val="0"/>
          <w:sz w:val="32"/>
          <w:szCs w:val="32"/>
          <w:lang w:val="en-US" w:eastAsia="zh-CN"/>
        </w:rPr>
        <w:t>1</w:t>
      </w:r>
      <w:r>
        <w:rPr>
          <w:rFonts w:hint="default" w:ascii="Times New Roman" w:hAnsi="Times New Roman" w:eastAsia="方正仿宋_GBK" w:cs="Times New Roman"/>
          <w:b/>
          <w:bCs w:val="0"/>
          <w:sz w:val="32"/>
          <w:szCs w:val="32"/>
        </w:rPr>
        <w:t>）主要目标：</w:t>
      </w:r>
    </w:p>
    <w:p>
      <w:pPr>
        <w:keepNext w:val="0"/>
        <w:keepLines w:val="0"/>
        <w:pageBreakBefore w:val="0"/>
        <w:widowControl w:val="0"/>
        <w:kinsoku/>
        <w:wordWrap/>
        <w:overflowPunct/>
        <w:autoSpaceDE/>
        <w:autoSpaceDN/>
        <w:bidi w:val="0"/>
        <w:adjustRightInd/>
        <w:snapToGrid/>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经济社会保持中高速增长。在提高经济发展平衡性、包容性和可持续性基础上，到2020年地区生产总值力争达到1500亿元。</w:t>
      </w:r>
    </w:p>
    <w:p>
      <w:pPr>
        <w:keepNext w:val="0"/>
        <w:keepLines w:val="0"/>
        <w:pageBreakBefore w:val="0"/>
        <w:widowControl w:val="0"/>
        <w:kinsoku/>
        <w:wordWrap/>
        <w:overflowPunct/>
        <w:autoSpaceDE/>
        <w:autoSpaceDN/>
        <w:bidi w:val="0"/>
        <w:adjustRightInd/>
        <w:snapToGrid/>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经济结构更趋优化。产业转型取得新进展，三次产业及其内部结构进一步优化，经济质量和效益明显上升。传统产业加快升级，先进制造业加快发展，新产业新业态快速增长，服务业比重稳步上升，创新能力显著增强，科技进步对科技增长贡献明显加大，农业现代化水平取得明显进展。到2020年，战略新兴产业增加值占GDP比重达10%，服务业增加值占GDP比重达41%。</w:t>
      </w:r>
    </w:p>
    <w:p>
      <w:pPr>
        <w:keepNext w:val="0"/>
        <w:keepLines w:val="0"/>
        <w:pageBreakBefore w:val="0"/>
        <w:widowControl w:val="0"/>
        <w:kinsoku/>
        <w:wordWrap/>
        <w:overflowPunct/>
        <w:autoSpaceDE/>
        <w:autoSpaceDN/>
        <w:bidi w:val="0"/>
        <w:adjustRightInd/>
        <w:snapToGrid/>
        <w:spacing w:line="590" w:lineRule="exact"/>
        <w:ind w:firstLine="643" w:firstLineChars="200"/>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（2）经济发展预测结果</w:t>
      </w:r>
    </w:p>
    <w:p>
      <w:pPr>
        <w:keepNext w:val="0"/>
        <w:keepLines w:val="0"/>
        <w:pageBreakBefore w:val="0"/>
        <w:widowControl w:val="0"/>
        <w:kinsoku/>
        <w:wordWrap/>
        <w:overflowPunct/>
        <w:autoSpaceDE/>
        <w:autoSpaceDN/>
        <w:bidi w:val="0"/>
        <w:adjustRightInd/>
        <w:snapToGrid/>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淮南市十三五规划制定的相关目标，结合淮南市近年发展现状、我省加快沿淮城镇群的发展政策，预测在2020年以前，经济仍将保持快速增长，2020年以后经济增长速度将有所降低。现状年2015年，GDP将达到901.3亿元，工业增加值将达到365亿元；到2020年，GDP将达到1500亿元，工业增加值将达到671亿元；到2030年GDP达到2500亿元，工业增加值将达到1121亿元。淮南市国民经济发展预测见表4.2-2。</w:t>
      </w:r>
    </w:p>
    <w:p>
      <w:pPr>
        <w:keepNext w:val="0"/>
        <w:keepLines w:val="0"/>
        <w:pageBreakBefore w:val="0"/>
        <w:widowControl w:val="0"/>
        <w:kinsoku/>
        <w:wordWrap/>
        <w:overflowPunct/>
        <w:autoSpaceDE/>
        <w:autoSpaceDN/>
        <w:bidi w:val="0"/>
        <w:adjustRightInd/>
        <w:snapToGrid/>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2015~2020年GDP年增长速度为10.72%，2020~2030年GDP年增长速度为5.24%。各水平年经济增长速度见表4.2-3。</w:t>
      </w:r>
    </w:p>
    <w:p>
      <w:pPr>
        <w:pStyle w:val="2"/>
        <w:keepNext w:val="0"/>
        <w:keepLines w:val="0"/>
        <w:pageBreakBefore w:val="0"/>
        <w:widowControl w:val="0"/>
        <w:kinsoku/>
        <w:wordWrap/>
        <w:overflowPunct/>
        <w:autoSpaceDE/>
        <w:autoSpaceDN/>
        <w:bidi w:val="0"/>
        <w:adjustRightInd/>
        <w:snapToGrid/>
        <w:spacing w:line="590" w:lineRule="exact"/>
        <w:ind w:firstLine="480"/>
        <w:rPr>
          <w:rFonts w:hint="default" w:ascii="Times New Roman" w:hAnsi="Times New Roman" w:eastAsia="方正仿宋_GBK" w:cs="Times New Roman"/>
          <w:sz w:val="32"/>
          <w:szCs w:val="24"/>
        </w:rPr>
      </w:pPr>
      <w:r>
        <w:rPr>
          <w:rFonts w:hint="default" w:ascii="Times New Roman" w:hAnsi="Times New Roman" w:eastAsia="方正仿宋_GBK" w:cs="Times New Roman"/>
          <w:sz w:val="32"/>
          <w:szCs w:val="24"/>
        </w:rPr>
        <w:t>随着国民经济的不断发展和完善，淮南市的经济结构也将不断的变化，预计第一产业在国民生产总值中所占的比例将进一步下降；第二产业所占比在2015～2020年逐年上升，在2020～2030年所占比例将有所下降；第三产业所占比例逐年上升。2015年一、二、三产比例分别为：12.4%、48.2%、39.4%；2020年，一、二、三产比例预计分别为：8.8%、51.5%、39.7%；到2030年，一、二、三产比例预计分别为：7.1%、50.5%、42.4%。各水平年三产比例见表4.2-4。</w:t>
      </w:r>
    </w:p>
    <w:p>
      <w:pPr>
        <w:jc w:val="center"/>
        <w:rPr>
          <w:b/>
          <w:bCs/>
          <w:sz w:val="24"/>
        </w:rPr>
      </w:pPr>
    </w:p>
    <w:p>
      <w:pPr>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表4.2-2   淮南市国民经济发展预测表    单位：亿元</w:t>
      </w:r>
    </w:p>
    <w:tbl>
      <w:tblPr>
        <w:tblStyle w:val="12"/>
        <w:tblW w:w="0" w:type="auto"/>
        <w:jc w:val="center"/>
        <w:tblLayout w:type="fixed"/>
        <w:tblCellMar>
          <w:top w:w="0" w:type="dxa"/>
          <w:left w:w="108" w:type="dxa"/>
          <w:bottom w:w="0" w:type="dxa"/>
          <w:right w:w="108" w:type="dxa"/>
        </w:tblCellMar>
      </w:tblPr>
      <w:tblGrid>
        <w:gridCol w:w="872"/>
        <w:gridCol w:w="715"/>
        <w:gridCol w:w="1694"/>
        <w:gridCol w:w="1089"/>
        <w:gridCol w:w="940"/>
        <w:gridCol w:w="1025"/>
        <w:gridCol w:w="986"/>
        <w:gridCol w:w="843"/>
        <w:gridCol w:w="876"/>
      </w:tblGrid>
      <w:tr>
        <w:tblPrEx>
          <w:tblCellMar>
            <w:top w:w="0" w:type="dxa"/>
            <w:left w:w="108" w:type="dxa"/>
            <w:bottom w:w="0" w:type="dxa"/>
            <w:right w:w="108" w:type="dxa"/>
          </w:tblCellMar>
        </w:tblPrEx>
        <w:trPr>
          <w:trHeight w:val="244" w:hRule="atLeast"/>
          <w:jc w:val="center"/>
        </w:trPr>
        <w:tc>
          <w:tcPr>
            <w:tcW w:w="872"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水平年</w:t>
            </w:r>
          </w:p>
        </w:tc>
        <w:tc>
          <w:tcPr>
            <w:tcW w:w="2409" w:type="dxa"/>
            <w:gridSpan w:val="2"/>
            <w:vMerge w:val="restart"/>
            <w:tcBorders>
              <w:top w:val="single" w:color="auto" w:sz="4" w:space="0"/>
              <w:left w:val="single" w:color="auto" w:sz="4" w:space="0"/>
              <w:bottom w:val="single" w:color="000000" w:sz="4" w:space="0"/>
              <w:right w:val="single" w:color="000000"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计算分区</w:t>
            </w:r>
          </w:p>
        </w:tc>
        <w:tc>
          <w:tcPr>
            <w:tcW w:w="1089"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一产</w:t>
            </w:r>
          </w:p>
        </w:tc>
        <w:tc>
          <w:tcPr>
            <w:tcW w:w="2951" w:type="dxa"/>
            <w:gridSpan w:val="3"/>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二产</w:t>
            </w:r>
          </w:p>
        </w:tc>
        <w:tc>
          <w:tcPr>
            <w:tcW w:w="84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三产</w:t>
            </w:r>
          </w:p>
        </w:tc>
        <w:tc>
          <w:tcPr>
            <w:tcW w:w="87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GDP</w:t>
            </w:r>
          </w:p>
        </w:tc>
      </w:tr>
      <w:tr>
        <w:tblPrEx>
          <w:tblCellMar>
            <w:top w:w="0" w:type="dxa"/>
            <w:left w:w="108" w:type="dxa"/>
            <w:bottom w:w="0" w:type="dxa"/>
            <w:right w:w="108" w:type="dxa"/>
          </w:tblCellMar>
        </w:tblPrEx>
        <w:trPr>
          <w:trHeight w:val="244" w:hRule="atLeast"/>
          <w:jc w:val="center"/>
        </w:trPr>
        <w:tc>
          <w:tcPr>
            <w:tcW w:w="872"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2409" w:type="dxa"/>
            <w:gridSpan w:val="2"/>
            <w:vMerge w:val="continue"/>
            <w:tcBorders>
              <w:top w:val="single" w:color="auto" w:sz="4" w:space="0"/>
              <w:left w:val="single" w:color="auto" w:sz="4" w:space="0"/>
              <w:bottom w:val="single" w:color="000000" w:sz="4" w:space="0"/>
              <w:right w:val="single" w:color="000000"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089"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940"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工业</w:t>
            </w:r>
          </w:p>
        </w:tc>
        <w:tc>
          <w:tcPr>
            <w:tcW w:w="1025"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建筑业</w:t>
            </w:r>
          </w:p>
        </w:tc>
        <w:tc>
          <w:tcPr>
            <w:tcW w:w="98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小计</w:t>
            </w:r>
          </w:p>
        </w:tc>
        <w:tc>
          <w:tcPr>
            <w:tcW w:w="84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87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r>
      <w:tr>
        <w:tblPrEx>
          <w:tblCellMar>
            <w:top w:w="0" w:type="dxa"/>
            <w:left w:w="108" w:type="dxa"/>
            <w:bottom w:w="0" w:type="dxa"/>
            <w:right w:w="108" w:type="dxa"/>
          </w:tblCellMar>
        </w:tblPrEx>
        <w:trPr>
          <w:trHeight w:val="277" w:hRule="atLeast"/>
          <w:jc w:val="center"/>
        </w:trPr>
        <w:tc>
          <w:tcPr>
            <w:tcW w:w="872"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2015年</w:t>
            </w:r>
          </w:p>
        </w:tc>
        <w:tc>
          <w:tcPr>
            <w:tcW w:w="715"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694"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08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53 </w:t>
            </w:r>
          </w:p>
        </w:tc>
        <w:tc>
          <w:tcPr>
            <w:tcW w:w="94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203 </w:t>
            </w:r>
          </w:p>
        </w:tc>
        <w:tc>
          <w:tcPr>
            <w:tcW w:w="102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43 </w:t>
            </w:r>
          </w:p>
        </w:tc>
        <w:tc>
          <w:tcPr>
            <w:tcW w:w="98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246 </w:t>
            </w:r>
          </w:p>
        </w:tc>
        <w:tc>
          <w:tcPr>
            <w:tcW w:w="84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187 </w:t>
            </w:r>
          </w:p>
        </w:tc>
        <w:tc>
          <w:tcPr>
            <w:tcW w:w="8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487 </w:t>
            </w:r>
          </w:p>
        </w:tc>
      </w:tr>
      <w:tr>
        <w:tblPrEx>
          <w:tblCellMar>
            <w:top w:w="0" w:type="dxa"/>
            <w:left w:w="108" w:type="dxa"/>
            <w:bottom w:w="0" w:type="dxa"/>
            <w:right w:w="108" w:type="dxa"/>
          </w:tblCellMar>
        </w:tblPrEx>
        <w:trPr>
          <w:trHeight w:val="277" w:hRule="atLeast"/>
          <w:jc w:val="center"/>
        </w:trPr>
        <w:tc>
          <w:tcPr>
            <w:tcW w:w="87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715"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94"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08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58 </w:t>
            </w:r>
          </w:p>
        </w:tc>
        <w:tc>
          <w:tcPr>
            <w:tcW w:w="94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162 </w:t>
            </w:r>
          </w:p>
        </w:tc>
        <w:tc>
          <w:tcPr>
            <w:tcW w:w="102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26 </w:t>
            </w:r>
          </w:p>
        </w:tc>
        <w:tc>
          <w:tcPr>
            <w:tcW w:w="98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188 </w:t>
            </w:r>
          </w:p>
        </w:tc>
        <w:tc>
          <w:tcPr>
            <w:tcW w:w="84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168 </w:t>
            </w:r>
          </w:p>
        </w:tc>
        <w:tc>
          <w:tcPr>
            <w:tcW w:w="8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415 </w:t>
            </w:r>
          </w:p>
        </w:tc>
      </w:tr>
      <w:tr>
        <w:tblPrEx>
          <w:tblCellMar>
            <w:top w:w="0" w:type="dxa"/>
            <w:left w:w="108" w:type="dxa"/>
            <w:bottom w:w="0" w:type="dxa"/>
            <w:right w:w="108" w:type="dxa"/>
          </w:tblCellMar>
        </w:tblPrEx>
        <w:trPr>
          <w:trHeight w:val="277" w:hRule="atLeast"/>
          <w:jc w:val="center"/>
        </w:trPr>
        <w:tc>
          <w:tcPr>
            <w:tcW w:w="87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715"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94"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108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112 </w:t>
            </w:r>
          </w:p>
        </w:tc>
        <w:tc>
          <w:tcPr>
            <w:tcW w:w="94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365 </w:t>
            </w:r>
          </w:p>
        </w:tc>
        <w:tc>
          <w:tcPr>
            <w:tcW w:w="102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69 </w:t>
            </w:r>
          </w:p>
        </w:tc>
        <w:tc>
          <w:tcPr>
            <w:tcW w:w="98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434 </w:t>
            </w:r>
          </w:p>
        </w:tc>
        <w:tc>
          <w:tcPr>
            <w:tcW w:w="84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356 </w:t>
            </w:r>
          </w:p>
        </w:tc>
        <w:tc>
          <w:tcPr>
            <w:tcW w:w="8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901 </w:t>
            </w:r>
          </w:p>
        </w:tc>
      </w:tr>
      <w:tr>
        <w:tblPrEx>
          <w:tblCellMar>
            <w:top w:w="0" w:type="dxa"/>
            <w:left w:w="108" w:type="dxa"/>
            <w:bottom w:w="0" w:type="dxa"/>
            <w:right w:w="108" w:type="dxa"/>
          </w:tblCellMar>
        </w:tblPrEx>
        <w:trPr>
          <w:trHeight w:val="277" w:hRule="atLeast"/>
          <w:jc w:val="center"/>
        </w:trPr>
        <w:tc>
          <w:tcPr>
            <w:tcW w:w="87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715"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94"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08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16 </w:t>
            </w:r>
          </w:p>
        </w:tc>
        <w:tc>
          <w:tcPr>
            <w:tcW w:w="94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129 </w:t>
            </w:r>
          </w:p>
        </w:tc>
        <w:tc>
          <w:tcPr>
            <w:tcW w:w="102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23 </w:t>
            </w:r>
          </w:p>
        </w:tc>
        <w:tc>
          <w:tcPr>
            <w:tcW w:w="98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152 </w:t>
            </w:r>
          </w:p>
        </w:tc>
        <w:tc>
          <w:tcPr>
            <w:tcW w:w="84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116 </w:t>
            </w:r>
          </w:p>
        </w:tc>
        <w:tc>
          <w:tcPr>
            <w:tcW w:w="8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284 </w:t>
            </w:r>
          </w:p>
        </w:tc>
      </w:tr>
      <w:tr>
        <w:tblPrEx>
          <w:tblCellMar>
            <w:top w:w="0" w:type="dxa"/>
            <w:left w:w="108" w:type="dxa"/>
            <w:bottom w:w="0" w:type="dxa"/>
            <w:right w:w="108" w:type="dxa"/>
          </w:tblCellMar>
        </w:tblPrEx>
        <w:trPr>
          <w:trHeight w:val="277" w:hRule="atLeast"/>
          <w:jc w:val="center"/>
        </w:trPr>
        <w:tc>
          <w:tcPr>
            <w:tcW w:w="87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715"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94"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08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18 </w:t>
            </w:r>
          </w:p>
        </w:tc>
        <w:tc>
          <w:tcPr>
            <w:tcW w:w="94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91 </w:t>
            </w:r>
          </w:p>
        </w:tc>
        <w:tc>
          <w:tcPr>
            <w:tcW w:w="102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18 </w:t>
            </w:r>
          </w:p>
        </w:tc>
        <w:tc>
          <w:tcPr>
            <w:tcW w:w="98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109 </w:t>
            </w:r>
          </w:p>
        </w:tc>
        <w:tc>
          <w:tcPr>
            <w:tcW w:w="84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83 </w:t>
            </w:r>
          </w:p>
        </w:tc>
        <w:tc>
          <w:tcPr>
            <w:tcW w:w="8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210 </w:t>
            </w:r>
          </w:p>
        </w:tc>
      </w:tr>
      <w:tr>
        <w:tblPrEx>
          <w:tblCellMar>
            <w:top w:w="0" w:type="dxa"/>
            <w:left w:w="108" w:type="dxa"/>
            <w:bottom w:w="0" w:type="dxa"/>
            <w:right w:w="108" w:type="dxa"/>
          </w:tblCellMar>
        </w:tblPrEx>
        <w:trPr>
          <w:trHeight w:val="277" w:hRule="atLeast"/>
          <w:jc w:val="center"/>
        </w:trPr>
        <w:tc>
          <w:tcPr>
            <w:tcW w:w="87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715"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94"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08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35 </w:t>
            </w:r>
          </w:p>
        </w:tc>
        <w:tc>
          <w:tcPr>
            <w:tcW w:w="94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117 </w:t>
            </w:r>
          </w:p>
        </w:tc>
        <w:tc>
          <w:tcPr>
            <w:tcW w:w="102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20 </w:t>
            </w:r>
          </w:p>
        </w:tc>
        <w:tc>
          <w:tcPr>
            <w:tcW w:w="98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137 </w:t>
            </w:r>
          </w:p>
        </w:tc>
        <w:tc>
          <w:tcPr>
            <w:tcW w:w="84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105 </w:t>
            </w:r>
          </w:p>
        </w:tc>
        <w:tc>
          <w:tcPr>
            <w:tcW w:w="8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276 </w:t>
            </w:r>
          </w:p>
        </w:tc>
      </w:tr>
      <w:tr>
        <w:tblPrEx>
          <w:tblCellMar>
            <w:top w:w="0" w:type="dxa"/>
            <w:left w:w="108" w:type="dxa"/>
            <w:bottom w:w="0" w:type="dxa"/>
            <w:right w:w="108" w:type="dxa"/>
          </w:tblCellMar>
        </w:tblPrEx>
        <w:trPr>
          <w:trHeight w:val="277" w:hRule="atLeast"/>
          <w:jc w:val="center"/>
        </w:trPr>
        <w:tc>
          <w:tcPr>
            <w:tcW w:w="87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715"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94"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08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42 </w:t>
            </w:r>
          </w:p>
        </w:tc>
        <w:tc>
          <w:tcPr>
            <w:tcW w:w="94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28 </w:t>
            </w:r>
          </w:p>
        </w:tc>
        <w:tc>
          <w:tcPr>
            <w:tcW w:w="102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8 </w:t>
            </w:r>
          </w:p>
        </w:tc>
        <w:tc>
          <w:tcPr>
            <w:tcW w:w="98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36 </w:t>
            </w:r>
          </w:p>
        </w:tc>
        <w:tc>
          <w:tcPr>
            <w:tcW w:w="84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52 </w:t>
            </w:r>
          </w:p>
        </w:tc>
        <w:tc>
          <w:tcPr>
            <w:tcW w:w="8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131 </w:t>
            </w:r>
          </w:p>
        </w:tc>
      </w:tr>
      <w:tr>
        <w:tblPrEx>
          <w:tblCellMar>
            <w:top w:w="0" w:type="dxa"/>
            <w:left w:w="108" w:type="dxa"/>
            <w:bottom w:w="0" w:type="dxa"/>
            <w:right w:w="108" w:type="dxa"/>
          </w:tblCellMar>
        </w:tblPrEx>
        <w:trPr>
          <w:trHeight w:val="277" w:hRule="atLeast"/>
          <w:jc w:val="center"/>
        </w:trPr>
        <w:tc>
          <w:tcPr>
            <w:tcW w:w="87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715"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94"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089"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112 </w:t>
            </w:r>
          </w:p>
        </w:tc>
        <w:tc>
          <w:tcPr>
            <w:tcW w:w="94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365 </w:t>
            </w:r>
          </w:p>
        </w:tc>
        <w:tc>
          <w:tcPr>
            <w:tcW w:w="102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69 </w:t>
            </w:r>
          </w:p>
        </w:tc>
        <w:tc>
          <w:tcPr>
            <w:tcW w:w="98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434 </w:t>
            </w:r>
          </w:p>
        </w:tc>
        <w:tc>
          <w:tcPr>
            <w:tcW w:w="84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356 </w:t>
            </w:r>
          </w:p>
        </w:tc>
        <w:tc>
          <w:tcPr>
            <w:tcW w:w="8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901 </w:t>
            </w:r>
          </w:p>
        </w:tc>
      </w:tr>
      <w:tr>
        <w:tblPrEx>
          <w:tblCellMar>
            <w:top w:w="0" w:type="dxa"/>
            <w:left w:w="108" w:type="dxa"/>
            <w:bottom w:w="0" w:type="dxa"/>
            <w:right w:w="108" w:type="dxa"/>
          </w:tblCellMar>
        </w:tblPrEx>
        <w:trPr>
          <w:trHeight w:val="277" w:hRule="atLeast"/>
          <w:jc w:val="center"/>
        </w:trPr>
        <w:tc>
          <w:tcPr>
            <w:tcW w:w="872"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2020年</w:t>
            </w:r>
          </w:p>
        </w:tc>
        <w:tc>
          <w:tcPr>
            <w:tcW w:w="715"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694"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08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63 </w:t>
            </w:r>
          </w:p>
        </w:tc>
        <w:tc>
          <w:tcPr>
            <w:tcW w:w="94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373 </w:t>
            </w:r>
          </w:p>
        </w:tc>
        <w:tc>
          <w:tcPr>
            <w:tcW w:w="102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60 </w:t>
            </w:r>
          </w:p>
        </w:tc>
        <w:tc>
          <w:tcPr>
            <w:tcW w:w="98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432 </w:t>
            </w:r>
          </w:p>
        </w:tc>
        <w:tc>
          <w:tcPr>
            <w:tcW w:w="84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307 </w:t>
            </w:r>
          </w:p>
        </w:tc>
        <w:tc>
          <w:tcPr>
            <w:tcW w:w="8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803 </w:t>
            </w:r>
          </w:p>
        </w:tc>
      </w:tr>
      <w:tr>
        <w:tblPrEx>
          <w:tblCellMar>
            <w:top w:w="0" w:type="dxa"/>
            <w:left w:w="108" w:type="dxa"/>
            <w:bottom w:w="0" w:type="dxa"/>
            <w:right w:w="108" w:type="dxa"/>
          </w:tblCellMar>
        </w:tblPrEx>
        <w:trPr>
          <w:trHeight w:val="277" w:hRule="atLeast"/>
          <w:jc w:val="center"/>
        </w:trPr>
        <w:tc>
          <w:tcPr>
            <w:tcW w:w="87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715"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94"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08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69 </w:t>
            </w:r>
          </w:p>
        </w:tc>
        <w:tc>
          <w:tcPr>
            <w:tcW w:w="94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298 </w:t>
            </w:r>
          </w:p>
        </w:tc>
        <w:tc>
          <w:tcPr>
            <w:tcW w:w="102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43 </w:t>
            </w:r>
          </w:p>
        </w:tc>
        <w:tc>
          <w:tcPr>
            <w:tcW w:w="98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341 </w:t>
            </w:r>
          </w:p>
        </w:tc>
        <w:tc>
          <w:tcPr>
            <w:tcW w:w="84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288 </w:t>
            </w:r>
          </w:p>
        </w:tc>
        <w:tc>
          <w:tcPr>
            <w:tcW w:w="8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698 </w:t>
            </w:r>
          </w:p>
        </w:tc>
      </w:tr>
      <w:tr>
        <w:tblPrEx>
          <w:tblCellMar>
            <w:top w:w="0" w:type="dxa"/>
            <w:left w:w="108" w:type="dxa"/>
            <w:bottom w:w="0" w:type="dxa"/>
            <w:right w:w="108" w:type="dxa"/>
          </w:tblCellMar>
        </w:tblPrEx>
        <w:trPr>
          <w:trHeight w:val="277" w:hRule="atLeast"/>
          <w:jc w:val="center"/>
        </w:trPr>
        <w:tc>
          <w:tcPr>
            <w:tcW w:w="87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715"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94"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108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132 </w:t>
            </w:r>
          </w:p>
        </w:tc>
        <w:tc>
          <w:tcPr>
            <w:tcW w:w="94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671 </w:t>
            </w:r>
          </w:p>
        </w:tc>
        <w:tc>
          <w:tcPr>
            <w:tcW w:w="102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102 </w:t>
            </w:r>
          </w:p>
        </w:tc>
        <w:tc>
          <w:tcPr>
            <w:tcW w:w="98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773 </w:t>
            </w:r>
          </w:p>
        </w:tc>
        <w:tc>
          <w:tcPr>
            <w:tcW w:w="84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595 </w:t>
            </w:r>
          </w:p>
        </w:tc>
        <w:tc>
          <w:tcPr>
            <w:tcW w:w="8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1500 </w:t>
            </w:r>
          </w:p>
        </w:tc>
      </w:tr>
      <w:tr>
        <w:tblPrEx>
          <w:tblCellMar>
            <w:top w:w="0" w:type="dxa"/>
            <w:left w:w="108" w:type="dxa"/>
            <w:bottom w:w="0" w:type="dxa"/>
            <w:right w:w="108" w:type="dxa"/>
          </w:tblCellMar>
        </w:tblPrEx>
        <w:trPr>
          <w:trHeight w:val="277" w:hRule="atLeast"/>
          <w:jc w:val="center"/>
        </w:trPr>
        <w:tc>
          <w:tcPr>
            <w:tcW w:w="87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715"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94"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08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19 </w:t>
            </w:r>
          </w:p>
        </w:tc>
        <w:tc>
          <w:tcPr>
            <w:tcW w:w="94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248 </w:t>
            </w:r>
          </w:p>
        </w:tc>
        <w:tc>
          <w:tcPr>
            <w:tcW w:w="102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30 </w:t>
            </w:r>
          </w:p>
        </w:tc>
        <w:tc>
          <w:tcPr>
            <w:tcW w:w="98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278 </w:t>
            </w:r>
          </w:p>
        </w:tc>
        <w:tc>
          <w:tcPr>
            <w:tcW w:w="84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205 </w:t>
            </w:r>
          </w:p>
        </w:tc>
        <w:tc>
          <w:tcPr>
            <w:tcW w:w="8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502 </w:t>
            </w:r>
          </w:p>
        </w:tc>
      </w:tr>
      <w:tr>
        <w:tblPrEx>
          <w:tblCellMar>
            <w:top w:w="0" w:type="dxa"/>
            <w:left w:w="108" w:type="dxa"/>
            <w:bottom w:w="0" w:type="dxa"/>
            <w:right w:w="108" w:type="dxa"/>
          </w:tblCellMar>
        </w:tblPrEx>
        <w:trPr>
          <w:trHeight w:val="277" w:hRule="atLeast"/>
          <w:jc w:val="center"/>
        </w:trPr>
        <w:tc>
          <w:tcPr>
            <w:tcW w:w="87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715"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94"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08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22 </w:t>
            </w:r>
          </w:p>
        </w:tc>
        <w:tc>
          <w:tcPr>
            <w:tcW w:w="94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162 </w:t>
            </w:r>
          </w:p>
        </w:tc>
        <w:tc>
          <w:tcPr>
            <w:tcW w:w="102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29 </w:t>
            </w:r>
          </w:p>
        </w:tc>
        <w:tc>
          <w:tcPr>
            <w:tcW w:w="98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191 </w:t>
            </w:r>
          </w:p>
        </w:tc>
        <w:tc>
          <w:tcPr>
            <w:tcW w:w="84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139 </w:t>
            </w:r>
          </w:p>
        </w:tc>
        <w:tc>
          <w:tcPr>
            <w:tcW w:w="8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352 </w:t>
            </w:r>
          </w:p>
        </w:tc>
      </w:tr>
      <w:tr>
        <w:tblPrEx>
          <w:tblCellMar>
            <w:top w:w="0" w:type="dxa"/>
            <w:left w:w="108" w:type="dxa"/>
            <w:bottom w:w="0" w:type="dxa"/>
            <w:right w:w="108" w:type="dxa"/>
          </w:tblCellMar>
        </w:tblPrEx>
        <w:trPr>
          <w:trHeight w:val="277" w:hRule="atLeast"/>
          <w:jc w:val="center"/>
        </w:trPr>
        <w:tc>
          <w:tcPr>
            <w:tcW w:w="87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715"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94"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08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42 </w:t>
            </w:r>
          </w:p>
        </w:tc>
        <w:tc>
          <w:tcPr>
            <w:tcW w:w="94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210 </w:t>
            </w:r>
          </w:p>
        </w:tc>
        <w:tc>
          <w:tcPr>
            <w:tcW w:w="102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31 </w:t>
            </w:r>
          </w:p>
        </w:tc>
        <w:tc>
          <w:tcPr>
            <w:tcW w:w="98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241 </w:t>
            </w:r>
          </w:p>
        </w:tc>
        <w:tc>
          <w:tcPr>
            <w:tcW w:w="84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168 </w:t>
            </w:r>
          </w:p>
        </w:tc>
        <w:tc>
          <w:tcPr>
            <w:tcW w:w="8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451 </w:t>
            </w:r>
          </w:p>
        </w:tc>
      </w:tr>
      <w:tr>
        <w:tblPrEx>
          <w:tblCellMar>
            <w:top w:w="0" w:type="dxa"/>
            <w:left w:w="108" w:type="dxa"/>
            <w:bottom w:w="0" w:type="dxa"/>
            <w:right w:w="108" w:type="dxa"/>
          </w:tblCellMar>
        </w:tblPrEx>
        <w:trPr>
          <w:trHeight w:val="277" w:hRule="atLeast"/>
          <w:jc w:val="center"/>
        </w:trPr>
        <w:tc>
          <w:tcPr>
            <w:tcW w:w="87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715"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94"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08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50 </w:t>
            </w:r>
          </w:p>
        </w:tc>
        <w:tc>
          <w:tcPr>
            <w:tcW w:w="94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50 </w:t>
            </w:r>
          </w:p>
        </w:tc>
        <w:tc>
          <w:tcPr>
            <w:tcW w:w="102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12 </w:t>
            </w:r>
          </w:p>
        </w:tc>
        <w:tc>
          <w:tcPr>
            <w:tcW w:w="98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62 </w:t>
            </w:r>
          </w:p>
        </w:tc>
        <w:tc>
          <w:tcPr>
            <w:tcW w:w="84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83 </w:t>
            </w:r>
          </w:p>
        </w:tc>
        <w:tc>
          <w:tcPr>
            <w:tcW w:w="8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195 </w:t>
            </w:r>
          </w:p>
        </w:tc>
      </w:tr>
      <w:tr>
        <w:tblPrEx>
          <w:tblCellMar>
            <w:top w:w="0" w:type="dxa"/>
            <w:left w:w="108" w:type="dxa"/>
            <w:bottom w:w="0" w:type="dxa"/>
            <w:right w:w="108" w:type="dxa"/>
          </w:tblCellMar>
        </w:tblPrEx>
        <w:trPr>
          <w:trHeight w:val="277" w:hRule="atLeast"/>
          <w:jc w:val="center"/>
        </w:trPr>
        <w:tc>
          <w:tcPr>
            <w:tcW w:w="87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715"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94"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089"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132 </w:t>
            </w:r>
          </w:p>
        </w:tc>
        <w:tc>
          <w:tcPr>
            <w:tcW w:w="94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671 </w:t>
            </w:r>
          </w:p>
        </w:tc>
        <w:tc>
          <w:tcPr>
            <w:tcW w:w="102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102 </w:t>
            </w:r>
          </w:p>
        </w:tc>
        <w:tc>
          <w:tcPr>
            <w:tcW w:w="98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773 </w:t>
            </w:r>
          </w:p>
        </w:tc>
        <w:tc>
          <w:tcPr>
            <w:tcW w:w="84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595 </w:t>
            </w:r>
          </w:p>
        </w:tc>
        <w:tc>
          <w:tcPr>
            <w:tcW w:w="8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1500 </w:t>
            </w:r>
          </w:p>
        </w:tc>
      </w:tr>
      <w:tr>
        <w:tblPrEx>
          <w:tblCellMar>
            <w:top w:w="0" w:type="dxa"/>
            <w:left w:w="108" w:type="dxa"/>
            <w:bottom w:w="0" w:type="dxa"/>
            <w:right w:w="108" w:type="dxa"/>
          </w:tblCellMar>
        </w:tblPrEx>
        <w:trPr>
          <w:trHeight w:val="277" w:hRule="atLeast"/>
          <w:jc w:val="center"/>
        </w:trPr>
        <w:tc>
          <w:tcPr>
            <w:tcW w:w="872"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2030年</w:t>
            </w:r>
          </w:p>
        </w:tc>
        <w:tc>
          <w:tcPr>
            <w:tcW w:w="715"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694"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08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85 </w:t>
            </w:r>
          </w:p>
        </w:tc>
        <w:tc>
          <w:tcPr>
            <w:tcW w:w="94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604 </w:t>
            </w:r>
          </w:p>
        </w:tc>
        <w:tc>
          <w:tcPr>
            <w:tcW w:w="102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86 </w:t>
            </w:r>
          </w:p>
        </w:tc>
        <w:tc>
          <w:tcPr>
            <w:tcW w:w="98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690 </w:t>
            </w:r>
          </w:p>
        </w:tc>
        <w:tc>
          <w:tcPr>
            <w:tcW w:w="84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535 </w:t>
            </w:r>
          </w:p>
        </w:tc>
        <w:tc>
          <w:tcPr>
            <w:tcW w:w="8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1310 </w:t>
            </w:r>
          </w:p>
        </w:tc>
      </w:tr>
      <w:tr>
        <w:tblPrEx>
          <w:tblCellMar>
            <w:top w:w="0" w:type="dxa"/>
            <w:left w:w="108" w:type="dxa"/>
            <w:bottom w:w="0" w:type="dxa"/>
            <w:right w:w="108" w:type="dxa"/>
          </w:tblCellMar>
        </w:tblPrEx>
        <w:trPr>
          <w:trHeight w:val="277" w:hRule="atLeast"/>
          <w:jc w:val="center"/>
        </w:trPr>
        <w:tc>
          <w:tcPr>
            <w:tcW w:w="87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715"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94"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08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93 </w:t>
            </w:r>
          </w:p>
        </w:tc>
        <w:tc>
          <w:tcPr>
            <w:tcW w:w="94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518 </w:t>
            </w:r>
          </w:p>
        </w:tc>
        <w:tc>
          <w:tcPr>
            <w:tcW w:w="102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55 </w:t>
            </w:r>
          </w:p>
        </w:tc>
        <w:tc>
          <w:tcPr>
            <w:tcW w:w="98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573 </w:t>
            </w:r>
          </w:p>
        </w:tc>
        <w:tc>
          <w:tcPr>
            <w:tcW w:w="84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524 </w:t>
            </w:r>
          </w:p>
        </w:tc>
        <w:tc>
          <w:tcPr>
            <w:tcW w:w="8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1190 </w:t>
            </w:r>
          </w:p>
        </w:tc>
      </w:tr>
      <w:tr>
        <w:tblPrEx>
          <w:tblCellMar>
            <w:top w:w="0" w:type="dxa"/>
            <w:left w:w="108" w:type="dxa"/>
            <w:bottom w:w="0" w:type="dxa"/>
            <w:right w:w="108" w:type="dxa"/>
          </w:tblCellMar>
        </w:tblPrEx>
        <w:trPr>
          <w:trHeight w:val="277" w:hRule="atLeast"/>
          <w:jc w:val="center"/>
        </w:trPr>
        <w:tc>
          <w:tcPr>
            <w:tcW w:w="87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715"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94"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108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178 </w:t>
            </w:r>
          </w:p>
        </w:tc>
        <w:tc>
          <w:tcPr>
            <w:tcW w:w="94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1122 </w:t>
            </w:r>
          </w:p>
        </w:tc>
        <w:tc>
          <w:tcPr>
            <w:tcW w:w="102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141 </w:t>
            </w:r>
          </w:p>
        </w:tc>
        <w:tc>
          <w:tcPr>
            <w:tcW w:w="98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1263 </w:t>
            </w:r>
          </w:p>
        </w:tc>
        <w:tc>
          <w:tcPr>
            <w:tcW w:w="84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1059 </w:t>
            </w:r>
          </w:p>
        </w:tc>
        <w:tc>
          <w:tcPr>
            <w:tcW w:w="8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2500 </w:t>
            </w:r>
          </w:p>
        </w:tc>
      </w:tr>
      <w:tr>
        <w:tblPrEx>
          <w:tblCellMar>
            <w:top w:w="0" w:type="dxa"/>
            <w:left w:w="108" w:type="dxa"/>
            <w:bottom w:w="0" w:type="dxa"/>
            <w:right w:w="108" w:type="dxa"/>
          </w:tblCellMar>
        </w:tblPrEx>
        <w:trPr>
          <w:trHeight w:val="277" w:hRule="atLeast"/>
          <w:jc w:val="center"/>
        </w:trPr>
        <w:tc>
          <w:tcPr>
            <w:tcW w:w="87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715"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94"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08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25 </w:t>
            </w:r>
          </w:p>
        </w:tc>
        <w:tc>
          <w:tcPr>
            <w:tcW w:w="94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428 </w:t>
            </w:r>
          </w:p>
        </w:tc>
        <w:tc>
          <w:tcPr>
            <w:tcW w:w="102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37 </w:t>
            </w:r>
          </w:p>
        </w:tc>
        <w:tc>
          <w:tcPr>
            <w:tcW w:w="98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465 </w:t>
            </w:r>
          </w:p>
        </w:tc>
        <w:tc>
          <w:tcPr>
            <w:tcW w:w="84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385 </w:t>
            </w:r>
          </w:p>
        </w:tc>
        <w:tc>
          <w:tcPr>
            <w:tcW w:w="8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876 </w:t>
            </w:r>
          </w:p>
        </w:tc>
      </w:tr>
      <w:tr>
        <w:tblPrEx>
          <w:tblCellMar>
            <w:top w:w="0" w:type="dxa"/>
            <w:left w:w="108" w:type="dxa"/>
            <w:bottom w:w="0" w:type="dxa"/>
            <w:right w:w="108" w:type="dxa"/>
          </w:tblCellMar>
        </w:tblPrEx>
        <w:trPr>
          <w:trHeight w:val="277" w:hRule="atLeast"/>
          <w:jc w:val="center"/>
        </w:trPr>
        <w:tc>
          <w:tcPr>
            <w:tcW w:w="87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715"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94"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08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29 </w:t>
            </w:r>
          </w:p>
        </w:tc>
        <w:tc>
          <w:tcPr>
            <w:tcW w:w="94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262 </w:t>
            </w:r>
          </w:p>
        </w:tc>
        <w:tc>
          <w:tcPr>
            <w:tcW w:w="102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42 </w:t>
            </w:r>
          </w:p>
        </w:tc>
        <w:tc>
          <w:tcPr>
            <w:tcW w:w="98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304 </w:t>
            </w:r>
          </w:p>
        </w:tc>
        <w:tc>
          <w:tcPr>
            <w:tcW w:w="84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247 </w:t>
            </w:r>
          </w:p>
        </w:tc>
        <w:tc>
          <w:tcPr>
            <w:tcW w:w="8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580 </w:t>
            </w:r>
          </w:p>
        </w:tc>
      </w:tr>
      <w:tr>
        <w:tblPrEx>
          <w:tblCellMar>
            <w:top w:w="0" w:type="dxa"/>
            <w:left w:w="108" w:type="dxa"/>
            <w:bottom w:w="0" w:type="dxa"/>
            <w:right w:w="108" w:type="dxa"/>
          </w:tblCellMar>
        </w:tblPrEx>
        <w:trPr>
          <w:trHeight w:val="277" w:hRule="atLeast"/>
          <w:jc w:val="center"/>
        </w:trPr>
        <w:tc>
          <w:tcPr>
            <w:tcW w:w="87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715"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94"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08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56 </w:t>
            </w:r>
          </w:p>
        </w:tc>
        <w:tc>
          <w:tcPr>
            <w:tcW w:w="94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342 </w:t>
            </w:r>
          </w:p>
        </w:tc>
        <w:tc>
          <w:tcPr>
            <w:tcW w:w="102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44 </w:t>
            </w:r>
          </w:p>
        </w:tc>
        <w:tc>
          <w:tcPr>
            <w:tcW w:w="98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386 </w:t>
            </w:r>
          </w:p>
        </w:tc>
        <w:tc>
          <w:tcPr>
            <w:tcW w:w="84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288 </w:t>
            </w:r>
          </w:p>
        </w:tc>
        <w:tc>
          <w:tcPr>
            <w:tcW w:w="8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729 </w:t>
            </w:r>
          </w:p>
        </w:tc>
      </w:tr>
      <w:tr>
        <w:tblPrEx>
          <w:tblCellMar>
            <w:top w:w="0" w:type="dxa"/>
            <w:left w:w="108" w:type="dxa"/>
            <w:bottom w:w="0" w:type="dxa"/>
            <w:right w:w="108" w:type="dxa"/>
          </w:tblCellMar>
        </w:tblPrEx>
        <w:trPr>
          <w:trHeight w:val="277" w:hRule="atLeast"/>
          <w:jc w:val="center"/>
        </w:trPr>
        <w:tc>
          <w:tcPr>
            <w:tcW w:w="87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715"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94"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08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68 </w:t>
            </w:r>
          </w:p>
        </w:tc>
        <w:tc>
          <w:tcPr>
            <w:tcW w:w="94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90 </w:t>
            </w:r>
          </w:p>
        </w:tc>
        <w:tc>
          <w:tcPr>
            <w:tcW w:w="102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18 </w:t>
            </w:r>
          </w:p>
        </w:tc>
        <w:tc>
          <w:tcPr>
            <w:tcW w:w="98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108 </w:t>
            </w:r>
          </w:p>
        </w:tc>
        <w:tc>
          <w:tcPr>
            <w:tcW w:w="84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139 </w:t>
            </w:r>
          </w:p>
        </w:tc>
        <w:tc>
          <w:tcPr>
            <w:tcW w:w="8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314 </w:t>
            </w:r>
          </w:p>
        </w:tc>
      </w:tr>
      <w:tr>
        <w:tblPrEx>
          <w:tblCellMar>
            <w:top w:w="0" w:type="dxa"/>
            <w:left w:w="108" w:type="dxa"/>
            <w:bottom w:w="0" w:type="dxa"/>
            <w:right w:w="108" w:type="dxa"/>
          </w:tblCellMar>
        </w:tblPrEx>
        <w:trPr>
          <w:trHeight w:val="293" w:hRule="atLeast"/>
          <w:jc w:val="center"/>
        </w:trPr>
        <w:tc>
          <w:tcPr>
            <w:tcW w:w="87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715"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694"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089"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178 </w:t>
            </w:r>
          </w:p>
        </w:tc>
        <w:tc>
          <w:tcPr>
            <w:tcW w:w="94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1122 </w:t>
            </w:r>
          </w:p>
        </w:tc>
        <w:tc>
          <w:tcPr>
            <w:tcW w:w="102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141 </w:t>
            </w:r>
          </w:p>
        </w:tc>
        <w:tc>
          <w:tcPr>
            <w:tcW w:w="98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1263 </w:t>
            </w:r>
          </w:p>
        </w:tc>
        <w:tc>
          <w:tcPr>
            <w:tcW w:w="84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1059 </w:t>
            </w:r>
          </w:p>
        </w:tc>
        <w:tc>
          <w:tcPr>
            <w:tcW w:w="8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2500 </w:t>
            </w:r>
          </w:p>
        </w:tc>
      </w:tr>
    </w:tbl>
    <w:p>
      <w:pPr>
        <w:spacing w:line="360" w:lineRule="auto"/>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表4.2-3  淮南市不同阶段经济增长速度预测表    单位：%</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609"/>
        <w:gridCol w:w="1321"/>
        <w:gridCol w:w="1308"/>
        <w:gridCol w:w="1258"/>
        <w:gridCol w:w="1233"/>
        <w:gridCol w:w="1266"/>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2" w:hRule="atLeast"/>
          <w:jc w:val="center"/>
        </w:trPr>
        <w:tc>
          <w:tcPr>
            <w:tcW w:w="1609"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水平年</w:t>
            </w:r>
          </w:p>
        </w:tc>
        <w:tc>
          <w:tcPr>
            <w:tcW w:w="1321"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第一产业</w:t>
            </w:r>
          </w:p>
        </w:tc>
        <w:tc>
          <w:tcPr>
            <w:tcW w:w="3799" w:type="dxa"/>
            <w:gridSpan w:val="3"/>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第二产业</w:t>
            </w:r>
          </w:p>
        </w:tc>
        <w:tc>
          <w:tcPr>
            <w:tcW w:w="1266"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第三产业</w:t>
            </w:r>
          </w:p>
        </w:tc>
        <w:tc>
          <w:tcPr>
            <w:tcW w:w="1105"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GDP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2" w:hRule="atLeast"/>
          <w:jc w:val="center"/>
        </w:trPr>
        <w:tc>
          <w:tcPr>
            <w:tcW w:w="1609" w:type="dxa"/>
            <w:vMerge w:val="continue"/>
            <w:noWrap w:val="0"/>
            <w:vAlign w:val="center"/>
          </w:tcPr>
          <w:p>
            <w:pPr>
              <w:adjustRightInd w:val="0"/>
              <w:snapToGrid w:val="0"/>
              <w:jc w:val="center"/>
              <w:rPr>
                <w:rFonts w:hint="default" w:ascii="Times New Roman" w:hAnsi="Times New Roman" w:eastAsia="方正仿宋_GBK" w:cs="Times New Roman"/>
                <w:szCs w:val="21"/>
              </w:rPr>
            </w:pPr>
          </w:p>
        </w:tc>
        <w:tc>
          <w:tcPr>
            <w:tcW w:w="1321" w:type="dxa"/>
            <w:vMerge w:val="continue"/>
            <w:noWrap w:val="0"/>
            <w:vAlign w:val="center"/>
          </w:tcPr>
          <w:p>
            <w:pPr>
              <w:adjustRightInd w:val="0"/>
              <w:snapToGrid w:val="0"/>
              <w:jc w:val="center"/>
              <w:rPr>
                <w:rFonts w:hint="default" w:ascii="Times New Roman" w:hAnsi="Times New Roman" w:eastAsia="方正仿宋_GBK" w:cs="Times New Roman"/>
                <w:szCs w:val="21"/>
              </w:rPr>
            </w:pPr>
          </w:p>
        </w:tc>
        <w:tc>
          <w:tcPr>
            <w:tcW w:w="1308"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工业</w:t>
            </w:r>
          </w:p>
        </w:tc>
        <w:tc>
          <w:tcPr>
            <w:tcW w:w="1258"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建筑业</w:t>
            </w:r>
          </w:p>
        </w:tc>
        <w:tc>
          <w:tcPr>
            <w:tcW w:w="1233"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小计</w:t>
            </w:r>
          </w:p>
        </w:tc>
        <w:tc>
          <w:tcPr>
            <w:tcW w:w="1266" w:type="dxa"/>
            <w:vMerge w:val="continue"/>
            <w:noWrap w:val="0"/>
            <w:vAlign w:val="center"/>
          </w:tcPr>
          <w:p>
            <w:pPr>
              <w:adjustRightInd w:val="0"/>
              <w:snapToGrid w:val="0"/>
              <w:jc w:val="center"/>
              <w:rPr>
                <w:rFonts w:hint="default" w:ascii="Times New Roman" w:hAnsi="Times New Roman" w:eastAsia="方正仿宋_GBK" w:cs="Times New Roman"/>
                <w:szCs w:val="21"/>
              </w:rPr>
            </w:pPr>
          </w:p>
        </w:tc>
        <w:tc>
          <w:tcPr>
            <w:tcW w:w="1105" w:type="dxa"/>
            <w:vMerge w:val="continue"/>
            <w:noWrap w:val="0"/>
            <w:vAlign w:val="center"/>
          </w:tcPr>
          <w:p>
            <w:pPr>
              <w:adjustRightInd w:val="0"/>
              <w:snapToGrid w:val="0"/>
              <w:jc w:val="center"/>
              <w:rPr>
                <w:rFonts w:hint="default" w:ascii="Times New Roman" w:hAnsi="Times New Roman"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3" w:hRule="atLeast"/>
          <w:jc w:val="center"/>
        </w:trPr>
        <w:tc>
          <w:tcPr>
            <w:tcW w:w="160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2015～2020</w:t>
            </w:r>
          </w:p>
        </w:tc>
        <w:tc>
          <w:tcPr>
            <w:tcW w:w="1321" w:type="dxa"/>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3.50</w:t>
            </w:r>
          </w:p>
        </w:tc>
        <w:tc>
          <w:tcPr>
            <w:tcW w:w="1308" w:type="dxa"/>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12.94</w:t>
            </w:r>
          </w:p>
        </w:tc>
        <w:tc>
          <w:tcPr>
            <w:tcW w:w="1258" w:type="dxa"/>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8.08</w:t>
            </w:r>
          </w:p>
        </w:tc>
        <w:tc>
          <w:tcPr>
            <w:tcW w:w="1233" w:type="dxa"/>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12.22</w:t>
            </w:r>
          </w:p>
        </w:tc>
        <w:tc>
          <w:tcPr>
            <w:tcW w:w="1266" w:type="dxa"/>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10.85</w:t>
            </w:r>
          </w:p>
        </w:tc>
        <w:tc>
          <w:tcPr>
            <w:tcW w:w="1105" w:type="dxa"/>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4" w:hRule="atLeast"/>
          <w:jc w:val="center"/>
        </w:trPr>
        <w:tc>
          <w:tcPr>
            <w:tcW w:w="1609" w:type="dxa"/>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2020～2030</w:t>
            </w:r>
          </w:p>
        </w:tc>
        <w:tc>
          <w:tcPr>
            <w:tcW w:w="1321" w:type="dxa"/>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3.00</w:t>
            </w:r>
          </w:p>
        </w:tc>
        <w:tc>
          <w:tcPr>
            <w:tcW w:w="1308" w:type="dxa"/>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5.28</w:t>
            </w:r>
          </w:p>
        </w:tc>
        <w:tc>
          <w:tcPr>
            <w:tcW w:w="1258" w:type="dxa"/>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3.29</w:t>
            </w:r>
          </w:p>
        </w:tc>
        <w:tc>
          <w:tcPr>
            <w:tcW w:w="1233" w:type="dxa"/>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5.04</w:t>
            </w:r>
          </w:p>
        </w:tc>
        <w:tc>
          <w:tcPr>
            <w:tcW w:w="1266" w:type="dxa"/>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5.94</w:t>
            </w:r>
          </w:p>
        </w:tc>
        <w:tc>
          <w:tcPr>
            <w:tcW w:w="1105" w:type="dxa"/>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5.24</w:t>
            </w:r>
          </w:p>
        </w:tc>
      </w:tr>
    </w:tbl>
    <w:p>
      <w:pPr>
        <w:spacing w:line="360" w:lineRule="auto"/>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表4.2-4  淮南市产业结构变化预测表  单位：%</w:t>
      </w:r>
    </w:p>
    <w:tbl>
      <w:tblPr>
        <w:tblStyle w:val="12"/>
        <w:tblW w:w="0" w:type="auto"/>
        <w:jc w:val="center"/>
        <w:tblLayout w:type="fixed"/>
        <w:tblCellMar>
          <w:top w:w="0" w:type="dxa"/>
          <w:left w:w="108" w:type="dxa"/>
          <w:bottom w:w="0" w:type="dxa"/>
          <w:right w:w="108" w:type="dxa"/>
        </w:tblCellMar>
      </w:tblPr>
      <w:tblGrid>
        <w:gridCol w:w="1710"/>
        <w:gridCol w:w="2059"/>
        <w:gridCol w:w="1711"/>
        <w:gridCol w:w="1710"/>
        <w:gridCol w:w="1710"/>
      </w:tblGrid>
      <w:tr>
        <w:tblPrEx>
          <w:tblCellMar>
            <w:top w:w="0" w:type="dxa"/>
            <w:left w:w="108" w:type="dxa"/>
            <w:bottom w:w="0" w:type="dxa"/>
            <w:right w:w="108" w:type="dxa"/>
          </w:tblCellMar>
        </w:tblPrEx>
        <w:trPr>
          <w:trHeight w:val="398" w:hRule="atLeast"/>
          <w:jc w:val="center"/>
        </w:trPr>
        <w:tc>
          <w:tcPr>
            <w:tcW w:w="171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bookmarkStart w:id="161" w:name="_Toc312309869"/>
            <w:r>
              <w:rPr>
                <w:rFonts w:hint="default" w:ascii="Times New Roman" w:hAnsi="Times New Roman" w:eastAsia="方正仿宋_GBK" w:cs="Times New Roman"/>
                <w:kern w:val="0"/>
                <w:szCs w:val="21"/>
              </w:rPr>
              <w:t>水平年</w:t>
            </w:r>
          </w:p>
        </w:tc>
        <w:tc>
          <w:tcPr>
            <w:tcW w:w="2059"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第一产业</w:t>
            </w:r>
          </w:p>
        </w:tc>
        <w:tc>
          <w:tcPr>
            <w:tcW w:w="1711"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第二产业</w:t>
            </w:r>
          </w:p>
        </w:tc>
        <w:tc>
          <w:tcPr>
            <w:tcW w:w="1710"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第三产业</w:t>
            </w:r>
          </w:p>
        </w:tc>
        <w:tc>
          <w:tcPr>
            <w:tcW w:w="1710"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合计</w:t>
            </w:r>
          </w:p>
        </w:tc>
      </w:tr>
      <w:tr>
        <w:tblPrEx>
          <w:tblCellMar>
            <w:top w:w="0" w:type="dxa"/>
            <w:left w:w="108" w:type="dxa"/>
            <w:bottom w:w="0" w:type="dxa"/>
            <w:right w:w="108" w:type="dxa"/>
          </w:tblCellMar>
        </w:tblPrEx>
        <w:trPr>
          <w:trHeight w:val="398" w:hRule="atLeast"/>
          <w:jc w:val="center"/>
        </w:trPr>
        <w:tc>
          <w:tcPr>
            <w:tcW w:w="1710"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2015</w:t>
            </w:r>
          </w:p>
        </w:tc>
        <w:tc>
          <w:tcPr>
            <w:tcW w:w="205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12.4</w:t>
            </w:r>
          </w:p>
        </w:tc>
        <w:tc>
          <w:tcPr>
            <w:tcW w:w="17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48.2</w:t>
            </w:r>
          </w:p>
        </w:tc>
        <w:tc>
          <w:tcPr>
            <w:tcW w:w="171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39.4</w:t>
            </w:r>
          </w:p>
        </w:tc>
        <w:tc>
          <w:tcPr>
            <w:tcW w:w="171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100.0</w:t>
            </w:r>
          </w:p>
        </w:tc>
      </w:tr>
      <w:tr>
        <w:tblPrEx>
          <w:tblCellMar>
            <w:top w:w="0" w:type="dxa"/>
            <w:left w:w="108" w:type="dxa"/>
            <w:bottom w:w="0" w:type="dxa"/>
            <w:right w:w="108" w:type="dxa"/>
          </w:tblCellMar>
        </w:tblPrEx>
        <w:trPr>
          <w:trHeight w:val="398" w:hRule="atLeast"/>
          <w:jc w:val="center"/>
        </w:trPr>
        <w:tc>
          <w:tcPr>
            <w:tcW w:w="1710"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2020</w:t>
            </w:r>
          </w:p>
        </w:tc>
        <w:tc>
          <w:tcPr>
            <w:tcW w:w="205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8.8</w:t>
            </w:r>
          </w:p>
        </w:tc>
        <w:tc>
          <w:tcPr>
            <w:tcW w:w="17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51.5</w:t>
            </w:r>
          </w:p>
        </w:tc>
        <w:tc>
          <w:tcPr>
            <w:tcW w:w="171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39.7</w:t>
            </w:r>
          </w:p>
        </w:tc>
        <w:tc>
          <w:tcPr>
            <w:tcW w:w="171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100.0</w:t>
            </w:r>
          </w:p>
        </w:tc>
      </w:tr>
      <w:tr>
        <w:tblPrEx>
          <w:tblCellMar>
            <w:top w:w="0" w:type="dxa"/>
            <w:left w:w="108" w:type="dxa"/>
            <w:bottom w:w="0" w:type="dxa"/>
            <w:right w:w="108" w:type="dxa"/>
          </w:tblCellMar>
        </w:tblPrEx>
        <w:trPr>
          <w:trHeight w:val="437" w:hRule="atLeast"/>
          <w:jc w:val="center"/>
        </w:trPr>
        <w:tc>
          <w:tcPr>
            <w:tcW w:w="1710"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2030</w:t>
            </w:r>
          </w:p>
        </w:tc>
        <w:tc>
          <w:tcPr>
            <w:tcW w:w="205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7.1</w:t>
            </w:r>
          </w:p>
        </w:tc>
        <w:tc>
          <w:tcPr>
            <w:tcW w:w="17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50.5</w:t>
            </w:r>
          </w:p>
        </w:tc>
        <w:tc>
          <w:tcPr>
            <w:tcW w:w="171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42.4</w:t>
            </w:r>
          </w:p>
        </w:tc>
        <w:tc>
          <w:tcPr>
            <w:tcW w:w="1710"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100.0</w:t>
            </w:r>
          </w:p>
        </w:tc>
      </w:tr>
    </w:tbl>
    <w:p>
      <w:pPr>
        <w:pStyle w:val="5"/>
        <w:keepNext w:val="0"/>
        <w:keepLines w:val="0"/>
        <w:pageBreakBefore w:val="0"/>
        <w:widowControl w:val="0"/>
        <w:kinsoku/>
        <w:wordWrap/>
        <w:overflowPunct/>
        <w:autoSpaceDE/>
        <w:autoSpaceDN/>
        <w:bidi w:val="0"/>
        <w:adjustRightInd/>
        <w:snapToGrid/>
        <w:spacing w:line="590" w:lineRule="exact"/>
        <w:ind w:firstLine="562"/>
        <w:rPr>
          <w:rFonts w:hint="default" w:ascii="Times New Roman" w:hAnsi="Times New Roman" w:eastAsia="方正楷体_GBK" w:cs="Times New Roman"/>
          <w:b w:val="0"/>
          <w:bCs/>
          <w:sz w:val="32"/>
          <w:szCs w:val="32"/>
        </w:rPr>
      </w:pPr>
      <w:bookmarkStart w:id="162" w:name="_Toc1937"/>
      <w:r>
        <w:rPr>
          <w:rFonts w:hint="default" w:ascii="Times New Roman" w:hAnsi="Times New Roman" w:eastAsia="方正楷体_GBK" w:cs="Times New Roman"/>
          <w:b w:val="0"/>
          <w:bCs/>
          <w:sz w:val="32"/>
          <w:szCs w:val="32"/>
        </w:rPr>
        <w:t>三、农业发展指标预测</w:t>
      </w:r>
      <w:bookmarkEnd w:id="161"/>
      <w:bookmarkEnd w:id="162"/>
    </w:p>
    <w:p>
      <w:pPr>
        <w:keepNext w:val="0"/>
        <w:keepLines w:val="0"/>
        <w:pageBreakBefore w:val="0"/>
        <w:widowControl w:val="0"/>
        <w:kinsoku/>
        <w:wordWrap/>
        <w:overflowPunct/>
        <w:autoSpaceDE/>
        <w:autoSpaceDN/>
        <w:bidi w:val="0"/>
        <w:adjustRightInd/>
        <w:snapToGrid/>
        <w:spacing w:line="590" w:lineRule="exact"/>
        <w:ind w:firstLine="643" w:firstLineChars="200"/>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（1）灌溉面积发展预测</w:t>
      </w:r>
    </w:p>
    <w:p>
      <w:pPr>
        <w:keepNext w:val="0"/>
        <w:keepLines w:val="0"/>
        <w:pageBreakBefore w:val="0"/>
        <w:widowControl w:val="0"/>
        <w:kinsoku/>
        <w:wordWrap/>
        <w:overflowPunct/>
        <w:autoSpaceDE/>
        <w:autoSpaceDN/>
        <w:bidi w:val="0"/>
        <w:adjustRightInd/>
        <w:snapToGrid/>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现状2015年总有效灌溉面积为390.5万亩，其中农田有效灌溉面积为373.8万亩，林果灌溉为16.7万亩，农田有效灌溉面积中河灌区为371.5万亩，井灌区为2.3万亩（其中淮河以南井灌区根据水利普查数据分布于于洛河镇、上窑镇和九龙岗镇）。规划水平年考虑到区域内淠史杭灌区、茨淮新河灌区和永辛河灌区续建配套与节水改造，同时考虑淮南市采煤沉陷区的进一步发展，来预测规划水平年的有效灌溉面积。</w:t>
      </w:r>
    </w:p>
    <w:p>
      <w:pPr>
        <w:keepNext w:val="0"/>
        <w:keepLines w:val="0"/>
        <w:pageBreakBefore w:val="0"/>
        <w:widowControl w:val="0"/>
        <w:kinsoku/>
        <w:wordWrap/>
        <w:overflowPunct/>
        <w:autoSpaceDE/>
        <w:autoSpaceDN/>
        <w:bidi w:val="0"/>
        <w:adjustRightInd/>
        <w:snapToGrid/>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zh-CN"/>
        </w:rPr>
        <w:t>根据中国矿业大学提供的《淮南矿区采煤沉陷机理研究及沉陷区预测》报告，淮南市</w:t>
      </w:r>
      <w:r>
        <w:rPr>
          <w:rFonts w:hint="default" w:ascii="Times New Roman" w:hAnsi="Times New Roman" w:eastAsia="方正仿宋_GBK" w:cs="Times New Roman"/>
          <w:sz w:val="32"/>
          <w:szCs w:val="32"/>
        </w:rPr>
        <w:t>采煤沉陷区到2020年、2030年分别为186.7km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sz w:val="32"/>
          <w:szCs w:val="32"/>
        </w:rPr>
        <w:t>、275.2km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sz w:val="32"/>
          <w:szCs w:val="32"/>
        </w:rPr>
        <w:t>，耕地分别减少2.2万亩、15.6万亩。涉及至潘集区、谢家集区、凤台县。</w:t>
      </w:r>
    </w:p>
    <w:p>
      <w:pPr>
        <w:keepNext w:val="0"/>
        <w:keepLines w:val="0"/>
        <w:pageBreakBefore w:val="0"/>
        <w:widowControl w:val="0"/>
        <w:kinsoku/>
        <w:wordWrap/>
        <w:overflowPunct/>
        <w:autoSpaceDE/>
        <w:autoSpaceDN/>
        <w:bidi w:val="0"/>
        <w:adjustRightInd/>
        <w:snapToGrid/>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随着城镇化建设步伐的进一步加快，一部分农村人口将进入城镇居住和工作，农村人居环境将有相当程度的改善，土地整治的力度将逐年加大，预计未来淮南市耕地面积略有增加，但受城市建成区的扩张、采煤沉陷区面积的不断增加等因素的影响，耕地面积基本没有变化。</w:t>
      </w:r>
    </w:p>
    <w:p>
      <w:pPr>
        <w:keepNext w:val="0"/>
        <w:keepLines w:val="0"/>
        <w:pageBreakBefore w:val="0"/>
        <w:widowControl w:val="0"/>
        <w:kinsoku/>
        <w:wordWrap/>
        <w:overflowPunct/>
        <w:autoSpaceDE/>
        <w:autoSpaceDN/>
        <w:bidi w:val="0"/>
        <w:adjustRightInd/>
        <w:snapToGrid/>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淮南市6区2县农田水利规划工程建设规划（2010-2020年）、淠史杭灌区、茨淮新河灌区和永辛河灌区续建配套与节水改造和考虑采煤沉陷区的发展，同时随着淮南市城市化的进一步发展，耕地面积有限，整体上灌溉面积变化不大。</w:t>
      </w:r>
    </w:p>
    <w:p>
      <w:pPr>
        <w:keepNext w:val="0"/>
        <w:keepLines w:val="0"/>
        <w:pageBreakBefore w:val="0"/>
        <w:widowControl w:val="0"/>
        <w:kinsoku/>
        <w:wordWrap/>
        <w:overflowPunct/>
        <w:autoSpaceDE/>
        <w:autoSpaceDN/>
        <w:bidi w:val="0"/>
        <w:adjustRightInd/>
        <w:snapToGrid/>
        <w:spacing w:line="590" w:lineRule="exact"/>
        <w:ind w:firstLine="640" w:firstLineChars="200"/>
        <w:rPr>
          <w:rFonts w:hint="eastAsia" w:ascii="方正黑体_GBK" w:hAnsi="方正黑体_GBK" w:eastAsia="方正黑体_GBK" w:cs="方正黑体_GBK"/>
          <w:b/>
          <w:bCs/>
          <w:sz w:val="24"/>
        </w:rPr>
      </w:pPr>
      <w:r>
        <w:rPr>
          <w:rFonts w:hint="default" w:ascii="Times New Roman" w:hAnsi="Times New Roman" w:eastAsia="方正仿宋_GBK" w:cs="Times New Roman"/>
          <w:sz w:val="32"/>
          <w:szCs w:val="32"/>
        </w:rPr>
        <w:t>预测规划至2020年淮南市总有效灌溉面积为405.6万亩，其中农田有效灌溉面积为382.4万亩，林果灌溉为20.0万亩，农田有效灌溉面积中河灌区为385.6万亩，井灌区为3.3万亩；2030年淮南市总有效灌溉面积为416.9万亩，其中农田有效灌溉面积为391.6万亩，林果灌溉为20.4万亩，农田有效灌溉面积中河灌区为396.6万亩，井灌区为4.9万亩。淮南市各规划水平年有效灌溉面积预测成果见表4.2-5。</w:t>
      </w:r>
    </w:p>
    <w:p>
      <w:pPr>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表4.2-5  淮南市有效灌溉面积发展预测表  单位：万亩</w:t>
      </w:r>
    </w:p>
    <w:tbl>
      <w:tblPr>
        <w:tblStyle w:val="12"/>
        <w:tblW w:w="0" w:type="auto"/>
        <w:jc w:val="center"/>
        <w:tblLayout w:type="fixed"/>
        <w:tblCellMar>
          <w:top w:w="0" w:type="dxa"/>
          <w:left w:w="108" w:type="dxa"/>
          <w:bottom w:w="0" w:type="dxa"/>
          <w:right w:w="108" w:type="dxa"/>
        </w:tblCellMar>
      </w:tblPr>
      <w:tblGrid>
        <w:gridCol w:w="1083"/>
        <w:gridCol w:w="778"/>
        <w:gridCol w:w="1665"/>
        <w:gridCol w:w="1094"/>
        <w:gridCol w:w="1082"/>
        <w:gridCol w:w="802"/>
        <w:gridCol w:w="1082"/>
        <w:gridCol w:w="1314"/>
      </w:tblGrid>
      <w:tr>
        <w:tblPrEx>
          <w:tblCellMar>
            <w:top w:w="0" w:type="dxa"/>
            <w:left w:w="108" w:type="dxa"/>
            <w:bottom w:w="0" w:type="dxa"/>
            <w:right w:w="108" w:type="dxa"/>
          </w:tblCellMar>
        </w:tblPrEx>
        <w:trPr>
          <w:trHeight w:val="202" w:hRule="atLeast"/>
          <w:jc w:val="center"/>
        </w:trPr>
        <w:tc>
          <w:tcPr>
            <w:tcW w:w="1083" w:type="dxa"/>
            <w:vMerge w:val="restart"/>
            <w:tcBorders>
              <w:top w:val="single" w:color="auto" w:sz="4" w:space="0"/>
              <w:left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水平年</w:t>
            </w:r>
          </w:p>
        </w:tc>
        <w:tc>
          <w:tcPr>
            <w:tcW w:w="2443" w:type="dxa"/>
            <w:gridSpan w:val="2"/>
            <w:vMerge w:val="restart"/>
            <w:tcBorders>
              <w:top w:val="single" w:color="auto" w:sz="4" w:space="0"/>
              <w:left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计算分区</w:t>
            </w:r>
          </w:p>
        </w:tc>
        <w:tc>
          <w:tcPr>
            <w:tcW w:w="2978" w:type="dxa"/>
            <w:gridSpan w:val="3"/>
            <w:tcBorders>
              <w:top w:val="single" w:color="auto" w:sz="4" w:space="0"/>
              <w:left w:val="nil"/>
              <w:bottom w:val="single" w:color="auto" w:sz="4" w:space="0"/>
              <w:right w:val="single" w:color="000000"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农田有效</w:t>
            </w:r>
          </w:p>
        </w:tc>
        <w:tc>
          <w:tcPr>
            <w:tcW w:w="1082" w:type="dxa"/>
            <w:vMerge w:val="restart"/>
            <w:tcBorders>
              <w:top w:val="single" w:color="auto" w:sz="4" w:space="0"/>
              <w:left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林果</w:t>
            </w:r>
          </w:p>
        </w:tc>
        <w:tc>
          <w:tcPr>
            <w:tcW w:w="1314" w:type="dxa"/>
            <w:vMerge w:val="restart"/>
            <w:tcBorders>
              <w:top w:val="single" w:color="auto" w:sz="4" w:space="0"/>
              <w:left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有效灌溉</w:t>
            </w:r>
          </w:p>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面积</w:t>
            </w:r>
          </w:p>
        </w:tc>
      </w:tr>
      <w:tr>
        <w:tblPrEx>
          <w:tblCellMar>
            <w:top w:w="0" w:type="dxa"/>
            <w:left w:w="108" w:type="dxa"/>
            <w:bottom w:w="0" w:type="dxa"/>
            <w:right w:w="108" w:type="dxa"/>
          </w:tblCellMar>
        </w:tblPrEx>
        <w:trPr>
          <w:trHeight w:val="202" w:hRule="atLeast"/>
          <w:jc w:val="center"/>
        </w:trPr>
        <w:tc>
          <w:tcPr>
            <w:tcW w:w="1083" w:type="dxa"/>
            <w:vMerge w:val="continue"/>
            <w:tcBorders>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2443" w:type="dxa"/>
            <w:gridSpan w:val="2"/>
            <w:vMerge w:val="continue"/>
            <w:tcBorders>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094"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河灌区</w:t>
            </w:r>
          </w:p>
        </w:tc>
        <w:tc>
          <w:tcPr>
            <w:tcW w:w="1082"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井灌区</w:t>
            </w:r>
          </w:p>
        </w:tc>
        <w:tc>
          <w:tcPr>
            <w:tcW w:w="802" w:type="dxa"/>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小计</w:t>
            </w:r>
          </w:p>
        </w:tc>
        <w:tc>
          <w:tcPr>
            <w:tcW w:w="1082" w:type="dxa"/>
            <w:vMerge w:val="continue"/>
            <w:tcBorders>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314" w:type="dxa"/>
            <w:vMerge w:val="continue"/>
            <w:tcBorders>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r>
      <w:tr>
        <w:tblPrEx>
          <w:tblCellMar>
            <w:top w:w="0" w:type="dxa"/>
            <w:left w:w="108" w:type="dxa"/>
            <w:bottom w:w="0" w:type="dxa"/>
            <w:right w:w="108" w:type="dxa"/>
          </w:tblCellMar>
        </w:tblPrEx>
        <w:trPr>
          <w:trHeight w:val="231" w:hRule="atLeast"/>
          <w:jc w:val="center"/>
        </w:trPr>
        <w:tc>
          <w:tcPr>
            <w:tcW w:w="1083"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2015年</w:t>
            </w:r>
          </w:p>
        </w:tc>
        <w:tc>
          <w:tcPr>
            <w:tcW w:w="778"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665"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09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148.6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1.59</w:t>
            </w:r>
          </w:p>
        </w:tc>
        <w:tc>
          <w:tcPr>
            <w:tcW w:w="80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150.2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5.1</w:t>
            </w:r>
          </w:p>
        </w:tc>
        <w:tc>
          <w:tcPr>
            <w:tcW w:w="131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155.4 </w:t>
            </w:r>
          </w:p>
        </w:tc>
      </w:tr>
      <w:tr>
        <w:tblPrEx>
          <w:tblCellMar>
            <w:top w:w="0" w:type="dxa"/>
            <w:left w:w="108" w:type="dxa"/>
            <w:bottom w:w="0" w:type="dxa"/>
            <w:right w:w="108" w:type="dxa"/>
          </w:tblCellMar>
        </w:tblPrEx>
        <w:trPr>
          <w:trHeight w:val="231" w:hRule="atLeast"/>
          <w:jc w:val="center"/>
        </w:trPr>
        <w:tc>
          <w:tcPr>
            <w:tcW w:w="1083"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778"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65"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09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222.9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0.71</w:t>
            </w:r>
          </w:p>
        </w:tc>
        <w:tc>
          <w:tcPr>
            <w:tcW w:w="80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223.6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11.6</w:t>
            </w:r>
          </w:p>
        </w:tc>
        <w:tc>
          <w:tcPr>
            <w:tcW w:w="131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235.2 </w:t>
            </w:r>
          </w:p>
        </w:tc>
      </w:tr>
      <w:tr>
        <w:tblPrEx>
          <w:tblCellMar>
            <w:top w:w="0" w:type="dxa"/>
            <w:left w:w="108" w:type="dxa"/>
            <w:bottom w:w="0" w:type="dxa"/>
            <w:right w:w="108" w:type="dxa"/>
          </w:tblCellMar>
        </w:tblPrEx>
        <w:trPr>
          <w:trHeight w:val="231" w:hRule="atLeast"/>
          <w:jc w:val="center"/>
        </w:trPr>
        <w:tc>
          <w:tcPr>
            <w:tcW w:w="1083"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778"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65"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109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371.5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2.3 </w:t>
            </w:r>
          </w:p>
        </w:tc>
        <w:tc>
          <w:tcPr>
            <w:tcW w:w="80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373.8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16.7 </w:t>
            </w:r>
          </w:p>
        </w:tc>
        <w:tc>
          <w:tcPr>
            <w:tcW w:w="131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390.5 </w:t>
            </w:r>
          </w:p>
        </w:tc>
      </w:tr>
      <w:tr>
        <w:tblPrEx>
          <w:tblCellMar>
            <w:top w:w="0" w:type="dxa"/>
            <w:left w:w="108" w:type="dxa"/>
            <w:bottom w:w="0" w:type="dxa"/>
            <w:right w:w="108" w:type="dxa"/>
          </w:tblCellMar>
        </w:tblPrEx>
        <w:trPr>
          <w:trHeight w:val="231" w:hRule="atLeast"/>
          <w:jc w:val="center"/>
        </w:trPr>
        <w:tc>
          <w:tcPr>
            <w:tcW w:w="1083"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778"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65"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09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52.8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0.71</w:t>
            </w:r>
          </w:p>
        </w:tc>
        <w:tc>
          <w:tcPr>
            <w:tcW w:w="80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53.5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3.6</w:t>
            </w:r>
          </w:p>
        </w:tc>
        <w:tc>
          <w:tcPr>
            <w:tcW w:w="131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57.1 </w:t>
            </w:r>
          </w:p>
        </w:tc>
      </w:tr>
      <w:tr>
        <w:tblPrEx>
          <w:tblCellMar>
            <w:top w:w="0" w:type="dxa"/>
            <w:left w:w="108" w:type="dxa"/>
            <w:bottom w:w="0" w:type="dxa"/>
            <w:right w:w="108" w:type="dxa"/>
          </w:tblCellMar>
        </w:tblPrEx>
        <w:trPr>
          <w:trHeight w:val="231" w:hRule="atLeast"/>
          <w:jc w:val="center"/>
        </w:trPr>
        <w:tc>
          <w:tcPr>
            <w:tcW w:w="1083"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778"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65"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09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57.9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0.73</w:t>
            </w:r>
          </w:p>
        </w:tc>
        <w:tc>
          <w:tcPr>
            <w:tcW w:w="80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58.6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2.2</w:t>
            </w:r>
          </w:p>
        </w:tc>
        <w:tc>
          <w:tcPr>
            <w:tcW w:w="131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60.8 </w:t>
            </w:r>
          </w:p>
        </w:tc>
      </w:tr>
      <w:tr>
        <w:tblPrEx>
          <w:tblCellMar>
            <w:top w:w="0" w:type="dxa"/>
            <w:left w:w="108" w:type="dxa"/>
            <w:bottom w:w="0" w:type="dxa"/>
            <w:right w:w="108" w:type="dxa"/>
          </w:tblCellMar>
        </w:tblPrEx>
        <w:trPr>
          <w:trHeight w:val="231" w:hRule="atLeast"/>
          <w:jc w:val="center"/>
        </w:trPr>
        <w:tc>
          <w:tcPr>
            <w:tcW w:w="1083"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778"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65"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09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90.8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0.86</w:t>
            </w:r>
          </w:p>
        </w:tc>
        <w:tc>
          <w:tcPr>
            <w:tcW w:w="80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91.6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2.9</w:t>
            </w:r>
          </w:p>
        </w:tc>
        <w:tc>
          <w:tcPr>
            <w:tcW w:w="131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94.5 </w:t>
            </w:r>
          </w:p>
        </w:tc>
      </w:tr>
      <w:tr>
        <w:tblPrEx>
          <w:tblCellMar>
            <w:top w:w="0" w:type="dxa"/>
            <w:left w:w="108" w:type="dxa"/>
            <w:bottom w:w="0" w:type="dxa"/>
            <w:right w:w="108" w:type="dxa"/>
          </w:tblCellMar>
        </w:tblPrEx>
        <w:trPr>
          <w:trHeight w:val="231" w:hRule="atLeast"/>
          <w:jc w:val="center"/>
        </w:trPr>
        <w:tc>
          <w:tcPr>
            <w:tcW w:w="1083"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778"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65"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09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170.1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w:t>
            </w:r>
          </w:p>
        </w:tc>
        <w:tc>
          <w:tcPr>
            <w:tcW w:w="80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170.1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8.0</w:t>
            </w:r>
          </w:p>
        </w:tc>
        <w:tc>
          <w:tcPr>
            <w:tcW w:w="131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178.1 </w:t>
            </w:r>
          </w:p>
        </w:tc>
      </w:tr>
      <w:tr>
        <w:tblPrEx>
          <w:tblCellMar>
            <w:top w:w="0" w:type="dxa"/>
            <w:left w:w="108" w:type="dxa"/>
            <w:bottom w:w="0" w:type="dxa"/>
            <w:right w:w="108" w:type="dxa"/>
          </w:tblCellMar>
        </w:tblPrEx>
        <w:trPr>
          <w:trHeight w:val="231" w:hRule="atLeast"/>
          <w:jc w:val="center"/>
        </w:trPr>
        <w:tc>
          <w:tcPr>
            <w:tcW w:w="1083"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778"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65"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09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371.5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2.3 </w:t>
            </w:r>
          </w:p>
        </w:tc>
        <w:tc>
          <w:tcPr>
            <w:tcW w:w="80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373.8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16.7 </w:t>
            </w:r>
          </w:p>
        </w:tc>
        <w:tc>
          <w:tcPr>
            <w:tcW w:w="131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390.5 </w:t>
            </w:r>
          </w:p>
        </w:tc>
      </w:tr>
      <w:tr>
        <w:tblPrEx>
          <w:tblCellMar>
            <w:top w:w="0" w:type="dxa"/>
            <w:left w:w="108" w:type="dxa"/>
            <w:bottom w:w="0" w:type="dxa"/>
            <w:right w:w="108" w:type="dxa"/>
          </w:tblCellMar>
        </w:tblPrEx>
        <w:trPr>
          <w:trHeight w:val="231" w:hRule="atLeast"/>
          <w:jc w:val="center"/>
        </w:trPr>
        <w:tc>
          <w:tcPr>
            <w:tcW w:w="1083"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2020年</w:t>
            </w:r>
          </w:p>
        </w:tc>
        <w:tc>
          <w:tcPr>
            <w:tcW w:w="778"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665"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09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154.9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2.56</w:t>
            </w:r>
          </w:p>
        </w:tc>
        <w:tc>
          <w:tcPr>
            <w:tcW w:w="80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157.4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5.3</w:t>
            </w:r>
          </w:p>
        </w:tc>
        <w:tc>
          <w:tcPr>
            <w:tcW w:w="131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162.7 </w:t>
            </w:r>
          </w:p>
        </w:tc>
      </w:tr>
      <w:tr>
        <w:tblPrEx>
          <w:tblCellMar>
            <w:top w:w="0" w:type="dxa"/>
            <w:left w:w="108" w:type="dxa"/>
            <w:bottom w:w="0" w:type="dxa"/>
            <w:right w:w="108" w:type="dxa"/>
          </w:tblCellMar>
        </w:tblPrEx>
        <w:trPr>
          <w:trHeight w:val="231" w:hRule="atLeast"/>
          <w:jc w:val="center"/>
        </w:trPr>
        <w:tc>
          <w:tcPr>
            <w:tcW w:w="1083"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778"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65"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09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227.5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0.71</w:t>
            </w:r>
          </w:p>
        </w:tc>
        <w:tc>
          <w:tcPr>
            <w:tcW w:w="80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228.2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14.7</w:t>
            </w:r>
          </w:p>
        </w:tc>
        <w:tc>
          <w:tcPr>
            <w:tcW w:w="131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242.9</w:t>
            </w:r>
          </w:p>
        </w:tc>
      </w:tr>
      <w:tr>
        <w:tblPrEx>
          <w:tblCellMar>
            <w:top w:w="0" w:type="dxa"/>
            <w:left w:w="108" w:type="dxa"/>
            <w:bottom w:w="0" w:type="dxa"/>
            <w:right w:w="108" w:type="dxa"/>
          </w:tblCellMar>
        </w:tblPrEx>
        <w:trPr>
          <w:trHeight w:val="231" w:hRule="atLeast"/>
          <w:jc w:val="center"/>
        </w:trPr>
        <w:tc>
          <w:tcPr>
            <w:tcW w:w="1083"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778"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65"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109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382.4</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3.3</w:t>
            </w:r>
          </w:p>
        </w:tc>
        <w:tc>
          <w:tcPr>
            <w:tcW w:w="80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385.6</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20.0</w:t>
            </w:r>
          </w:p>
        </w:tc>
        <w:tc>
          <w:tcPr>
            <w:tcW w:w="131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405.6</w:t>
            </w:r>
          </w:p>
        </w:tc>
      </w:tr>
      <w:tr>
        <w:tblPrEx>
          <w:tblCellMar>
            <w:top w:w="0" w:type="dxa"/>
            <w:left w:w="108" w:type="dxa"/>
            <w:bottom w:w="0" w:type="dxa"/>
            <w:right w:w="108" w:type="dxa"/>
          </w:tblCellMar>
        </w:tblPrEx>
        <w:trPr>
          <w:trHeight w:val="231" w:hRule="atLeast"/>
          <w:jc w:val="center"/>
        </w:trPr>
        <w:tc>
          <w:tcPr>
            <w:tcW w:w="1083"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778"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65"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09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54.6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0.71</w:t>
            </w:r>
          </w:p>
        </w:tc>
        <w:tc>
          <w:tcPr>
            <w:tcW w:w="80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55.3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6.5</w:t>
            </w:r>
          </w:p>
        </w:tc>
        <w:tc>
          <w:tcPr>
            <w:tcW w:w="131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61.8 </w:t>
            </w:r>
          </w:p>
        </w:tc>
      </w:tr>
      <w:tr>
        <w:tblPrEx>
          <w:tblCellMar>
            <w:top w:w="0" w:type="dxa"/>
            <w:left w:w="108" w:type="dxa"/>
            <w:bottom w:w="0" w:type="dxa"/>
            <w:right w:w="108" w:type="dxa"/>
          </w:tblCellMar>
        </w:tblPrEx>
        <w:trPr>
          <w:trHeight w:val="231" w:hRule="atLeast"/>
          <w:jc w:val="center"/>
        </w:trPr>
        <w:tc>
          <w:tcPr>
            <w:tcW w:w="1083"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778"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65"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09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60.8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0.72 </w:t>
            </w:r>
          </w:p>
        </w:tc>
        <w:tc>
          <w:tcPr>
            <w:tcW w:w="80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61.6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2.3</w:t>
            </w:r>
          </w:p>
        </w:tc>
        <w:tc>
          <w:tcPr>
            <w:tcW w:w="131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63.8 </w:t>
            </w:r>
          </w:p>
        </w:tc>
      </w:tr>
      <w:tr>
        <w:tblPrEx>
          <w:tblCellMar>
            <w:top w:w="0" w:type="dxa"/>
            <w:left w:w="108" w:type="dxa"/>
            <w:bottom w:w="0" w:type="dxa"/>
            <w:right w:w="108" w:type="dxa"/>
          </w:tblCellMar>
        </w:tblPrEx>
        <w:trPr>
          <w:trHeight w:val="231" w:hRule="atLeast"/>
          <w:jc w:val="center"/>
        </w:trPr>
        <w:tc>
          <w:tcPr>
            <w:tcW w:w="1083"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778"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65"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09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94.0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1.84 </w:t>
            </w:r>
          </w:p>
        </w:tc>
        <w:tc>
          <w:tcPr>
            <w:tcW w:w="80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95.9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3.0</w:t>
            </w:r>
          </w:p>
        </w:tc>
        <w:tc>
          <w:tcPr>
            <w:tcW w:w="131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98.87 </w:t>
            </w:r>
          </w:p>
        </w:tc>
      </w:tr>
      <w:tr>
        <w:tblPrEx>
          <w:tblCellMar>
            <w:top w:w="0" w:type="dxa"/>
            <w:left w:w="108" w:type="dxa"/>
            <w:bottom w:w="0" w:type="dxa"/>
            <w:right w:w="108" w:type="dxa"/>
          </w:tblCellMar>
        </w:tblPrEx>
        <w:trPr>
          <w:trHeight w:val="231" w:hRule="atLeast"/>
          <w:jc w:val="center"/>
        </w:trPr>
        <w:tc>
          <w:tcPr>
            <w:tcW w:w="1083"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778"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65"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09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173.0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w:t>
            </w:r>
          </w:p>
        </w:tc>
        <w:tc>
          <w:tcPr>
            <w:tcW w:w="80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173.0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8.2</w:t>
            </w:r>
          </w:p>
        </w:tc>
        <w:tc>
          <w:tcPr>
            <w:tcW w:w="131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181.1 </w:t>
            </w:r>
          </w:p>
        </w:tc>
      </w:tr>
      <w:tr>
        <w:tblPrEx>
          <w:tblCellMar>
            <w:top w:w="0" w:type="dxa"/>
            <w:left w:w="108" w:type="dxa"/>
            <w:bottom w:w="0" w:type="dxa"/>
            <w:right w:w="108" w:type="dxa"/>
          </w:tblCellMar>
        </w:tblPrEx>
        <w:trPr>
          <w:trHeight w:val="231" w:hRule="atLeast"/>
          <w:jc w:val="center"/>
        </w:trPr>
        <w:tc>
          <w:tcPr>
            <w:tcW w:w="1083"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778"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65"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09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382.4</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3.3</w:t>
            </w:r>
          </w:p>
        </w:tc>
        <w:tc>
          <w:tcPr>
            <w:tcW w:w="80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385.6</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20.0</w:t>
            </w:r>
          </w:p>
        </w:tc>
        <w:tc>
          <w:tcPr>
            <w:tcW w:w="131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405.6</w:t>
            </w:r>
          </w:p>
        </w:tc>
      </w:tr>
      <w:tr>
        <w:tblPrEx>
          <w:tblCellMar>
            <w:top w:w="0" w:type="dxa"/>
            <w:left w:w="108" w:type="dxa"/>
            <w:bottom w:w="0" w:type="dxa"/>
            <w:right w:w="108" w:type="dxa"/>
          </w:tblCellMar>
        </w:tblPrEx>
        <w:trPr>
          <w:trHeight w:val="231" w:hRule="atLeast"/>
          <w:jc w:val="center"/>
        </w:trPr>
        <w:tc>
          <w:tcPr>
            <w:tcW w:w="1083"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2030年</w:t>
            </w:r>
          </w:p>
        </w:tc>
        <w:tc>
          <w:tcPr>
            <w:tcW w:w="778"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665"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09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160.2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4.23</w:t>
            </w:r>
          </w:p>
        </w:tc>
        <w:tc>
          <w:tcPr>
            <w:tcW w:w="80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164.5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5.4</w:t>
            </w:r>
          </w:p>
        </w:tc>
        <w:tc>
          <w:tcPr>
            <w:tcW w:w="131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169.8 </w:t>
            </w:r>
          </w:p>
        </w:tc>
      </w:tr>
      <w:tr>
        <w:tblPrEx>
          <w:tblCellMar>
            <w:top w:w="0" w:type="dxa"/>
            <w:left w:w="108" w:type="dxa"/>
            <w:bottom w:w="0" w:type="dxa"/>
            <w:right w:w="108" w:type="dxa"/>
          </w:tblCellMar>
        </w:tblPrEx>
        <w:trPr>
          <w:trHeight w:val="231" w:hRule="atLeast"/>
          <w:jc w:val="center"/>
        </w:trPr>
        <w:tc>
          <w:tcPr>
            <w:tcW w:w="1083"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778"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65"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09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231.4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0.71</w:t>
            </w:r>
          </w:p>
        </w:tc>
        <w:tc>
          <w:tcPr>
            <w:tcW w:w="80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232.1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15.0</w:t>
            </w:r>
          </w:p>
        </w:tc>
        <w:tc>
          <w:tcPr>
            <w:tcW w:w="131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247.1 </w:t>
            </w:r>
          </w:p>
        </w:tc>
      </w:tr>
      <w:tr>
        <w:tblPrEx>
          <w:tblCellMar>
            <w:top w:w="0" w:type="dxa"/>
            <w:left w:w="108" w:type="dxa"/>
            <w:bottom w:w="0" w:type="dxa"/>
            <w:right w:w="108" w:type="dxa"/>
          </w:tblCellMar>
        </w:tblPrEx>
        <w:trPr>
          <w:trHeight w:val="231" w:hRule="atLeast"/>
          <w:jc w:val="center"/>
        </w:trPr>
        <w:tc>
          <w:tcPr>
            <w:tcW w:w="1083"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778"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65"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109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391.6</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4.9</w:t>
            </w:r>
          </w:p>
        </w:tc>
        <w:tc>
          <w:tcPr>
            <w:tcW w:w="80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396.6</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20.4</w:t>
            </w:r>
          </w:p>
        </w:tc>
        <w:tc>
          <w:tcPr>
            <w:tcW w:w="131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416.9</w:t>
            </w:r>
          </w:p>
        </w:tc>
      </w:tr>
      <w:tr>
        <w:tblPrEx>
          <w:tblCellMar>
            <w:top w:w="0" w:type="dxa"/>
            <w:left w:w="108" w:type="dxa"/>
            <w:bottom w:w="0" w:type="dxa"/>
            <w:right w:w="108" w:type="dxa"/>
          </w:tblCellMar>
        </w:tblPrEx>
        <w:trPr>
          <w:trHeight w:val="231" w:hRule="atLeast"/>
          <w:jc w:val="center"/>
        </w:trPr>
        <w:tc>
          <w:tcPr>
            <w:tcW w:w="1083"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778"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65"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09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52.5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0.71</w:t>
            </w:r>
          </w:p>
        </w:tc>
        <w:tc>
          <w:tcPr>
            <w:tcW w:w="80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53.2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6.7</w:t>
            </w:r>
          </w:p>
        </w:tc>
        <w:tc>
          <w:tcPr>
            <w:tcW w:w="131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59.9 </w:t>
            </w:r>
          </w:p>
        </w:tc>
      </w:tr>
      <w:tr>
        <w:tblPrEx>
          <w:tblCellMar>
            <w:top w:w="0" w:type="dxa"/>
            <w:left w:w="108" w:type="dxa"/>
            <w:bottom w:w="0" w:type="dxa"/>
            <w:right w:w="108" w:type="dxa"/>
          </w:tblCellMar>
        </w:tblPrEx>
        <w:trPr>
          <w:trHeight w:val="231" w:hRule="atLeast"/>
          <w:jc w:val="center"/>
        </w:trPr>
        <w:tc>
          <w:tcPr>
            <w:tcW w:w="1083"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778"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65"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09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63.0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0.64 </w:t>
            </w:r>
          </w:p>
        </w:tc>
        <w:tc>
          <w:tcPr>
            <w:tcW w:w="80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63.7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2.3</w:t>
            </w:r>
          </w:p>
        </w:tc>
        <w:tc>
          <w:tcPr>
            <w:tcW w:w="131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66.0 </w:t>
            </w:r>
          </w:p>
        </w:tc>
      </w:tr>
      <w:tr>
        <w:tblPrEx>
          <w:tblCellMar>
            <w:top w:w="0" w:type="dxa"/>
            <w:left w:w="108" w:type="dxa"/>
            <w:bottom w:w="0" w:type="dxa"/>
            <w:right w:w="108" w:type="dxa"/>
          </w:tblCellMar>
        </w:tblPrEx>
        <w:trPr>
          <w:trHeight w:val="231" w:hRule="atLeast"/>
          <w:jc w:val="center"/>
        </w:trPr>
        <w:tc>
          <w:tcPr>
            <w:tcW w:w="1083"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778"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65"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09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97.2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3.59 </w:t>
            </w:r>
          </w:p>
        </w:tc>
        <w:tc>
          <w:tcPr>
            <w:tcW w:w="80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100.8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3.1</w:t>
            </w:r>
          </w:p>
        </w:tc>
        <w:tc>
          <w:tcPr>
            <w:tcW w:w="131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103.9 </w:t>
            </w:r>
          </w:p>
        </w:tc>
      </w:tr>
      <w:tr>
        <w:tblPrEx>
          <w:tblCellMar>
            <w:top w:w="0" w:type="dxa"/>
            <w:left w:w="108" w:type="dxa"/>
            <w:bottom w:w="0" w:type="dxa"/>
            <w:right w:w="108" w:type="dxa"/>
          </w:tblCellMar>
        </w:tblPrEx>
        <w:trPr>
          <w:trHeight w:val="231" w:hRule="atLeast"/>
          <w:jc w:val="center"/>
        </w:trPr>
        <w:tc>
          <w:tcPr>
            <w:tcW w:w="1083"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778"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65"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09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178.9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w:t>
            </w:r>
          </w:p>
        </w:tc>
        <w:tc>
          <w:tcPr>
            <w:tcW w:w="80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178.9 </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8.3</w:t>
            </w:r>
          </w:p>
        </w:tc>
        <w:tc>
          <w:tcPr>
            <w:tcW w:w="131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187.2 </w:t>
            </w:r>
          </w:p>
        </w:tc>
      </w:tr>
      <w:tr>
        <w:tblPrEx>
          <w:tblCellMar>
            <w:top w:w="0" w:type="dxa"/>
            <w:left w:w="108" w:type="dxa"/>
            <w:bottom w:w="0" w:type="dxa"/>
            <w:right w:w="108" w:type="dxa"/>
          </w:tblCellMar>
        </w:tblPrEx>
        <w:trPr>
          <w:trHeight w:val="238" w:hRule="atLeast"/>
          <w:jc w:val="center"/>
        </w:trPr>
        <w:tc>
          <w:tcPr>
            <w:tcW w:w="1083"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778"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65" w:type="dxa"/>
            <w:tcBorders>
              <w:top w:val="nil"/>
              <w:left w:val="nil"/>
              <w:bottom w:val="single" w:color="auto" w:sz="4" w:space="0"/>
              <w:right w:val="nil"/>
            </w:tcBorders>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09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391.6</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4.9</w:t>
            </w:r>
          </w:p>
        </w:tc>
        <w:tc>
          <w:tcPr>
            <w:tcW w:w="80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396.6</w:t>
            </w:r>
          </w:p>
        </w:tc>
        <w:tc>
          <w:tcPr>
            <w:tcW w:w="10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20.4</w:t>
            </w:r>
          </w:p>
        </w:tc>
        <w:tc>
          <w:tcPr>
            <w:tcW w:w="131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416.9</w:t>
            </w:r>
          </w:p>
        </w:tc>
      </w:tr>
    </w:tbl>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（2）畜牧业及鱼塘补水发展预测</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2015</w:t>
      </w:r>
      <w:r>
        <w:rPr>
          <w:rFonts w:hint="default" w:ascii="Times New Roman" w:hAnsi="Times New Roman" w:eastAsia="方正仿宋_GBK" w:cs="Times New Roman"/>
          <w:sz w:val="32"/>
          <w:szCs w:val="32"/>
        </w:rPr>
        <w:t>年全市大牲畜存栏21.9万头，小牲畜存栏数275.9万只（主要以家禽为主）；预计2020年全市大、小牲畜存栏数将分别达到23.4万头、294.9万只；至2030年，大、小牲畜预计分别达到25.1万头、316.1万只。</w:t>
      </w:r>
      <w:bookmarkStart w:id="163" w:name="OLE_LINK4"/>
      <w:r>
        <w:rPr>
          <w:rFonts w:hint="default" w:ascii="Times New Roman" w:hAnsi="Times New Roman" w:eastAsia="方正仿宋_GBK" w:cs="Times New Roman"/>
          <w:sz w:val="32"/>
          <w:szCs w:val="32"/>
        </w:rPr>
        <w:t>畜牧业生产量仍以淮河南岸为主，畜牧业生产总量王蚌区间北岸、王蚌区间南岸之间的比例变化不大，南、北岸之间的比例分别为34.5%、65.5%。</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b/>
          <w:bCs/>
          <w:sz w:val="24"/>
        </w:rPr>
      </w:pPr>
      <w:r>
        <w:rPr>
          <w:rFonts w:hint="default" w:ascii="Times New Roman" w:hAnsi="Times New Roman" w:eastAsia="方正仿宋_GBK" w:cs="Times New Roman"/>
          <w:sz w:val="32"/>
          <w:szCs w:val="32"/>
        </w:rPr>
        <w:t>淮南市2015年鱼塘补水面积20.1万亩，预测2020年鱼塘补水面积为20.2万亩，2030年鱼塘补水面积为21.2万亩。畜牧业发展及鱼塘补水面积预测见表4.2-6。</w:t>
      </w:r>
      <w:bookmarkEnd w:id="163"/>
    </w:p>
    <w:p>
      <w:pPr>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表4.2-6  淮南市畜牧业发展预测表</w:t>
      </w:r>
    </w:p>
    <w:tbl>
      <w:tblPr>
        <w:tblStyle w:val="12"/>
        <w:tblW w:w="0" w:type="auto"/>
        <w:jc w:val="center"/>
        <w:tblLayout w:type="fixed"/>
        <w:tblCellMar>
          <w:top w:w="0" w:type="dxa"/>
          <w:left w:w="108" w:type="dxa"/>
          <w:bottom w:w="0" w:type="dxa"/>
          <w:right w:w="108" w:type="dxa"/>
        </w:tblCellMar>
      </w:tblPr>
      <w:tblGrid>
        <w:gridCol w:w="1090"/>
        <w:gridCol w:w="1090"/>
        <w:gridCol w:w="1699"/>
        <w:gridCol w:w="1090"/>
        <w:gridCol w:w="1090"/>
        <w:gridCol w:w="1091"/>
        <w:gridCol w:w="1090"/>
      </w:tblGrid>
      <w:tr>
        <w:tblPrEx>
          <w:tblCellMar>
            <w:top w:w="0" w:type="dxa"/>
            <w:left w:w="108" w:type="dxa"/>
            <w:bottom w:w="0" w:type="dxa"/>
            <w:right w:w="108" w:type="dxa"/>
          </w:tblCellMar>
        </w:tblPrEx>
        <w:trPr>
          <w:trHeight w:val="90" w:hRule="atLeast"/>
          <w:jc w:val="center"/>
        </w:trPr>
        <w:tc>
          <w:tcPr>
            <w:tcW w:w="1090"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水平年</w:t>
            </w:r>
          </w:p>
        </w:tc>
        <w:tc>
          <w:tcPr>
            <w:tcW w:w="2789" w:type="dxa"/>
            <w:gridSpan w:val="2"/>
            <w:vMerge w:val="restart"/>
            <w:tcBorders>
              <w:top w:val="single" w:color="auto" w:sz="4" w:space="0"/>
              <w:left w:val="single" w:color="auto" w:sz="4" w:space="0"/>
              <w:bottom w:val="single" w:color="000000" w:sz="4" w:space="0"/>
              <w:right w:val="single" w:color="000000"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计算分区</w:t>
            </w:r>
          </w:p>
        </w:tc>
        <w:tc>
          <w:tcPr>
            <w:tcW w:w="109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鱼塘补水（万亩）</w:t>
            </w:r>
          </w:p>
        </w:tc>
        <w:tc>
          <w:tcPr>
            <w:tcW w:w="3271" w:type="dxa"/>
            <w:gridSpan w:val="3"/>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牲畜头数（万头）</w:t>
            </w:r>
          </w:p>
        </w:tc>
      </w:tr>
      <w:tr>
        <w:tblPrEx>
          <w:tblCellMar>
            <w:top w:w="0" w:type="dxa"/>
            <w:left w:w="108" w:type="dxa"/>
            <w:bottom w:w="0" w:type="dxa"/>
            <w:right w:w="108" w:type="dxa"/>
          </w:tblCellMar>
        </w:tblPrEx>
        <w:trPr>
          <w:trHeight w:val="90" w:hRule="atLeast"/>
          <w:jc w:val="center"/>
        </w:trPr>
        <w:tc>
          <w:tcPr>
            <w:tcW w:w="1090"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2789" w:type="dxa"/>
            <w:gridSpan w:val="2"/>
            <w:vMerge w:val="continue"/>
            <w:tcBorders>
              <w:top w:val="single" w:color="auto" w:sz="4" w:space="0"/>
              <w:left w:val="single" w:color="auto" w:sz="4" w:space="0"/>
              <w:bottom w:val="single" w:color="000000" w:sz="4" w:space="0"/>
              <w:right w:val="single" w:color="000000" w:sz="4" w:space="0"/>
            </w:tcBorders>
            <w:noWrap w:val="0"/>
            <w:vAlign w:val="center"/>
          </w:tcPr>
          <w:p>
            <w:pPr>
              <w:widowControl/>
              <w:jc w:val="left"/>
              <w:rPr>
                <w:rFonts w:hint="default" w:ascii="Times New Roman" w:hAnsi="Times New Roman" w:eastAsia="方正仿宋_GBK" w:cs="Times New Roman"/>
                <w:kern w:val="0"/>
                <w:szCs w:val="21"/>
              </w:rPr>
            </w:pPr>
          </w:p>
        </w:tc>
        <w:tc>
          <w:tcPr>
            <w:tcW w:w="109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大牲畜</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小牲畜</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合计</w:t>
            </w:r>
          </w:p>
        </w:tc>
      </w:tr>
      <w:tr>
        <w:tblPrEx>
          <w:tblCellMar>
            <w:top w:w="0" w:type="dxa"/>
            <w:left w:w="108" w:type="dxa"/>
            <w:bottom w:w="0" w:type="dxa"/>
            <w:right w:w="108" w:type="dxa"/>
          </w:tblCellMar>
        </w:tblPrEx>
        <w:trPr>
          <w:trHeight w:val="90" w:hRule="atLeast"/>
          <w:jc w:val="center"/>
        </w:trPr>
        <w:tc>
          <w:tcPr>
            <w:tcW w:w="109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2015年</w:t>
            </w:r>
          </w:p>
        </w:tc>
        <w:tc>
          <w:tcPr>
            <w:tcW w:w="109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69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6.3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8.1 </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94.7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102.8 </w:t>
            </w:r>
          </w:p>
        </w:tc>
      </w:tr>
      <w:tr>
        <w:tblPrEx>
          <w:tblCellMar>
            <w:top w:w="0" w:type="dxa"/>
            <w:left w:w="108" w:type="dxa"/>
            <w:bottom w:w="0" w:type="dxa"/>
            <w:right w:w="108" w:type="dxa"/>
          </w:tblCellMar>
        </w:tblPrEx>
        <w:trPr>
          <w:trHeight w:val="90" w:hRule="atLeast"/>
          <w:jc w:val="center"/>
        </w:trPr>
        <w:tc>
          <w:tcPr>
            <w:tcW w:w="109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9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69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13.8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13.8 </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181.2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194.9 </w:t>
            </w:r>
          </w:p>
        </w:tc>
      </w:tr>
      <w:tr>
        <w:tblPrEx>
          <w:tblCellMar>
            <w:top w:w="0" w:type="dxa"/>
            <w:left w:w="108" w:type="dxa"/>
            <w:bottom w:w="0" w:type="dxa"/>
            <w:right w:w="108" w:type="dxa"/>
          </w:tblCellMar>
        </w:tblPrEx>
        <w:trPr>
          <w:trHeight w:val="90" w:hRule="atLeast"/>
          <w:jc w:val="center"/>
        </w:trPr>
        <w:tc>
          <w:tcPr>
            <w:tcW w:w="109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9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69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20.1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21.9 </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275.9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297.8 </w:t>
            </w:r>
          </w:p>
        </w:tc>
      </w:tr>
      <w:tr>
        <w:tblPrEx>
          <w:tblCellMar>
            <w:top w:w="0" w:type="dxa"/>
            <w:left w:w="108" w:type="dxa"/>
            <w:bottom w:w="0" w:type="dxa"/>
            <w:right w:w="108" w:type="dxa"/>
          </w:tblCellMar>
        </w:tblPrEx>
        <w:trPr>
          <w:trHeight w:val="90" w:hRule="atLeast"/>
          <w:jc w:val="center"/>
        </w:trPr>
        <w:tc>
          <w:tcPr>
            <w:tcW w:w="109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9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9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3.4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2.9 </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22.7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25.6 </w:t>
            </w:r>
          </w:p>
        </w:tc>
      </w:tr>
      <w:tr>
        <w:tblPrEx>
          <w:tblCellMar>
            <w:top w:w="0" w:type="dxa"/>
            <w:left w:w="108" w:type="dxa"/>
            <w:bottom w:w="0" w:type="dxa"/>
            <w:right w:w="108" w:type="dxa"/>
          </w:tblCellMar>
        </w:tblPrEx>
        <w:trPr>
          <w:trHeight w:val="90" w:hRule="atLeast"/>
          <w:jc w:val="center"/>
        </w:trPr>
        <w:tc>
          <w:tcPr>
            <w:tcW w:w="109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9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69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1.9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2.7 </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24.6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27.3 </w:t>
            </w:r>
          </w:p>
        </w:tc>
      </w:tr>
      <w:tr>
        <w:tblPrEx>
          <w:tblCellMar>
            <w:top w:w="0" w:type="dxa"/>
            <w:left w:w="108" w:type="dxa"/>
            <w:bottom w:w="0" w:type="dxa"/>
            <w:right w:w="108" w:type="dxa"/>
          </w:tblCellMar>
        </w:tblPrEx>
        <w:trPr>
          <w:trHeight w:val="90" w:hRule="atLeast"/>
          <w:jc w:val="center"/>
        </w:trPr>
        <w:tc>
          <w:tcPr>
            <w:tcW w:w="109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9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69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4.6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5.7 </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74.3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80.0 </w:t>
            </w:r>
          </w:p>
        </w:tc>
      </w:tr>
      <w:tr>
        <w:tblPrEx>
          <w:tblCellMar>
            <w:top w:w="0" w:type="dxa"/>
            <w:left w:w="108" w:type="dxa"/>
            <w:bottom w:w="0" w:type="dxa"/>
            <w:right w:w="108" w:type="dxa"/>
          </w:tblCellMar>
        </w:tblPrEx>
        <w:trPr>
          <w:trHeight w:val="90" w:hRule="atLeast"/>
          <w:jc w:val="center"/>
        </w:trPr>
        <w:tc>
          <w:tcPr>
            <w:tcW w:w="109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9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69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10.2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10.5 </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154.3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164.8 </w:t>
            </w:r>
          </w:p>
        </w:tc>
      </w:tr>
      <w:tr>
        <w:tblPrEx>
          <w:tblCellMar>
            <w:top w:w="0" w:type="dxa"/>
            <w:left w:w="108" w:type="dxa"/>
            <w:bottom w:w="0" w:type="dxa"/>
            <w:right w:w="108" w:type="dxa"/>
          </w:tblCellMar>
        </w:tblPrEx>
        <w:trPr>
          <w:trHeight w:val="90" w:hRule="atLeast"/>
          <w:jc w:val="center"/>
        </w:trPr>
        <w:tc>
          <w:tcPr>
            <w:tcW w:w="109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9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699" w:type="dxa"/>
            <w:tcBorders>
              <w:top w:val="nil"/>
              <w:left w:val="nil"/>
              <w:bottom w:val="single" w:color="auto" w:sz="4" w:space="0"/>
              <w:right w:val="nil"/>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09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20.1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21.9 </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275.9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297.8 </w:t>
            </w:r>
          </w:p>
        </w:tc>
      </w:tr>
      <w:tr>
        <w:tblPrEx>
          <w:tblCellMar>
            <w:top w:w="0" w:type="dxa"/>
            <w:left w:w="108" w:type="dxa"/>
            <w:bottom w:w="0" w:type="dxa"/>
            <w:right w:w="108" w:type="dxa"/>
          </w:tblCellMar>
        </w:tblPrEx>
        <w:trPr>
          <w:trHeight w:val="90" w:hRule="atLeast"/>
          <w:jc w:val="center"/>
        </w:trPr>
        <w:tc>
          <w:tcPr>
            <w:tcW w:w="109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2020年</w:t>
            </w:r>
          </w:p>
        </w:tc>
        <w:tc>
          <w:tcPr>
            <w:tcW w:w="109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69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6.4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8.7 </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101.2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109.9 </w:t>
            </w:r>
          </w:p>
        </w:tc>
      </w:tr>
      <w:tr>
        <w:tblPrEx>
          <w:tblCellMar>
            <w:top w:w="0" w:type="dxa"/>
            <w:left w:w="108" w:type="dxa"/>
            <w:bottom w:w="0" w:type="dxa"/>
            <w:right w:w="108" w:type="dxa"/>
          </w:tblCellMar>
        </w:tblPrEx>
        <w:trPr>
          <w:trHeight w:val="90" w:hRule="atLeast"/>
          <w:jc w:val="center"/>
        </w:trPr>
        <w:tc>
          <w:tcPr>
            <w:tcW w:w="109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9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69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13.8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14.7 </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193.7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208.4 </w:t>
            </w:r>
          </w:p>
        </w:tc>
      </w:tr>
      <w:tr>
        <w:tblPrEx>
          <w:tblCellMar>
            <w:top w:w="0" w:type="dxa"/>
            <w:left w:w="108" w:type="dxa"/>
            <w:bottom w:w="0" w:type="dxa"/>
            <w:right w:w="108" w:type="dxa"/>
          </w:tblCellMar>
        </w:tblPrEx>
        <w:trPr>
          <w:trHeight w:val="90" w:hRule="atLeast"/>
          <w:jc w:val="center"/>
        </w:trPr>
        <w:tc>
          <w:tcPr>
            <w:tcW w:w="109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9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69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20.2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23.4 </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294.9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318.3 </w:t>
            </w:r>
          </w:p>
        </w:tc>
      </w:tr>
      <w:tr>
        <w:tblPrEx>
          <w:tblCellMar>
            <w:top w:w="0" w:type="dxa"/>
            <w:left w:w="108" w:type="dxa"/>
            <w:bottom w:w="0" w:type="dxa"/>
            <w:right w:w="108" w:type="dxa"/>
          </w:tblCellMar>
        </w:tblPrEx>
        <w:trPr>
          <w:trHeight w:val="90" w:hRule="atLeast"/>
          <w:jc w:val="center"/>
        </w:trPr>
        <w:tc>
          <w:tcPr>
            <w:tcW w:w="109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9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9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3.3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3.1 </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24.2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27.4 </w:t>
            </w:r>
          </w:p>
        </w:tc>
      </w:tr>
      <w:tr>
        <w:tblPrEx>
          <w:tblCellMar>
            <w:top w:w="0" w:type="dxa"/>
            <w:left w:w="108" w:type="dxa"/>
            <w:bottom w:w="0" w:type="dxa"/>
            <w:right w:w="108" w:type="dxa"/>
          </w:tblCellMar>
        </w:tblPrEx>
        <w:trPr>
          <w:trHeight w:val="90" w:hRule="atLeast"/>
          <w:jc w:val="center"/>
        </w:trPr>
        <w:tc>
          <w:tcPr>
            <w:tcW w:w="109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9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69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2.0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2.9 </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26.3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29.1 </w:t>
            </w:r>
          </w:p>
        </w:tc>
      </w:tr>
      <w:tr>
        <w:tblPrEx>
          <w:tblCellMar>
            <w:top w:w="0" w:type="dxa"/>
            <w:left w:w="108" w:type="dxa"/>
            <w:bottom w:w="0" w:type="dxa"/>
            <w:right w:w="108" w:type="dxa"/>
          </w:tblCellMar>
        </w:tblPrEx>
        <w:trPr>
          <w:trHeight w:val="90" w:hRule="atLeast"/>
          <w:jc w:val="center"/>
        </w:trPr>
        <w:tc>
          <w:tcPr>
            <w:tcW w:w="109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9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69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4.6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6.1 </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79.4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85.6 </w:t>
            </w:r>
          </w:p>
        </w:tc>
      </w:tr>
      <w:tr>
        <w:tblPrEx>
          <w:tblCellMar>
            <w:top w:w="0" w:type="dxa"/>
            <w:left w:w="108" w:type="dxa"/>
            <w:bottom w:w="0" w:type="dxa"/>
            <w:right w:w="108" w:type="dxa"/>
          </w:tblCellMar>
        </w:tblPrEx>
        <w:trPr>
          <w:trHeight w:val="90" w:hRule="atLeast"/>
          <w:jc w:val="center"/>
        </w:trPr>
        <w:tc>
          <w:tcPr>
            <w:tcW w:w="109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9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69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10.3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11.2 </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165.0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176.2 </w:t>
            </w:r>
          </w:p>
        </w:tc>
      </w:tr>
      <w:tr>
        <w:tblPrEx>
          <w:tblCellMar>
            <w:top w:w="0" w:type="dxa"/>
            <w:left w:w="108" w:type="dxa"/>
            <w:bottom w:w="0" w:type="dxa"/>
            <w:right w:w="108" w:type="dxa"/>
          </w:tblCellMar>
        </w:tblPrEx>
        <w:trPr>
          <w:trHeight w:val="90" w:hRule="atLeast"/>
          <w:jc w:val="center"/>
        </w:trPr>
        <w:tc>
          <w:tcPr>
            <w:tcW w:w="109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9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699" w:type="dxa"/>
            <w:tcBorders>
              <w:top w:val="nil"/>
              <w:left w:val="nil"/>
              <w:bottom w:val="single" w:color="auto" w:sz="4" w:space="0"/>
              <w:right w:val="nil"/>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09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20.2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23.4 </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294.9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318.3 </w:t>
            </w:r>
          </w:p>
        </w:tc>
      </w:tr>
      <w:tr>
        <w:tblPrEx>
          <w:tblCellMar>
            <w:top w:w="0" w:type="dxa"/>
            <w:left w:w="108" w:type="dxa"/>
            <w:bottom w:w="0" w:type="dxa"/>
            <w:right w:w="108" w:type="dxa"/>
          </w:tblCellMar>
        </w:tblPrEx>
        <w:trPr>
          <w:trHeight w:val="90" w:hRule="atLeast"/>
          <w:jc w:val="center"/>
        </w:trPr>
        <w:tc>
          <w:tcPr>
            <w:tcW w:w="109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2030年</w:t>
            </w:r>
          </w:p>
        </w:tc>
        <w:tc>
          <w:tcPr>
            <w:tcW w:w="109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69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6.8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9.3 </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108.5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117.8 </w:t>
            </w:r>
          </w:p>
        </w:tc>
      </w:tr>
      <w:tr>
        <w:tblPrEx>
          <w:tblCellMar>
            <w:top w:w="0" w:type="dxa"/>
            <w:left w:w="108" w:type="dxa"/>
            <w:bottom w:w="0" w:type="dxa"/>
            <w:right w:w="108" w:type="dxa"/>
          </w:tblCellMar>
        </w:tblPrEx>
        <w:trPr>
          <w:trHeight w:val="90" w:hRule="atLeast"/>
          <w:jc w:val="center"/>
        </w:trPr>
        <w:tc>
          <w:tcPr>
            <w:tcW w:w="109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9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69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14.4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15.8 </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207.6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223.4 </w:t>
            </w:r>
          </w:p>
        </w:tc>
      </w:tr>
      <w:tr>
        <w:tblPrEx>
          <w:tblCellMar>
            <w:top w:w="0" w:type="dxa"/>
            <w:left w:w="108" w:type="dxa"/>
            <w:bottom w:w="0" w:type="dxa"/>
            <w:right w:w="108" w:type="dxa"/>
          </w:tblCellMar>
        </w:tblPrEx>
        <w:trPr>
          <w:trHeight w:val="90" w:hRule="atLeast"/>
          <w:jc w:val="center"/>
        </w:trPr>
        <w:tc>
          <w:tcPr>
            <w:tcW w:w="109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9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69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21.2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25.1 </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316.1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341.2 </w:t>
            </w:r>
          </w:p>
        </w:tc>
      </w:tr>
      <w:tr>
        <w:tblPrEx>
          <w:tblCellMar>
            <w:top w:w="0" w:type="dxa"/>
            <w:left w:w="108" w:type="dxa"/>
            <w:bottom w:w="0" w:type="dxa"/>
            <w:right w:w="108" w:type="dxa"/>
          </w:tblCellMar>
        </w:tblPrEx>
        <w:trPr>
          <w:trHeight w:val="90" w:hRule="atLeast"/>
          <w:jc w:val="center"/>
        </w:trPr>
        <w:tc>
          <w:tcPr>
            <w:tcW w:w="109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9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9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3.1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3.4 </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26.0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29.4 </w:t>
            </w:r>
          </w:p>
        </w:tc>
      </w:tr>
      <w:tr>
        <w:tblPrEx>
          <w:tblCellMar>
            <w:top w:w="0" w:type="dxa"/>
            <w:left w:w="108" w:type="dxa"/>
            <w:bottom w:w="0" w:type="dxa"/>
            <w:right w:w="108" w:type="dxa"/>
          </w:tblCellMar>
        </w:tblPrEx>
        <w:trPr>
          <w:trHeight w:val="90" w:hRule="atLeast"/>
          <w:jc w:val="center"/>
        </w:trPr>
        <w:tc>
          <w:tcPr>
            <w:tcW w:w="109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9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69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2.1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3.1 </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28.1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31.2 </w:t>
            </w:r>
          </w:p>
        </w:tc>
      </w:tr>
      <w:tr>
        <w:tblPrEx>
          <w:tblCellMar>
            <w:top w:w="0" w:type="dxa"/>
            <w:left w:w="108" w:type="dxa"/>
            <w:bottom w:w="0" w:type="dxa"/>
            <w:right w:w="108" w:type="dxa"/>
          </w:tblCellMar>
        </w:tblPrEx>
        <w:trPr>
          <w:trHeight w:val="90" w:hRule="atLeast"/>
          <w:jc w:val="center"/>
        </w:trPr>
        <w:tc>
          <w:tcPr>
            <w:tcW w:w="109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9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69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4.9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6.6 </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85.1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91.7 </w:t>
            </w:r>
          </w:p>
        </w:tc>
      </w:tr>
      <w:tr>
        <w:tblPrEx>
          <w:tblCellMar>
            <w:top w:w="0" w:type="dxa"/>
            <w:left w:w="108" w:type="dxa"/>
            <w:bottom w:w="0" w:type="dxa"/>
            <w:right w:w="108" w:type="dxa"/>
          </w:tblCellMar>
        </w:tblPrEx>
        <w:trPr>
          <w:trHeight w:val="90" w:hRule="atLeast"/>
          <w:jc w:val="center"/>
        </w:trPr>
        <w:tc>
          <w:tcPr>
            <w:tcW w:w="109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9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69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11.0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12.1 </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176.8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188.9 </w:t>
            </w:r>
          </w:p>
        </w:tc>
      </w:tr>
      <w:tr>
        <w:tblPrEx>
          <w:tblCellMar>
            <w:top w:w="0" w:type="dxa"/>
            <w:left w:w="108" w:type="dxa"/>
            <w:bottom w:w="0" w:type="dxa"/>
            <w:right w:w="108" w:type="dxa"/>
          </w:tblCellMar>
        </w:tblPrEx>
        <w:trPr>
          <w:trHeight w:val="90" w:hRule="atLeast"/>
          <w:jc w:val="center"/>
        </w:trPr>
        <w:tc>
          <w:tcPr>
            <w:tcW w:w="109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9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699" w:type="dxa"/>
            <w:tcBorders>
              <w:top w:val="nil"/>
              <w:left w:val="nil"/>
              <w:bottom w:val="single" w:color="auto" w:sz="4" w:space="0"/>
              <w:right w:val="nil"/>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09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21.2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25.1 </w:t>
            </w:r>
          </w:p>
        </w:tc>
        <w:tc>
          <w:tcPr>
            <w:tcW w:w="109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316.1 </w:t>
            </w:r>
          </w:p>
        </w:tc>
        <w:tc>
          <w:tcPr>
            <w:tcW w:w="10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341.2 </w:t>
            </w:r>
          </w:p>
        </w:tc>
      </w:tr>
    </w:tbl>
    <w:p/>
    <w:p>
      <w:pPr>
        <w:pStyle w:val="4"/>
        <w:pageBreakBefore w:val="0"/>
        <w:widowControl w:val="0"/>
        <w:kinsoku/>
        <w:wordWrap/>
        <w:overflowPunct/>
        <w:autoSpaceDE/>
        <w:autoSpaceDN/>
        <w:bidi w:val="0"/>
        <w:spacing w:line="590" w:lineRule="exact"/>
        <w:rPr>
          <w:rFonts w:hint="default" w:ascii="Times New Roman" w:hAnsi="Times New Roman" w:eastAsia="方正黑体_GBK" w:cs="Times New Roman"/>
          <w:b w:val="0"/>
          <w:bCs w:val="0"/>
          <w:sz w:val="32"/>
          <w:szCs w:val="36"/>
        </w:rPr>
      </w:pPr>
      <w:bookmarkStart w:id="164" w:name="_Toc25966"/>
      <w:r>
        <w:rPr>
          <w:rFonts w:hint="default" w:ascii="Times New Roman" w:hAnsi="Times New Roman" w:eastAsia="方正黑体_GBK" w:cs="Times New Roman"/>
          <w:b w:val="0"/>
          <w:bCs w:val="0"/>
          <w:sz w:val="32"/>
          <w:szCs w:val="36"/>
        </w:rPr>
        <w:t>第三节  经济社会需水预测</w:t>
      </w:r>
      <w:bookmarkEnd w:id="164"/>
    </w:p>
    <w:p>
      <w:pPr>
        <w:pStyle w:val="5"/>
        <w:pageBreakBefore w:val="0"/>
        <w:widowControl w:val="0"/>
        <w:kinsoku/>
        <w:wordWrap/>
        <w:overflowPunct/>
        <w:autoSpaceDE/>
        <w:autoSpaceDN/>
        <w:bidi w:val="0"/>
        <w:spacing w:line="590" w:lineRule="exact"/>
        <w:ind w:firstLine="562"/>
        <w:rPr>
          <w:rFonts w:hint="default" w:ascii="Times New Roman" w:hAnsi="Times New Roman" w:eastAsia="方正楷体_GBK" w:cs="Times New Roman"/>
          <w:b w:val="0"/>
          <w:bCs/>
          <w:sz w:val="32"/>
          <w:szCs w:val="32"/>
        </w:rPr>
      </w:pPr>
      <w:bookmarkStart w:id="165" w:name="_Toc14538"/>
      <w:bookmarkStart w:id="166" w:name="_Toc312309871"/>
      <w:r>
        <w:rPr>
          <w:rFonts w:hint="default" w:ascii="Times New Roman" w:hAnsi="Times New Roman" w:eastAsia="方正楷体_GBK" w:cs="Times New Roman"/>
          <w:b w:val="0"/>
          <w:bCs/>
          <w:sz w:val="32"/>
          <w:szCs w:val="32"/>
        </w:rPr>
        <w:t>一、现状水平年需水分析</w:t>
      </w:r>
      <w:bookmarkEnd w:id="165"/>
      <w:bookmarkEnd w:id="166"/>
    </w:p>
    <w:p>
      <w:pPr>
        <w:pageBreakBefore w:val="0"/>
        <w:widowControl w:val="0"/>
        <w:kinsoku/>
        <w:wordWrap/>
        <w:overflowPunct/>
        <w:autoSpaceDE/>
        <w:autoSpaceDN/>
        <w:bidi w:val="0"/>
        <w:adjustRightInd w:val="0"/>
        <w:snapToGrid w:val="0"/>
        <w:spacing w:line="590" w:lineRule="exact"/>
        <w:ind w:firstLine="482"/>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（一）生活需水量</w:t>
      </w:r>
    </w:p>
    <w:p>
      <w:pPr>
        <w:pageBreakBefore w:val="0"/>
        <w:widowControl w:val="0"/>
        <w:kinsoku/>
        <w:wordWrap/>
        <w:overflowPunct/>
        <w:autoSpaceDE/>
        <w:autoSpaceDN/>
        <w:bidi w:val="0"/>
        <w:adjustRightInd w:val="0"/>
        <w:snapToGrid w:val="0"/>
        <w:spacing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基准年淮南市生活需水量为1.94亿m³，其中城镇生活需水1.53亿m³，农村生活需水量0.41亿m³。</w:t>
      </w:r>
    </w:p>
    <w:p>
      <w:pPr>
        <w:pageBreakBefore w:val="0"/>
        <w:widowControl w:val="0"/>
        <w:kinsoku/>
        <w:wordWrap/>
        <w:overflowPunct/>
        <w:autoSpaceDE/>
        <w:autoSpaceDN/>
        <w:bidi w:val="0"/>
        <w:adjustRightInd w:val="0"/>
        <w:snapToGrid w:val="0"/>
        <w:spacing w:line="590" w:lineRule="exact"/>
        <w:ind w:firstLine="482"/>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（二）工业需水量</w:t>
      </w:r>
    </w:p>
    <w:p>
      <w:pPr>
        <w:pageBreakBefore w:val="0"/>
        <w:widowControl w:val="0"/>
        <w:kinsoku/>
        <w:wordWrap/>
        <w:overflowPunct/>
        <w:autoSpaceDE/>
        <w:autoSpaceDN/>
        <w:bidi w:val="0"/>
        <w:adjustRightInd w:val="0"/>
        <w:snapToGrid w:val="0"/>
        <w:spacing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基准年淮南市工业用水量为2.81亿m³，其中一般工业用水量为0.67亿m³，火电用水量为1.70亿m³（不含贯流用水），煤炭工业用水0.43亿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w:t>
      </w:r>
    </w:p>
    <w:p>
      <w:pPr>
        <w:pageBreakBefore w:val="0"/>
        <w:widowControl w:val="0"/>
        <w:kinsoku/>
        <w:wordWrap/>
        <w:overflowPunct/>
        <w:autoSpaceDE/>
        <w:autoSpaceDN/>
        <w:bidi w:val="0"/>
        <w:adjustRightInd w:val="0"/>
        <w:snapToGrid w:val="0"/>
        <w:spacing w:line="590" w:lineRule="exact"/>
        <w:ind w:firstLine="482"/>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（三）农业需水量</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6"/>
        </w:rPr>
      </w:pPr>
      <w:r>
        <w:rPr>
          <w:rFonts w:hint="default" w:ascii="Times New Roman" w:hAnsi="Times New Roman" w:eastAsia="方正仿宋_GBK" w:cs="Times New Roman"/>
          <w:sz w:val="32"/>
          <w:szCs w:val="32"/>
        </w:rPr>
        <w:t>基准年淮南市</w:t>
      </w:r>
      <w:r>
        <w:rPr>
          <w:rFonts w:hint="default" w:ascii="Times New Roman" w:hAnsi="Times New Roman" w:eastAsia="方正仿宋_GBK" w:cs="Times New Roman"/>
          <w:sz w:val="32"/>
          <w:szCs w:val="36"/>
        </w:rPr>
        <w:t>多年平均农田灌溉需水量为13.72亿m³，50%、75%和95%年份农业需水量分别为11.23亿m³、16.01亿m³和24.71亿m³，其中河灌区多年平均农田灌溉需水量为13.66亿m³，50%、75%和95%年份农业需水量分别为11.18亿m³、15.95亿m³和24.63亿m³。基准年林牧渔畜需水量为0.54亿m³。</w:t>
      </w:r>
    </w:p>
    <w:p>
      <w:pPr>
        <w:pageBreakBefore w:val="0"/>
        <w:widowControl w:val="0"/>
        <w:kinsoku/>
        <w:wordWrap/>
        <w:overflowPunct/>
        <w:autoSpaceDE/>
        <w:autoSpaceDN/>
        <w:bidi w:val="0"/>
        <w:adjustRightInd w:val="0"/>
        <w:snapToGrid w:val="0"/>
        <w:spacing w:line="590" w:lineRule="exact"/>
        <w:ind w:firstLine="482"/>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（四）生态需水量</w:t>
      </w:r>
    </w:p>
    <w:p>
      <w:pPr>
        <w:pageBreakBefore w:val="0"/>
        <w:widowControl w:val="0"/>
        <w:kinsoku/>
        <w:wordWrap/>
        <w:overflowPunct/>
        <w:autoSpaceDE/>
        <w:autoSpaceDN/>
        <w:bidi w:val="0"/>
        <w:adjustRightInd w:val="0"/>
        <w:snapToGrid w:val="0"/>
        <w:spacing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经调查推算现状2015年淮南市河道外生态环境需水量为0.35亿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w:t>
      </w:r>
    </w:p>
    <w:p>
      <w:pPr>
        <w:adjustRightInd w:val="0"/>
        <w:snapToGrid w:val="0"/>
        <w:ind w:firstLine="482"/>
        <w:jc w:val="center"/>
        <w:rPr>
          <w:rFonts w:hint="eastAsia" w:ascii="方正黑体_GBK" w:hAnsi="方正黑体_GBK" w:eastAsia="方正黑体_GBK" w:cs="方正黑体_GBK"/>
          <w:b/>
          <w:sz w:val="24"/>
        </w:rPr>
      </w:pPr>
      <w:r>
        <w:rPr>
          <w:rFonts w:hint="eastAsia" w:ascii="方正黑体_GBK" w:hAnsi="方正黑体_GBK" w:eastAsia="方正黑体_GBK" w:cs="方正黑体_GBK"/>
          <w:b/>
          <w:sz w:val="24"/>
        </w:rPr>
        <w:t>表4.3-2  淮南市基准年河道外生态需水量  单位：万m³</w:t>
      </w:r>
    </w:p>
    <w:tbl>
      <w:tblPr>
        <w:tblStyle w:val="12"/>
        <w:tblW w:w="0" w:type="auto"/>
        <w:jc w:val="center"/>
        <w:tblLayout w:type="fixed"/>
        <w:tblCellMar>
          <w:top w:w="0" w:type="dxa"/>
          <w:left w:w="108" w:type="dxa"/>
          <w:bottom w:w="0" w:type="dxa"/>
          <w:right w:w="108" w:type="dxa"/>
        </w:tblCellMar>
      </w:tblPr>
      <w:tblGrid>
        <w:gridCol w:w="1472"/>
        <w:gridCol w:w="2809"/>
        <w:gridCol w:w="1474"/>
        <w:gridCol w:w="1473"/>
        <w:gridCol w:w="1472"/>
      </w:tblGrid>
      <w:tr>
        <w:tblPrEx>
          <w:tblCellMar>
            <w:top w:w="0" w:type="dxa"/>
            <w:left w:w="108" w:type="dxa"/>
            <w:bottom w:w="0" w:type="dxa"/>
            <w:right w:w="108" w:type="dxa"/>
          </w:tblCellMar>
        </w:tblPrEx>
        <w:trPr>
          <w:trHeight w:val="301" w:hRule="atLeast"/>
          <w:jc w:val="center"/>
        </w:trPr>
        <w:tc>
          <w:tcPr>
            <w:tcW w:w="4281"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计算分区</w:t>
            </w:r>
          </w:p>
        </w:tc>
        <w:tc>
          <w:tcPr>
            <w:tcW w:w="1474" w:type="dxa"/>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河湖补水</w:t>
            </w:r>
          </w:p>
        </w:tc>
        <w:tc>
          <w:tcPr>
            <w:tcW w:w="1473" w:type="dxa"/>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城市绿化</w:t>
            </w:r>
          </w:p>
        </w:tc>
        <w:tc>
          <w:tcPr>
            <w:tcW w:w="1472" w:type="dxa"/>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合计</w:t>
            </w:r>
          </w:p>
        </w:tc>
      </w:tr>
      <w:tr>
        <w:tblPrEx>
          <w:tblCellMar>
            <w:top w:w="0" w:type="dxa"/>
            <w:left w:w="108" w:type="dxa"/>
            <w:bottom w:w="0" w:type="dxa"/>
            <w:right w:w="108" w:type="dxa"/>
          </w:tblCellMar>
        </w:tblPrEx>
        <w:trPr>
          <w:trHeight w:val="301" w:hRule="atLeast"/>
          <w:jc w:val="center"/>
        </w:trPr>
        <w:tc>
          <w:tcPr>
            <w:tcW w:w="1472"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280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47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54</w:t>
            </w:r>
          </w:p>
        </w:tc>
        <w:tc>
          <w:tcPr>
            <w:tcW w:w="14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942</w:t>
            </w:r>
          </w:p>
        </w:tc>
        <w:tc>
          <w:tcPr>
            <w:tcW w:w="147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996</w:t>
            </w:r>
          </w:p>
        </w:tc>
      </w:tr>
      <w:tr>
        <w:tblPrEx>
          <w:tblCellMar>
            <w:top w:w="0" w:type="dxa"/>
            <w:left w:w="108" w:type="dxa"/>
            <w:bottom w:w="0" w:type="dxa"/>
            <w:right w:w="108" w:type="dxa"/>
          </w:tblCellMar>
        </w:tblPrEx>
        <w:trPr>
          <w:trHeight w:val="301" w:hRule="atLeast"/>
          <w:jc w:val="center"/>
        </w:trPr>
        <w:tc>
          <w:tcPr>
            <w:tcW w:w="147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280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47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222</w:t>
            </w:r>
          </w:p>
        </w:tc>
        <w:tc>
          <w:tcPr>
            <w:tcW w:w="14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2299</w:t>
            </w:r>
          </w:p>
        </w:tc>
        <w:tc>
          <w:tcPr>
            <w:tcW w:w="147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2521</w:t>
            </w:r>
          </w:p>
        </w:tc>
      </w:tr>
      <w:tr>
        <w:tblPrEx>
          <w:tblCellMar>
            <w:top w:w="0" w:type="dxa"/>
            <w:left w:w="108" w:type="dxa"/>
            <w:bottom w:w="0" w:type="dxa"/>
            <w:right w:w="108" w:type="dxa"/>
          </w:tblCellMar>
        </w:tblPrEx>
        <w:trPr>
          <w:trHeight w:val="301" w:hRule="atLeast"/>
          <w:jc w:val="center"/>
        </w:trPr>
        <w:tc>
          <w:tcPr>
            <w:tcW w:w="147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280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合计</w:t>
            </w:r>
          </w:p>
        </w:tc>
        <w:tc>
          <w:tcPr>
            <w:tcW w:w="1474"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276</w:t>
            </w:r>
          </w:p>
        </w:tc>
        <w:tc>
          <w:tcPr>
            <w:tcW w:w="1473"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3241</w:t>
            </w:r>
          </w:p>
        </w:tc>
        <w:tc>
          <w:tcPr>
            <w:tcW w:w="1472"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3517</w:t>
            </w:r>
          </w:p>
        </w:tc>
      </w:tr>
      <w:tr>
        <w:tblPrEx>
          <w:tblCellMar>
            <w:top w:w="0" w:type="dxa"/>
            <w:left w:w="108" w:type="dxa"/>
            <w:bottom w:w="0" w:type="dxa"/>
            <w:right w:w="108" w:type="dxa"/>
          </w:tblCellMar>
        </w:tblPrEx>
        <w:trPr>
          <w:trHeight w:val="301" w:hRule="atLeast"/>
          <w:jc w:val="center"/>
        </w:trPr>
        <w:tc>
          <w:tcPr>
            <w:tcW w:w="1472"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280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47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143</w:t>
            </w:r>
          </w:p>
        </w:tc>
        <w:tc>
          <w:tcPr>
            <w:tcW w:w="14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1982</w:t>
            </w:r>
          </w:p>
        </w:tc>
        <w:tc>
          <w:tcPr>
            <w:tcW w:w="147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2125</w:t>
            </w:r>
          </w:p>
        </w:tc>
      </w:tr>
      <w:tr>
        <w:tblPrEx>
          <w:tblCellMar>
            <w:top w:w="0" w:type="dxa"/>
            <w:left w:w="108" w:type="dxa"/>
            <w:bottom w:w="0" w:type="dxa"/>
            <w:right w:w="108" w:type="dxa"/>
          </w:tblCellMar>
        </w:tblPrEx>
        <w:trPr>
          <w:trHeight w:val="301" w:hRule="atLeast"/>
          <w:jc w:val="center"/>
        </w:trPr>
        <w:tc>
          <w:tcPr>
            <w:tcW w:w="147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280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47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24</w:t>
            </w:r>
          </w:p>
        </w:tc>
        <w:tc>
          <w:tcPr>
            <w:tcW w:w="14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511</w:t>
            </w:r>
          </w:p>
        </w:tc>
        <w:tc>
          <w:tcPr>
            <w:tcW w:w="147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535</w:t>
            </w:r>
          </w:p>
        </w:tc>
      </w:tr>
      <w:tr>
        <w:tblPrEx>
          <w:tblCellMar>
            <w:top w:w="0" w:type="dxa"/>
            <w:left w:w="108" w:type="dxa"/>
            <w:bottom w:w="0" w:type="dxa"/>
            <w:right w:w="108" w:type="dxa"/>
          </w:tblCellMar>
        </w:tblPrEx>
        <w:trPr>
          <w:trHeight w:val="301" w:hRule="atLeast"/>
          <w:jc w:val="center"/>
        </w:trPr>
        <w:tc>
          <w:tcPr>
            <w:tcW w:w="147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280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47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30 </w:t>
            </w:r>
          </w:p>
        </w:tc>
        <w:tc>
          <w:tcPr>
            <w:tcW w:w="14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431 </w:t>
            </w:r>
          </w:p>
        </w:tc>
        <w:tc>
          <w:tcPr>
            <w:tcW w:w="147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461 </w:t>
            </w:r>
          </w:p>
        </w:tc>
      </w:tr>
      <w:tr>
        <w:tblPrEx>
          <w:tblCellMar>
            <w:top w:w="0" w:type="dxa"/>
            <w:left w:w="108" w:type="dxa"/>
            <w:bottom w:w="0" w:type="dxa"/>
            <w:right w:w="108" w:type="dxa"/>
          </w:tblCellMar>
        </w:tblPrEx>
        <w:trPr>
          <w:trHeight w:val="301" w:hRule="atLeast"/>
          <w:jc w:val="center"/>
        </w:trPr>
        <w:tc>
          <w:tcPr>
            <w:tcW w:w="147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280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47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79 </w:t>
            </w:r>
          </w:p>
        </w:tc>
        <w:tc>
          <w:tcPr>
            <w:tcW w:w="14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317 </w:t>
            </w:r>
          </w:p>
        </w:tc>
        <w:tc>
          <w:tcPr>
            <w:tcW w:w="147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396 </w:t>
            </w:r>
          </w:p>
        </w:tc>
      </w:tr>
      <w:tr>
        <w:tblPrEx>
          <w:tblCellMar>
            <w:top w:w="0" w:type="dxa"/>
            <w:left w:w="108" w:type="dxa"/>
            <w:bottom w:w="0" w:type="dxa"/>
            <w:right w:w="108" w:type="dxa"/>
          </w:tblCellMar>
        </w:tblPrEx>
        <w:trPr>
          <w:trHeight w:val="320" w:hRule="atLeast"/>
          <w:jc w:val="center"/>
        </w:trPr>
        <w:tc>
          <w:tcPr>
            <w:tcW w:w="147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280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  计</w:t>
            </w:r>
          </w:p>
        </w:tc>
        <w:tc>
          <w:tcPr>
            <w:tcW w:w="1474"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276 </w:t>
            </w:r>
          </w:p>
        </w:tc>
        <w:tc>
          <w:tcPr>
            <w:tcW w:w="1473"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3241 </w:t>
            </w:r>
          </w:p>
        </w:tc>
        <w:tc>
          <w:tcPr>
            <w:tcW w:w="1472"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3517 </w:t>
            </w:r>
          </w:p>
        </w:tc>
      </w:tr>
    </w:tbl>
    <w:p>
      <w:pPr>
        <w:keepNext w:val="0"/>
        <w:keepLines w:val="0"/>
        <w:pageBreakBefore w:val="0"/>
        <w:widowControl w:val="0"/>
        <w:kinsoku/>
        <w:wordWrap/>
        <w:overflowPunct/>
        <w:topLinePunct w:val="0"/>
        <w:autoSpaceDE/>
        <w:autoSpaceDN/>
        <w:bidi w:val="0"/>
        <w:adjustRightInd w:val="0"/>
        <w:snapToGrid w:val="0"/>
        <w:spacing w:line="590" w:lineRule="exact"/>
        <w:ind w:firstLine="482"/>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（五）总需水量</w:t>
      </w:r>
    </w:p>
    <w:p>
      <w:pPr>
        <w:pStyle w:val="2"/>
        <w:rPr>
          <w:rFonts w:hint="default" w:ascii="Times New Roman" w:hAnsi="Times New Roman" w:eastAsia="方正仿宋_GBK" w:cs="Times New Roman"/>
          <w:sz w:val="32"/>
          <w:szCs w:val="32"/>
          <w:lang w:val="zh-CN"/>
        </w:rPr>
      </w:pPr>
      <w:r>
        <w:rPr>
          <w:rFonts w:hint="default" w:ascii="Times New Roman" w:hAnsi="Times New Roman" w:eastAsia="方正仿宋_GBK" w:cs="Times New Roman"/>
          <w:sz w:val="32"/>
          <w:szCs w:val="32"/>
        </w:rPr>
        <w:t>根据上述各项统计分析成果，淮南市基准年多年平均、50%、75%、95%保证率需水总量分别为19.36亿m³、16.87亿m³、21.65亿m³和30.34亿m³。基准年各分区需水量分别见表4.3-3。</w:t>
      </w:r>
    </w:p>
    <w:p>
      <w:pPr>
        <w:pStyle w:val="2"/>
        <w:jc w:val="center"/>
        <w:rPr>
          <w:rFonts w:hint="default"/>
          <w:b/>
          <w:bCs/>
          <w:sz w:val="24"/>
          <w:lang w:val="en-US" w:eastAsia="zh-CN"/>
        </w:rPr>
        <w:sectPr>
          <w:headerReference r:id="rId10" w:type="default"/>
          <w:footerReference r:id="rId11" w:type="default"/>
          <w:pgSz w:w="11906" w:h="16838"/>
          <w:pgMar w:top="1962" w:right="1474" w:bottom="1848" w:left="1587" w:header="851" w:footer="992" w:gutter="0"/>
          <w:pgNumType w:fmt="numberInDash"/>
          <w:cols w:space="0" w:num="1"/>
          <w:rtlGutter w:val="0"/>
          <w:docGrid w:type="lines" w:linePitch="312" w:charSpace="0"/>
        </w:sectPr>
      </w:pPr>
    </w:p>
    <w:p>
      <w:pPr>
        <w:spacing w:line="360" w:lineRule="auto"/>
        <w:jc w:val="center"/>
        <w:rPr>
          <w:b/>
          <w:bCs/>
          <w:sz w:val="24"/>
        </w:rPr>
      </w:pPr>
      <w:r>
        <w:rPr>
          <w:b/>
          <w:bCs/>
          <w:sz w:val="24"/>
        </w:rPr>
        <w:t>表4.3-3    现状水平年（基准年）淮南市需水量  单位：亿m³</w:t>
      </w:r>
    </w:p>
    <w:tbl>
      <w:tblPr>
        <w:tblStyle w:val="12"/>
        <w:tblW w:w="0" w:type="auto"/>
        <w:jc w:val="center"/>
        <w:tblLayout w:type="fixed"/>
        <w:tblCellMar>
          <w:top w:w="0" w:type="dxa"/>
          <w:left w:w="108" w:type="dxa"/>
          <w:bottom w:w="0" w:type="dxa"/>
          <w:right w:w="108" w:type="dxa"/>
        </w:tblCellMar>
      </w:tblPr>
      <w:tblGrid>
        <w:gridCol w:w="1151"/>
        <w:gridCol w:w="1151"/>
        <w:gridCol w:w="721"/>
        <w:gridCol w:w="771"/>
        <w:gridCol w:w="837"/>
        <w:gridCol w:w="868"/>
        <w:gridCol w:w="734"/>
        <w:gridCol w:w="675"/>
        <w:gridCol w:w="846"/>
        <w:gridCol w:w="863"/>
        <w:gridCol w:w="792"/>
        <w:gridCol w:w="774"/>
        <w:gridCol w:w="884"/>
        <w:gridCol w:w="722"/>
        <w:gridCol w:w="694"/>
        <w:gridCol w:w="756"/>
        <w:gridCol w:w="814"/>
        <w:gridCol w:w="818"/>
        <w:gridCol w:w="852"/>
      </w:tblGrid>
      <w:tr>
        <w:tblPrEx>
          <w:tblCellMar>
            <w:top w:w="0" w:type="dxa"/>
            <w:left w:w="108" w:type="dxa"/>
            <w:bottom w:w="0" w:type="dxa"/>
            <w:right w:w="108" w:type="dxa"/>
          </w:tblCellMar>
        </w:tblPrEx>
        <w:trPr>
          <w:trHeight w:val="529" w:hRule="atLeast"/>
          <w:jc w:val="center"/>
        </w:trPr>
        <w:tc>
          <w:tcPr>
            <w:tcW w:w="2302"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计算分区</w:t>
            </w:r>
          </w:p>
        </w:tc>
        <w:tc>
          <w:tcPr>
            <w:tcW w:w="2329" w:type="dxa"/>
            <w:gridSpan w:val="3"/>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生活需水</w:t>
            </w:r>
          </w:p>
        </w:tc>
        <w:tc>
          <w:tcPr>
            <w:tcW w:w="3123" w:type="dxa"/>
            <w:gridSpan w:val="4"/>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工业</w:t>
            </w:r>
          </w:p>
        </w:tc>
        <w:tc>
          <w:tcPr>
            <w:tcW w:w="4035" w:type="dxa"/>
            <w:gridSpan w:val="5"/>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农业</w:t>
            </w:r>
          </w:p>
        </w:tc>
        <w:tc>
          <w:tcPr>
            <w:tcW w:w="694"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河道外生态</w:t>
            </w:r>
          </w:p>
        </w:tc>
        <w:tc>
          <w:tcPr>
            <w:tcW w:w="3240" w:type="dxa"/>
            <w:gridSpan w:val="4"/>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需水量合计</w:t>
            </w:r>
          </w:p>
        </w:tc>
      </w:tr>
      <w:tr>
        <w:tblPrEx>
          <w:tblCellMar>
            <w:top w:w="0" w:type="dxa"/>
            <w:left w:w="108" w:type="dxa"/>
            <w:bottom w:w="0" w:type="dxa"/>
            <w:right w:w="108" w:type="dxa"/>
          </w:tblCellMar>
        </w:tblPrEx>
        <w:trPr>
          <w:trHeight w:val="529" w:hRule="atLeast"/>
          <w:jc w:val="center"/>
        </w:trPr>
        <w:tc>
          <w:tcPr>
            <w:tcW w:w="2302"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kern w:val="0"/>
                <w:sz w:val="24"/>
              </w:rPr>
            </w:pPr>
          </w:p>
        </w:tc>
        <w:tc>
          <w:tcPr>
            <w:tcW w:w="721"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城镇</w:t>
            </w:r>
          </w:p>
        </w:tc>
        <w:tc>
          <w:tcPr>
            <w:tcW w:w="771"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农村</w:t>
            </w:r>
          </w:p>
        </w:tc>
        <w:tc>
          <w:tcPr>
            <w:tcW w:w="837"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小计</w:t>
            </w:r>
          </w:p>
        </w:tc>
        <w:tc>
          <w:tcPr>
            <w:tcW w:w="868"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火电</w:t>
            </w:r>
          </w:p>
        </w:tc>
        <w:tc>
          <w:tcPr>
            <w:tcW w:w="734"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煤炭</w:t>
            </w:r>
          </w:p>
        </w:tc>
        <w:tc>
          <w:tcPr>
            <w:tcW w:w="675"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一般工业</w:t>
            </w:r>
          </w:p>
        </w:tc>
        <w:tc>
          <w:tcPr>
            <w:tcW w:w="846"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小计</w:t>
            </w:r>
          </w:p>
        </w:tc>
        <w:tc>
          <w:tcPr>
            <w:tcW w:w="3313" w:type="dxa"/>
            <w:gridSpan w:val="4"/>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农田灌溉</w:t>
            </w:r>
          </w:p>
        </w:tc>
        <w:tc>
          <w:tcPr>
            <w:tcW w:w="722"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林牧鱼畜</w:t>
            </w:r>
          </w:p>
        </w:tc>
        <w:tc>
          <w:tcPr>
            <w:tcW w:w="69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kern w:val="0"/>
                <w:sz w:val="24"/>
              </w:rPr>
            </w:pPr>
          </w:p>
        </w:tc>
        <w:tc>
          <w:tcPr>
            <w:tcW w:w="3240" w:type="dxa"/>
            <w:gridSpan w:val="4"/>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kern w:val="0"/>
                <w:sz w:val="24"/>
              </w:rPr>
            </w:pPr>
          </w:p>
        </w:tc>
      </w:tr>
      <w:tr>
        <w:tblPrEx>
          <w:tblCellMar>
            <w:top w:w="0" w:type="dxa"/>
            <w:left w:w="108" w:type="dxa"/>
            <w:bottom w:w="0" w:type="dxa"/>
            <w:right w:w="108" w:type="dxa"/>
          </w:tblCellMar>
        </w:tblPrEx>
        <w:trPr>
          <w:trHeight w:val="884" w:hRule="atLeast"/>
          <w:jc w:val="center"/>
        </w:trPr>
        <w:tc>
          <w:tcPr>
            <w:tcW w:w="2302"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kern w:val="0"/>
                <w:sz w:val="24"/>
              </w:rPr>
            </w:pPr>
          </w:p>
        </w:tc>
        <w:tc>
          <w:tcPr>
            <w:tcW w:w="72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kern w:val="0"/>
                <w:sz w:val="24"/>
              </w:rPr>
            </w:pPr>
          </w:p>
        </w:tc>
        <w:tc>
          <w:tcPr>
            <w:tcW w:w="77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kern w:val="0"/>
                <w:sz w:val="24"/>
              </w:rPr>
            </w:pPr>
          </w:p>
        </w:tc>
        <w:tc>
          <w:tcPr>
            <w:tcW w:w="837"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kern w:val="0"/>
                <w:sz w:val="24"/>
              </w:rPr>
            </w:pPr>
          </w:p>
        </w:tc>
        <w:tc>
          <w:tcPr>
            <w:tcW w:w="868"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kern w:val="0"/>
                <w:sz w:val="24"/>
              </w:rPr>
            </w:pPr>
          </w:p>
        </w:tc>
        <w:tc>
          <w:tcPr>
            <w:tcW w:w="734"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kern w:val="0"/>
                <w:sz w:val="24"/>
              </w:rPr>
            </w:pPr>
          </w:p>
        </w:tc>
        <w:tc>
          <w:tcPr>
            <w:tcW w:w="675"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kern w:val="0"/>
                <w:sz w:val="24"/>
              </w:rPr>
            </w:pPr>
          </w:p>
        </w:tc>
        <w:tc>
          <w:tcPr>
            <w:tcW w:w="846"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kern w:val="0"/>
                <w:sz w:val="24"/>
              </w:rPr>
            </w:pPr>
          </w:p>
        </w:tc>
        <w:tc>
          <w:tcPr>
            <w:tcW w:w="863" w:type="dxa"/>
            <w:tcBorders>
              <w:top w:val="nil"/>
              <w:left w:val="nil"/>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多年平均</w:t>
            </w:r>
          </w:p>
        </w:tc>
        <w:tc>
          <w:tcPr>
            <w:tcW w:w="792" w:type="dxa"/>
            <w:tcBorders>
              <w:top w:val="nil"/>
              <w:left w:val="nil"/>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50%</w:t>
            </w:r>
          </w:p>
        </w:tc>
        <w:tc>
          <w:tcPr>
            <w:tcW w:w="774" w:type="dxa"/>
            <w:tcBorders>
              <w:top w:val="nil"/>
              <w:left w:val="nil"/>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75%</w:t>
            </w:r>
          </w:p>
        </w:tc>
        <w:tc>
          <w:tcPr>
            <w:tcW w:w="884" w:type="dxa"/>
            <w:tcBorders>
              <w:top w:val="nil"/>
              <w:left w:val="nil"/>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95%</w:t>
            </w:r>
          </w:p>
        </w:tc>
        <w:tc>
          <w:tcPr>
            <w:tcW w:w="72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kern w:val="0"/>
                <w:sz w:val="24"/>
              </w:rPr>
            </w:pPr>
          </w:p>
        </w:tc>
        <w:tc>
          <w:tcPr>
            <w:tcW w:w="69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kern w:val="0"/>
                <w:sz w:val="24"/>
              </w:rPr>
            </w:pPr>
          </w:p>
        </w:tc>
        <w:tc>
          <w:tcPr>
            <w:tcW w:w="756" w:type="dxa"/>
            <w:tcBorders>
              <w:top w:val="nil"/>
              <w:left w:val="nil"/>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多年平均</w:t>
            </w:r>
          </w:p>
        </w:tc>
        <w:tc>
          <w:tcPr>
            <w:tcW w:w="814" w:type="dxa"/>
            <w:tcBorders>
              <w:top w:val="nil"/>
              <w:left w:val="nil"/>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50%</w:t>
            </w:r>
          </w:p>
        </w:tc>
        <w:tc>
          <w:tcPr>
            <w:tcW w:w="818" w:type="dxa"/>
            <w:tcBorders>
              <w:top w:val="nil"/>
              <w:left w:val="nil"/>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75%</w:t>
            </w:r>
          </w:p>
        </w:tc>
        <w:tc>
          <w:tcPr>
            <w:tcW w:w="852" w:type="dxa"/>
            <w:tcBorders>
              <w:top w:val="nil"/>
              <w:left w:val="nil"/>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95%</w:t>
            </w:r>
          </w:p>
        </w:tc>
      </w:tr>
      <w:tr>
        <w:tblPrEx>
          <w:tblCellMar>
            <w:top w:w="0" w:type="dxa"/>
            <w:left w:w="108" w:type="dxa"/>
            <w:bottom w:w="0" w:type="dxa"/>
            <w:right w:w="108" w:type="dxa"/>
          </w:tblCellMar>
        </w:tblPrEx>
        <w:trPr>
          <w:trHeight w:val="883" w:hRule="atLeast"/>
          <w:jc w:val="center"/>
        </w:trPr>
        <w:tc>
          <w:tcPr>
            <w:tcW w:w="1151"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jc w:val="center"/>
              <w:rPr>
                <w:kern w:val="0"/>
                <w:sz w:val="24"/>
              </w:rPr>
            </w:pPr>
            <w:r>
              <w:rPr>
                <w:kern w:val="0"/>
                <w:sz w:val="24"/>
              </w:rPr>
              <w:t>水资源分区</w:t>
            </w:r>
          </w:p>
        </w:tc>
        <w:tc>
          <w:tcPr>
            <w:tcW w:w="1151" w:type="dxa"/>
            <w:tcBorders>
              <w:top w:val="nil"/>
              <w:left w:val="nil"/>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王蚌区间北岸</w:t>
            </w:r>
          </w:p>
        </w:tc>
        <w:tc>
          <w:tcPr>
            <w:tcW w:w="721"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0.31</w:t>
            </w:r>
          </w:p>
        </w:tc>
        <w:tc>
          <w:tcPr>
            <w:tcW w:w="771"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0.18</w:t>
            </w:r>
          </w:p>
        </w:tc>
        <w:tc>
          <w:tcPr>
            <w:tcW w:w="837"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0.49</w:t>
            </w:r>
          </w:p>
        </w:tc>
        <w:tc>
          <w:tcPr>
            <w:tcW w:w="868"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1.26</w:t>
            </w:r>
          </w:p>
        </w:tc>
        <w:tc>
          <w:tcPr>
            <w:tcW w:w="73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0.28</w:t>
            </w:r>
          </w:p>
        </w:tc>
        <w:tc>
          <w:tcPr>
            <w:tcW w:w="675"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0.21</w:t>
            </w:r>
          </w:p>
        </w:tc>
        <w:tc>
          <w:tcPr>
            <w:tcW w:w="846"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1.76</w:t>
            </w:r>
          </w:p>
        </w:tc>
        <w:tc>
          <w:tcPr>
            <w:tcW w:w="863"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5.51</w:t>
            </w:r>
          </w:p>
        </w:tc>
        <w:tc>
          <w:tcPr>
            <w:tcW w:w="792"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4.51</w:t>
            </w:r>
          </w:p>
        </w:tc>
        <w:tc>
          <w:tcPr>
            <w:tcW w:w="77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6.43</w:t>
            </w:r>
          </w:p>
        </w:tc>
        <w:tc>
          <w:tcPr>
            <w:tcW w:w="88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9.91</w:t>
            </w:r>
          </w:p>
        </w:tc>
        <w:tc>
          <w:tcPr>
            <w:tcW w:w="722"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0.17</w:t>
            </w:r>
          </w:p>
        </w:tc>
        <w:tc>
          <w:tcPr>
            <w:tcW w:w="69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0.10</w:t>
            </w:r>
          </w:p>
        </w:tc>
        <w:tc>
          <w:tcPr>
            <w:tcW w:w="756"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8.03</w:t>
            </w:r>
          </w:p>
        </w:tc>
        <w:tc>
          <w:tcPr>
            <w:tcW w:w="81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7.03</w:t>
            </w:r>
          </w:p>
        </w:tc>
        <w:tc>
          <w:tcPr>
            <w:tcW w:w="818"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8.94</w:t>
            </w:r>
          </w:p>
        </w:tc>
        <w:tc>
          <w:tcPr>
            <w:tcW w:w="852"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12.43</w:t>
            </w:r>
          </w:p>
        </w:tc>
      </w:tr>
      <w:tr>
        <w:tblPrEx>
          <w:tblCellMar>
            <w:top w:w="0" w:type="dxa"/>
            <w:left w:w="108" w:type="dxa"/>
            <w:bottom w:w="0" w:type="dxa"/>
            <w:right w:w="108" w:type="dxa"/>
          </w:tblCellMar>
        </w:tblPrEx>
        <w:trPr>
          <w:trHeight w:val="883" w:hRule="atLeast"/>
          <w:jc w:val="center"/>
        </w:trPr>
        <w:tc>
          <w:tcPr>
            <w:tcW w:w="1151"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kern w:val="0"/>
                <w:sz w:val="24"/>
              </w:rPr>
            </w:pPr>
          </w:p>
        </w:tc>
        <w:tc>
          <w:tcPr>
            <w:tcW w:w="1151" w:type="dxa"/>
            <w:tcBorders>
              <w:top w:val="nil"/>
              <w:left w:val="nil"/>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王蚌区间南岸</w:t>
            </w:r>
          </w:p>
        </w:tc>
        <w:tc>
          <w:tcPr>
            <w:tcW w:w="721"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1.22</w:t>
            </w:r>
          </w:p>
        </w:tc>
        <w:tc>
          <w:tcPr>
            <w:tcW w:w="771"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0.23</w:t>
            </w:r>
          </w:p>
        </w:tc>
        <w:tc>
          <w:tcPr>
            <w:tcW w:w="837"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1.45</w:t>
            </w:r>
          </w:p>
        </w:tc>
        <w:tc>
          <w:tcPr>
            <w:tcW w:w="868"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0.44</w:t>
            </w:r>
          </w:p>
        </w:tc>
        <w:tc>
          <w:tcPr>
            <w:tcW w:w="73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0.15</w:t>
            </w:r>
          </w:p>
        </w:tc>
        <w:tc>
          <w:tcPr>
            <w:tcW w:w="675"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0.46</w:t>
            </w:r>
          </w:p>
        </w:tc>
        <w:tc>
          <w:tcPr>
            <w:tcW w:w="846"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1.05</w:t>
            </w:r>
          </w:p>
        </w:tc>
        <w:tc>
          <w:tcPr>
            <w:tcW w:w="863"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8.22</w:t>
            </w:r>
          </w:p>
        </w:tc>
        <w:tc>
          <w:tcPr>
            <w:tcW w:w="792"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6.72</w:t>
            </w:r>
          </w:p>
        </w:tc>
        <w:tc>
          <w:tcPr>
            <w:tcW w:w="77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9.59</w:t>
            </w:r>
          </w:p>
        </w:tc>
        <w:tc>
          <w:tcPr>
            <w:tcW w:w="88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14.80</w:t>
            </w:r>
          </w:p>
        </w:tc>
        <w:tc>
          <w:tcPr>
            <w:tcW w:w="722"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0.36</w:t>
            </w:r>
          </w:p>
        </w:tc>
        <w:tc>
          <w:tcPr>
            <w:tcW w:w="69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0.25</w:t>
            </w:r>
          </w:p>
        </w:tc>
        <w:tc>
          <w:tcPr>
            <w:tcW w:w="756"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11.33</w:t>
            </w:r>
          </w:p>
        </w:tc>
        <w:tc>
          <w:tcPr>
            <w:tcW w:w="81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9.84</w:t>
            </w:r>
          </w:p>
        </w:tc>
        <w:tc>
          <w:tcPr>
            <w:tcW w:w="818"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12.70</w:t>
            </w:r>
          </w:p>
        </w:tc>
        <w:tc>
          <w:tcPr>
            <w:tcW w:w="852"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17.91</w:t>
            </w:r>
          </w:p>
        </w:tc>
      </w:tr>
      <w:tr>
        <w:tblPrEx>
          <w:tblCellMar>
            <w:top w:w="0" w:type="dxa"/>
            <w:left w:w="108" w:type="dxa"/>
            <w:bottom w:w="0" w:type="dxa"/>
            <w:right w:w="108" w:type="dxa"/>
          </w:tblCellMar>
        </w:tblPrEx>
        <w:trPr>
          <w:trHeight w:val="710" w:hRule="atLeast"/>
          <w:jc w:val="center"/>
        </w:trPr>
        <w:tc>
          <w:tcPr>
            <w:tcW w:w="1151"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jc w:val="left"/>
              <w:rPr>
                <w:kern w:val="0"/>
                <w:sz w:val="24"/>
              </w:rPr>
            </w:pPr>
          </w:p>
        </w:tc>
        <w:tc>
          <w:tcPr>
            <w:tcW w:w="1151" w:type="dxa"/>
            <w:tcBorders>
              <w:top w:val="nil"/>
              <w:left w:val="nil"/>
              <w:bottom w:val="single" w:color="auto" w:sz="4" w:space="0"/>
              <w:right w:val="single" w:color="auto" w:sz="4" w:space="0"/>
            </w:tcBorders>
            <w:noWrap w:val="0"/>
            <w:vAlign w:val="center"/>
          </w:tcPr>
          <w:p>
            <w:pPr>
              <w:widowControl/>
              <w:adjustRightInd w:val="0"/>
              <w:snapToGrid w:val="0"/>
              <w:jc w:val="center"/>
              <w:rPr>
                <w:b/>
                <w:bCs/>
                <w:kern w:val="0"/>
                <w:sz w:val="24"/>
              </w:rPr>
            </w:pPr>
            <w:r>
              <w:rPr>
                <w:b/>
                <w:bCs/>
                <w:kern w:val="0"/>
                <w:sz w:val="24"/>
              </w:rPr>
              <w:t>合计</w:t>
            </w:r>
          </w:p>
        </w:tc>
        <w:tc>
          <w:tcPr>
            <w:tcW w:w="721"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 xml:space="preserve">1.53 </w:t>
            </w:r>
          </w:p>
        </w:tc>
        <w:tc>
          <w:tcPr>
            <w:tcW w:w="771"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 xml:space="preserve">0.41 </w:t>
            </w:r>
          </w:p>
        </w:tc>
        <w:tc>
          <w:tcPr>
            <w:tcW w:w="837"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 xml:space="preserve">1.94 </w:t>
            </w:r>
          </w:p>
        </w:tc>
        <w:tc>
          <w:tcPr>
            <w:tcW w:w="868"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 xml:space="preserve">1.70 </w:t>
            </w:r>
          </w:p>
        </w:tc>
        <w:tc>
          <w:tcPr>
            <w:tcW w:w="734"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 xml:space="preserve">0.43 </w:t>
            </w:r>
          </w:p>
        </w:tc>
        <w:tc>
          <w:tcPr>
            <w:tcW w:w="675"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 xml:space="preserve">0.67 </w:t>
            </w:r>
          </w:p>
        </w:tc>
        <w:tc>
          <w:tcPr>
            <w:tcW w:w="846"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 xml:space="preserve">2.81 </w:t>
            </w:r>
          </w:p>
        </w:tc>
        <w:tc>
          <w:tcPr>
            <w:tcW w:w="863"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 xml:space="preserve">13.72 </w:t>
            </w:r>
          </w:p>
        </w:tc>
        <w:tc>
          <w:tcPr>
            <w:tcW w:w="792"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 xml:space="preserve">11.23 </w:t>
            </w:r>
          </w:p>
        </w:tc>
        <w:tc>
          <w:tcPr>
            <w:tcW w:w="774"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 xml:space="preserve">16.01 </w:t>
            </w:r>
          </w:p>
        </w:tc>
        <w:tc>
          <w:tcPr>
            <w:tcW w:w="884"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 xml:space="preserve">24.71 </w:t>
            </w:r>
          </w:p>
        </w:tc>
        <w:tc>
          <w:tcPr>
            <w:tcW w:w="722"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 xml:space="preserve">0.54 </w:t>
            </w:r>
          </w:p>
        </w:tc>
        <w:tc>
          <w:tcPr>
            <w:tcW w:w="694"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 xml:space="preserve">0.35 </w:t>
            </w:r>
          </w:p>
        </w:tc>
        <w:tc>
          <w:tcPr>
            <w:tcW w:w="756"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 xml:space="preserve">19.36 </w:t>
            </w:r>
          </w:p>
        </w:tc>
        <w:tc>
          <w:tcPr>
            <w:tcW w:w="814"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 xml:space="preserve">16.87 </w:t>
            </w:r>
          </w:p>
        </w:tc>
        <w:tc>
          <w:tcPr>
            <w:tcW w:w="818"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 xml:space="preserve">21.65 </w:t>
            </w:r>
          </w:p>
        </w:tc>
        <w:tc>
          <w:tcPr>
            <w:tcW w:w="852"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 xml:space="preserve">30.34 </w:t>
            </w:r>
          </w:p>
        </w:tc>
      </w:tr>
      <w:tr>
        <w:tblPrEx>
          <w:tblCellMar>
            <w:top w:w="0" w:type="dxa"/>
            <w:left w:w="108" w:type="dxa"/>
            <w:bottom w:w="0" w:type="dxa"/>
            <w:right w:w="108" w:type="dxa"/>
          </w:tblCellMar>
        </w:tblPrEx>
        <w:trPr>
          <w:trHeight w:val="800" w:hRule="atLeast"/>
          <w:jc w:val="center"/>
        </w:trPr>
        <w:tc>
          <w:tcPr>
            <w:tcW w:w="1151"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行政分区</w:t>
            </w:r>
          </w:p>
        </w:tc>
        <w:tc>
          <w:tcPr>
            <w:tcW w:w="1151" w:type="dxa"/>
            <w:tcBorders>
              <w:top w:val="nil"/>
              <w:left w:val="nil"/>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淮南市市区</w:t>
            </w:r>
          </w:p>
        </w:tc>
        <w:tc>
          <w:tcPr>
            <w:tcW w:w="721"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0.92</w:t>
            </w:r>
          </w:p>
        </w:tc>
        <w:tc>
          <w:tcPr>
            <w:tcW w:w="771"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0.05</w:t>
            </w:r>
          </w:p>
        </w:tc>
        <w:tc>
          <w:tcPr>
            <w:tcW w:w="837"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0.97</w:t>
            </w:r>
          </w:p>
        </w:tc>
        <w:tc>
          <w:tcPr>
            <w:tcW w:w="868"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0.44</w:t>
            </w:r>
          </w:p>
        </w:tc>
        <w:tc>
          <w:tcPr>
            <w:tcW w:w="73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0.15</w:t>
            </w:r>
          </w:p>
        </w:tc>
        <w:tc>
          <w:tcPr>
            <w:tcW w:w="675"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0.28</w:t>
            </w:r>
          </w:p>
        </w:tc>
        <w:tc>
          <w:tcPr>
            <w:tcW w:w="846"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0.86</w:t>
            </w:r>
          </w:p>
        </w:tc>
        <w:tc>
          <w:tcPr>
            <w:tcW w:w="863"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1.96</w:t>
            </w:r>
          </w:p>
        </w:tc>
        <w:tc>
          <w:tcPr>
            <w:tcW w:w="792"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1.60</w:t>
            </w:r>
          </w:p>
        </w:tc>
        <w:tc>
          <w:tcPr>
            <w:tcW w:w="77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2.29</w:t>
            </w:r>
          </w:p>
        </w:tc>
        <w:tc>
          <w:tcPr>
            <w:tcW w:w="88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3.52</w:t>
            </w:r>
          </w:p>
        </w:tc>
        <w:tc>
          <w:tcPr>
            <w:tcW w:w="722"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0.10</w:t>
            </w:r>
          </w:p>
        </w:tc>
        <w:tc>
          <w:tcPr>
            <w:tcW w:w="69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0.21</w:t>
            </w:r>
          </w:p>
        </w:tc>
        <w:tc>
          <w:tcPr>
            <w:tcW w:w="756"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4.09</w:t>
            </w:r>
          </w:p>
        </w:tc>
        <w:tc>
          <w:tcPr>
            <w:tcW w:w="81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3.74</w:t>
            </w:r>
          </w:p>
        </w:tc>
        <w:tc>
          <w:tcPr>
            <w:tcW w:w="818"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4.42</w:t>
            </w:r>
          </w:p>
        </w:tc>
        <w:tc>
          <w:tcPr>
            <w:tcW w:w="852"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5.66</w:t>
            </w:r>
          </w:p>
        </w:tc>
      </w:tr>
      <w:tr>
        <w:tblPrEx>
          <w:tblCellMar>
            <w:top w:w="0" w:type="dxa"/>
            <w:left w:w="108" w:type="dxa"/>
            <w:bottom w:w="0" w:type="dxa"/>
            <w:right w:w="108" w:type="dxa"/>
          </w:tblCellMar>
        </w:tblPrEx>
        <w:trPr>
          <w:trHeight w:val="529" w:hRule="atLeast"/>
          <w:jc w:val="center"/>
        </w:trPr>
        <w:tc>
          <w:tcPr>
            <w:tcW w:w="11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kern w:val="0"/>
                <w:sz w:val="24"/>
              </w:rPr>
            </w:pPr>
          </w:p>
        </w:tc>
        <w:tc>
          <w:tcPr>
            <w:tcW w:w="1151" w:type="dxa"/>
            <w:tcBorders>
              <w:top w:val="nil"/>
              <w:left w:val="nil"/>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潘集区</w:t>
            </w:r>
          </w:p>
        </w:tc>
        <w:tc>
          <w:tcPr>
            <w:tcW w:w="721"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0.11</w:t>
            </w:r>
          </w:p>
        </w:tc>
        <w:tc>
          <w:tcPr>
            <w:tcW w:w="771"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0.07</w:t>
            </w:r>
          </w:p>
        </w:tc>
        <w:tc>
          <w:tcPr>
            <w:tcW w:w="837"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0.18</w:t>
            </w:r>
          </w:p>
        </w:tc>
        <w:tc>
          <w:tcPr>
            <w:tcW w:w="868"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0.49</w:t>
            </w:r>
          </w:p>
        </w:tc>
        <w:tc>
          <w:tcPr>
            <w:tcW w:w="73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0.10</w:t>
            </w:r>
          </w:p>
        </w:tc>
        <w:tc>
          <w:tcPr>
            <w:tcW w:w="675"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0.18</w:t>
            </w:r>
          </w:p>
        </w:tc>
        <w:tc>
          <w:tcPr>
            <w:tcW w:w="846"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0.77</w:t>
            </w:r>
          </w:p>
        </w:tc>
        <w:tc>
          <w:tcPr>
            <w:tcW w:w="863"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2.15</w:t>
            </w:r>
          </w:p>
        </w:tc>
        <w:tc>
          <w:tcPr>
            <w:tcW w:w="792"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1.76</w:t>
            </w:r>
          </w:p>
        </w:tc>
        <w:tc>
          <w:tcPr>
            <w:tcW w:w="77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2.50</w:t>
            </w:r>
          </w:p>
        </w:tc>
        <w:tc>
          <w:tcPr>
            <w:tcW w:w="88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3.86</w:t>
            </w:r>
          </w:p>
        </w:tc>
        <w:tc>
          <w:tcPr>
            <w:tcW w:w="722"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0.06</w:t>
            </w:r>
          </w:p>
        </w:tc>
        <w:tc>
          <w:tcPr>
            <w:tcW w:w="69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0.05</w:t>
            </w:r>
          </w:p>
        </w:tc>
        <w:tc>
          <w:tcPr>
            <w:tcW w:w="756"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3.21</w:t>
            </w:r>
          </w:p>
        </w:tc>
        <w:tc>
          <w:tcPr>
            <w:tcW w:w="81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2.82</w:t>
            </w:r>
          </w:p>
        </w:tc>
        <w:tc>
          <w:tcPr>
            <w:tcW w:w="818"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3.57</w:t>
            </w:r>
          </w:p>
        </w:tc>
        <w:tc>
          <w:tcPr>
            <w:tcW w:w="852"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4.93</w:t>
            </w:r>
          </w:p>
        </w:tc>
      </w:tr>
      <w:tr>
        <w:tblPrEx>
          <w:tblCellMar>
            <w:top w:w="0" w:type="dxa"/>
            <w:left w:w="108" w:type="dxa"/>
            <w:bottom w:w="0" w:type="dxa"/>
            <w:right w:w="108" w:type="dxa"/>
          </w:tblCellMar>
        </w:tblPrEx>
        <w:trPr>
          <w:trHeight w:val="883" w:hRule="atLeast"/>
          <w:jc w:val="center"/>
        </w:trPr>
        <w:tc>
          <w:tcPr>
            <w:tcW w:w="11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kern w:val="0"/>
                <w:sz w:val="24"/>
              </w:rPr>
            </w:pPr>
          </w:p>
        </w:tc>
        <w:tc>
          <w:tcPr>
            <w:tcW w:w="1151" w:type="dxa"/>
            <w:tcBorders>
              <w:top w:val="nil"/>
              <w:left w:val="nil"/>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凤台县、毛集区</w:t>
            </w:r>
          </w:p>
        </w:tc>
        <w:tc>
          <w:tcPr>
            <w:tcW w:w="721"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0.20</w:t>
            </w:r>
          </w:p>
        </w:tc>
        <w:tc>
          <w:tcPr>
            <w:tcW w:w="771"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0.12</w:t>
            </w:r>
          </w:p>
        </w:tc>
        <w:tc>
          <w:tcPr>
            <w:tcW w:w="837"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0.31</w:t>
            </w:r>
          </w:p>
        </w:tc>
        <w:tc>
          <w:tcPr>
            <w:tcW w:w="868"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0.78</w:t>
            </w:r>
          </w:p>
        </w:tc>
        <w:tc>
          <w:tcPr>
            <w:tcW w:w="73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0.18</w:t>
            </w:r>
          </w:p>
        </w:tc>
        <w:tc>
          <w:tcPr>
            <w:tcW w:w="675"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0.03</w:t>
            </w:r>
          </w:p>
        </w:tc>
        <w:tc>
          <w:tcPr>
            <w:tcW w:w="846"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0.99</w:t>
            </w:r>
          </w:p>
        </w:tc>
        <w:tc>
          <w:tcPr>
            <w:tcW w:w="863"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3.36</w:t>
            </w:r>
          </w:p>
        </w:tc>
        <w:tc>
          <w:tcPr>
            <w:tcW w:w="792"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2.75</w:t>
            </w:r>
          </w:p>
        </w:tc>
        <w:tc>
          <w:tcPr>
            <w:tcW w:w="77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3.92</w:t>
            </w:r>
          </w:p>
        </w:tc>
        <w:tc>
          <w:tcPr>
            <w:tcW w:w="88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6.05</w:t>
            </w:r>
          </w:p>
        </w:tc>
        <w:tc>
          <w:tcPr>
            <w:tcW w:w="722"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0.12</w:t>
            </w:r>
          </w:p>
        </w:tc>
        <w:tc>
          <w:tcPr>
            <w:tcW w:w="69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0.05</w:t>
            </w:r>
          </w:p>
        </w:tc>
        <w:tc>
          <w:tcPr>
            <w:tcW w:w="756"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4.83</w:t>
            </w:r>
          </w:p>
        </w:tc>
        <w:tc>
          <w:tcPr>
            <w:tcW w:w="81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4.22</w:t>
            </w:r>
          </w:p>
        </w:tc>
        <w:tc>
          <w:tcPr>
            <w:tcW w:w="818"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5.39</w:t>
            </w:r>
          </w:p>
        </w:tc>
        <w:tc>
          <w:tcPr>
            <w:tcW w:w="852"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7.51</w:t>
            </w:r>
          </w:p>
        </w:tc>
      </w:tr>
      <w:tr>
        <w:tblPrEx>
          <w:tblCellMar>
            <w:top w:w="0" w:type="dxa"/>
            <w:left w:w="108" w:type="dxa"/>
            <w:bottom w:w="0" w:type="dxa"/>
            <w:right w:w="108" w:type="dxa"/>
          </w:tblCellMar>
        </w:tblPrEx>
        <w:trPr>
          <w:trHeight w:val="529" w:hRule="atLeast"/>
          <w:jc w:val="center"/>
        </w:trPr>
        <w:tc>
          <w:tcPr>
            <w:tcW w:w="11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kern w:val="0"/>
                <w:sz w:val="24"/>
              </w:rPr>
            </w:pPr>
          </w:p>
        </w:tc>
        <w:tc>
          <w:tcPr>
            <w:tcW w:w="1151" w:type="dxa"/>
            <w:tcBorders>
              <w:top w:val="nil"/>
              <w:left w:val="nil"/>
              <w:bottom w:val="single" w:color="auto" w:sz="4" w:space="0"/>
              <w:right w:val="single" w:color="auto" w:sz="4" w:space="0"/>
            </w:tcBorders>
            <w:noWrap w:val="0"/>
            <w:vAlign w:val="center"/>
          </w:tcPr>
          <w:p>
            <w:pPr>
              <w:widowControl/>
              <w:adjustRightInd w:val="0"/>
              <w:snapToGrid w:val="0"/>
              <w:jc w:val="center"/>
              <w:rPr>
                <w:kern w:val="0"/>
                <w:sz w:val="24"/>
              </w:rPr>
            </w:pPr>
            <w:r>
              <w:rPr>
                <w:kern w:val="0"/>
                <w:sz w:val="24"/>
              </w:rPr>
              <w:t>寿县</w:t>
            </w:r>
          </w:p>
        </w:tc>
        <w:tc>
          <w:tcPr>
            <w:tcW w:w="721"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0.30</w:t>
            </w:r>
          </w:p>
        </w:tc>
        <w:tc>
          <w:tcPr>
            <w:tcW w:w="771"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0.18</w:t>
            </w:r>
          </w:p>
        </w:tc>
        <w:tc>
          <w:tcPr>
            <w:tcW w:w="837"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0.47</w:t>
            </w:r>
          </w:p>
        </w:tc>
        <w:tc>
          <w:tcPr>
            <w:tcW w:w="868"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0.01</w:t>
            </w:r>
          </w:p>
        </w:tc>
        <w:tc>
          <w:tcPr>
            <w:tcW w:w="73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0.00</w:t>
            </w:r>
          </w:p>
        </w:tc>
        <w:tc>
          <w:tcPr>
            <w:tcW w:w="675"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0.18</w:t>
            </w:r>
          </w:p>
        </w:tc>
        <w:tc>
          <w:tcPr>
            <w:tcW w:w="846"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0.19</w:t>
            </w:r>
          </w:p>
        </w:tc>
        <w:tc>
          <w:tcPr>
            <w:tcW w:w="863"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6.25</w:t>
            </w:r>
          </w:p>
        </w:tc>
        <w:tc>
          <w:tcPr>
            <w:tcW w:w="792"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5.12</w:t>
            </w:r>
          </w:p>
        </w:tc>
        <w:tc>
          <w:tcPr>
            <w:tcW w:w="77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7.30</w:t>
            </w:r>
          </w:p>
        </w:tc>
        <w:tc>
          <w:tcPr>
            <w:tcW w:w="88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11.27</w:t>
            </w:r>
          </w:p>
        </w:tc>
        <w:tc>
          <w:tcPr>
            <w:tcW w:w="722"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0.27</w:t>
            </w:r>
          </w:p>
        </w:tc>
        <w:tc>
          <w:tcPr>
            <w:tcW w:w="69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0.04</w:t>
            </w:r>
          </w:p>
        </w:tc>
        <w:tc>
          <w:tcPr>
            <w:tcW w:w="756"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7.23</w:t>
            </w:r>
          </w:p>
        </w:tc>
        <w:tc>
          <w:tcPr>
            <w:tcW w:w="814"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6.09</w:t>
            </w:r>
          </w:p>
        </w:tc>
        <w:tc>
          <w:tcPr>
            <w:tcW w:w="818"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8.27</w:t>
            </w:r>
          </w:p>
        </w:tc>
        <w:tc>
          <w:tcPr>
            <w:tcW w:w="852" w:type="dxa"/>
            <w:tcBorders>
              <w:top w:val="nil"/>
              <w:left w:val="nil"/>
              <w:bottom w:val="single" w:color="auto" w:sz="4" w:space="0"/>
              <w:right w:val="single" w:color="auto" w:sz="4" w:space="0"/>
            </w:tcBorders>
            <w:noWrap w:val="0"/>
            <w:vAlign w:val="center"/>
          </w:tcPr>
          <w:p>
            <w:pPr>
              <w:adjustRightInd w:val="0"/>
              <w:snapToGrid w:val="0"/>
              <w:jc w:val="center"/>
              <w:rPr>
                <w:color w:val="000000"/>
                <w:sz w:val="24"/>
              </w:rPr>
            </w:pPr>
            <w:r>
              <w:rPr>
                <w:color w:val="000000"/>
                <w:sz w:val="24"/>
              </w:rPr>
              <w:t>12.25</w:t>
            </w:r>
          </w:p>
        </w:tc>
      </w:tr>
      <w:tr>
        <w:tblPrEx>
          <w:tblCellMar>
            <w:top w:w="0" w:type="dxa"/>
            <w:left w:w="108" w:type="dxa"/>
            <w:bottom w:w="0" w:type="dxa"/>
            <w:right w:w="108" w:type="dxa"/>
          </w:tblCellMar>
        </w:tblPrEx>
        <w:trPr>
          <w:trHeight w:val="720" w:hRule="atLeast"/>
          <w:jc w:val="center"/>
        </w:trPr>
        <w:tc>
          <w:tcPr>
            <w:tcW w:w="11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kern w:val="0"/>
                <w:sz w:val="24"/>
              </w:rPr>
            </w:pPr>
          </w:p>
        </w:tc>
        <w:tc>
          <w:tcPr>
            <w:tcW w:w="1151" w:type="dxa"/>
            <w:tcBorders>
              <w:top w:val="nil"/>
              <w:left w:val="nil"/>
              <w:bottom w:val="single" w:color="auto" w:sz="4" w:space="0"/>
              <w:right w:val="single" w:color="auto" w:sz="4" w:space="0"/>
            </w:tcBorders>
            <w:noWrap w:val="0"/>
            <w:vAlign w:val="center"/>
          </w:tcPr>
          <w:p>
            <w:pPr>
              <w:widowControl/>
              <w:adjustRightInd w:val="0"/>
              <w:snapToGrid w:val="0"/>
              <w:jc w:val="center"/>
              <w:rPr>
                <w:b/>
                <w:bCs/>
                <w:kern w:val="0"/>
                <w:sz w:val="24"/>
              </w:rPr>
            </w:pPr>
            <w:r>
              <w:rPr>
                <w:b/>
                <w:bCs/>
                <w:kern w:val="0"/>
                <w:sz w:val="24"/>
              </w:rPr>
              <w:t>合  计</w:t>
            </w:r>
          </w:p>
        </w:tc>
        <w:tc>
          <w:tcPr>
            <w:tcW w:w="721"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1.53</w:t>
            </w:r>
          </w:p>
        </w:tc>
        <w:tc>
          <w:tcPr>
            <w:tcW w:w="771"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0.41</w:t>
            </w:r>
          </w:p>
        </w:tc>
        <w:tc>
          <w:tcPr>
            <w:tcW w:w="837"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1.94</w:t>
            </w:r>
          </w:p>
        </w:tc>
        <w:tc>
          <w:tcPr>
            <w:tcW w:w="868"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1.70</w:t>
            </w:r>
          </w:p>
        </w:tc>
        <w:tc>
          <w:tcPr>
            <w:tcW w:w="734"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0.43</w:t>
            </w:r>
          </w:p>
        </w:tc>
        <w:tc>
          <w:tcPr>
            <w:tcW w:w="675"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0.67</w:t>
            </w:r>
          </w:p>
        </w:tc>
        <w:tc>
          <w:tcPr>
            <w:tcW w:w="846"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2.81</w:t>
            </w:r>
          </w:p>
        </w:tc>
        <w:tc>
          <w:tcPr>
            <w:tcW w:w="863"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13.72</w:t>
            </w:r>
          </w:p>
        </w:tc>
        <w:tc>
          <w:tcPr>
            <w:tcW w:w="792"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11.23</w:t>
            </w:r>
          </w:p>
        </w:tc>
        <w:tc>
          <w:tcPr>
            <w:tcW w:w="774"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16.01</w:t>
            </w:r>
          </w:p>
        </w:tc>
        <w:tc>
          <w:tcPr>
            <w:tcW w:w="884"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24.71</w:t>
            </w:r>
          </w:p>
        </w:tc>
        <w:tc>
          <w:tcPr>
            <w:tcW w:w="722"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0.54</w:t>
            </w:r>
          </w:p>
        </w:tc>
        <w:tc>
          <w:tcPr>
            <w:tcW w:w="694"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0.35</w:t>
            </w:r>
          </w:p>
        </w:tc>
        <w:tc>
          <w:tcPr>
            <w:tcW w:w="756"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19.36</w:t>
            </w:r>
          </w:p>
        </w:tc>
        <w:tc>
          <w:tcPr>
            <w:tcW w:w="814"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16.87</w:t>
            </w:r>
          </w:p>
        </w:tc>
        <w:tc>
          <w:tcPr>
            <w:tcW w:w="818"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21.65</w:t>
            </w:r>
          </w:p>
        </w:tc>
        <w:tc>
          <w:tcPr>
            <w:tcW w:w="852" w:type="dxa"/>
            <w:tcBorders>
              <w:top w:val="nil"/>
              <w:left w:val="nil"/>
              <w:bottom w:val="single" w:color="auto" w:sz="4" w:space="0"/>
              <w:right w:val="single" w:color="auto" w:sz="4" w:space="0"/>
            </w:tcBorders>
            <w:noWrap w:val="0"/>
            <w:vAlign w:val="center"/>
          </w:tcPr>
          <w:p>
            <w:pPr>
              <w:adjustRightInd w:val="0"/>
              <w:snapToGrid w:val="0"/>
              <w:jc w:val="center"/>
              <w:rPr>
                <w:b/>
                <w:bCs/>
                <w:color w:val="000000"/>
                <w:sz w:val="24"/>
              </w:rPr>
            </w:pPr>
            <w:r>
              <w:rPr>
                <w:b/>
                <w:bCs/>
                <w:color w:val="000000"/>
                <w:sz w:val="24"/>
              </w:rPr>
              <w:t>30.34</w:t>
            </w:r>
          </w:p>
        </w:tc>
      </w:tr>
    </w:tbl>
    <w:p>
      <w:pPr>
        <w:pStyle w:val="2"/>
        <w:jc w:val="center"/>
        <w:rPr>
          <w:rFonts w:hint="default"/>
          <w:b/>
          <w:bCs/>
          <w:sz w:val="24"/>
          <w:lang w:val="en-US" w:eastAsia="zh-CN"/>
        </w:rPr>
        <w:sectPr>
          <w:headerReference r:id="rId12" w:type="default"/>
          <w:footerReference r:id="rId13" w:type="default"/>
          <w:pgSz w:w="16838" w:h="11906" w:orient="landscape"/>
          <w:pgMar w:top="1587" w:right="1962" w:bottom="1474" w:left="1848" w:header="851" w:footer="992" w:gutter="0"/>
          <w:pgNumType w:fmt="numberInDash"/>
          <w:cols w:space="0" w:num="1"/>
          <w:rtlGutter w:val="0"/>
          <w:docGrid w:type="lines" w:linePitch="312" w:charSpace="0"/>
        </w:sectPr>
      </w:pPr>
    </w:p>
    <w:p>
      <w:pPr>
        <w:pStyle w:val="5"/>
        <w:keepNext w:val="0"/>
        <w:keepLines w:val="0"/>
        <w:pageBreakBefore w:val="0"/>
        <w:widowControl w:val="0"/>
        <w:kinsoku/>
        <w:wordWrap/>
        <w:overflowPunct/>
        <w:autoSpaceDE/>
        <w:autoSpaceDN/>
        <w:bidi w:val="0"/>
        <w:spacing w:line="590" w:lineRule="exact"/>
        <w:ind w:firstLine="562"/>
        <w:rPr>
          <w:rFonts w:hint="default" w:ascii="Times New Roman" w:hAnsi="Times New Roman" w:eastAsia="方正楷体_GBK" w:cs="Times New Roman"/>
          <w:b w:val="0"/>
          <w:bCs/>
          <w:i w:val="0"/>
          <w:iCs w:val="0"/>
          <w:sz w:val="32"/>
          <w:szCs w:val="32"/>
        </w:rPr>
      </w:pPr>
      <w:bookmarkStart w:id="167" w:name="_Toc10322"/>
      <w:bookmarkStart w:id="168" w:name="_Toc312309872"/>
      <w:r>
        <w:rPr>
          <w:rFonts w:hint="default" w:ascii="Times New Roman" w:hAnsi="Times New Roman" w:eastAsia="方正楷体_GBK" w:cs="Times New Roman"/>
          <w:b w:val="0"/>
          <w:bCs/>
          <w:i w:val="0"/>
          <w:iCs w:val="0"/>
          <w:sz w:val="32"/>
          <w:szCs w:val="32"/>
        </w:rPr>
        <w:t>二、规划水平年需水分析</w:t>
      </w:r>
      <w:bookmarkEnd w:id="167"/>
      <w:bookmarkEnd w:id="168"/>
    </w:p>
    <w:p>
      <w:pPr>
        <w:keepNext w:val="0"/>
        <w:keepLines w:val="0"/>
        <w:pageBreakBefore w:val="0"/>
        <w:widowControl w:val="0"/>
        <w:kinsoku/>
        <w:wordWrap/>
        <w:overflowPunct/>
        <w:autoSpaceDE/>
        <w:autoSpaceDN/>
        <w:bidi w:val="0"/>
        <w:adjustRightInd w:val="0"/>
        <w:snapToGrid w:val="0"/>
        <w:spacing w:line="590" w:lineRule="exact"/>
        <w:ind w:firstLine="482"/>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（一）生活需水预测</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现状2015年淮南市生活用水总量为1.94亿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；其中城镇综合生活用水量为1.53亿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，用水定额为207L/人∙d；农村生活需水量为0.41万</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，用水定额为80L/人∙d。规划2020年全市居民生活需水总量为2.39亿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；其中城镇综合生活需水量为1.97亿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，用水定额为221L/人∙d；农村生活需水量为0.42亿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，用水定额为90L/人∙d。规划2030年全市居民生活需水总量为2.91亿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；其中城镇综合生活需水量为2.54亿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，用水定额为230L/人∙d；农村生活需水量为0.37亿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，用水定额为100L/人∙d。具体见表4.3-4。</w:t>
      </w:r>
    </w:p>
    <w:p>
      <w:pPr>
        <w:keepNext w:val="0"/>
        <w:keepLines w:val="0"/>
        <w:pageBreakBefore w:val="0"/>
        <w:widowControl w:val="0"/>
        <w:kinsoku/>
        <w:wordWrap/>
        <w:overflowPunct/>
        <w:autoSpaceDE/>
        <w:autoSpaceDN/>
        <w:bidi w:val="0"/>
        <w:adjustRightInd w:val="0"/>
        <w:snapToGrid w:val="0"/>
        <w:spacing w:line="590" w:lineRule="exact"/>
        <w:ind w:firstLine="482"/>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w:t>
      </w:r>
      <w:r>
        <w:rPr>
          <w:rFonts w:hint="default" w:ascii="Times New Roman" w:hAnsi="Times New Roman" w:eastAsia="方正仿宋_GBK" w:cs="Times New Roman"/>
          <w:b/>
          <w:bCs/>
          <w:sz w:val="32"/>
          <w:szCs w:val="32"/>
          <w:lang w:val="en-US" w:eastAsia="zh-CN"/>
        </w:rPr>
        <w:t>二</w:t>
      </w:r>
      <w:r>
        <w:rPr>
          <w:rFonts w:hint="default" w:ascii="Times New Roman" w:hAnsi="Times New Roman" w:eastAsia="方正仿宋_GBK" w:cs="Times New Roman"/>
          <w:b/>
          <w:bCs/>
          <w:sz w:val="32"/>
          <w:szCs w:val="32"/>
        </w:rPr>
        <w:t>）工业需水预测</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（1）一般工业需水预测</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现状2015年淮南市一般工业用水量0.67亿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。淮南市工业增加值为365亿元，其中电力企业增加值为83.6亿元，煤炭工业增加值为167亿元，一般工业增加值为114亿元，一般工业增加值占工业增加值的31.2%，一般工业万元工业增加值用水量为59</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万元，近年淮南市煤电和煤炭工业增加值占淮南市工业增加值比重逐年增加，其他一般工业增加值占工业增加值比例也持续增加，年比重增加在2～3个百分点，预测规划2020年和2030年一般工业占工业增加值比重将持续增加，规划2020年淮南市一般工业增加值将达到380亿元，一般工业万元工业增加值用水量为39</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/万元，一般工业需水量为1.48亿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，规划2030年淮南市一般工业增加值将达到780亿元，一般工业万元工业增加值用水量为20</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/万元，一般工业需水量为1.58亿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。详见表4.3-5.</w:t>
      </w:r>
    </w:p>
    <w:p>
      <w:pPr>
        <w:adjustRightInd w:val="0"/>
        <w:snapToGrid w:val="0"/>
        <w:spacing w:line="520" w:lineRule="exact"/>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表4.3-4  规划水平年淮南市生活需水量预测表</w:t>
      </w:r>
    </w:p>
    <w:tbl>
      <w:tblPr>
        <w:tblStyle w:val="12"/>
        <w:tblW w:w="0" w:type="auto"/>
        <w:jc w:val="center"/>
        <w:tblLayout w:type="fixed"/>
        <w:tblCellMar>
          <w:top w:w="0" w:type="dxa"/>
          <w:left w:w="108" w:type="dxa"/>
          <w:bottom w:w="0" w:type="dxa"/>
          <w:right w:w="108" w:type="dxa"/>
        </w:tblCellMar>
      </w:tblPr>
      <w:tblGrid>
        <w:gridCol w:w="851"/>
        <w:gridCol w:w="671"/>
        <w:gridCol w:w="1166"/>
        <w:gridCol w:w="956"/>
        <w:gridCol w:w="1008"/>
        <w:gridCol w:w="1011"/>
        <w:gridCol w:w="1071"/>
        <w:gridCol w:w="949"/>
        <w:gridCol w:w="1134"/>
        <w:gridCol w:w="1163"/>
      </w:tblGrid>
      <w:tr>
        <w:tblPrEx>
          <w:tblCellMar>
            <w:top w:w="0" w:type="dxa"/>
            <w:left w:w="108" w:type="dxa"/>
            <w:bottom w:w="0" w:type="dxa"/>
            <w:right w:w="108" w:type="dxa"/>
          </w:tblCellMar>
        </w:tblPrEx>
        <w:trPr>
          <w:trHeight w:val="321" w:hRule="atLeast"/>
          <w:jc w:val="center"/>
        </w:trPr>
        <w:tc>
          <w:tcPr>
            <w:tcW w:w="85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水平年</w:t>
            </w:r>
          </w:p>
        </w:tc>
        <w:tc>
          <w:tcPr>
            <w:tcW w:w="183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计算分区</w:t>
            </w:r>
          </w:p>
        </w:tc>
        <w:tc>
          <w:tcPr>
            <w:tcW w:w="2975" w:type="dxa"/>
            <w:gridSpan w:val="3"/>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城镇生活</w:t>
            </w:r>
          </w:p>
        </w:tc>
        <w:tc>
          <w:tcPr>
            <w:tcW w:w="3154" w:type="dxa"/>
            <w:gridSpan w:val="3"/>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农村生活</w:t>
            </w:r>
          </w:p>
        </w:tc>
        <w:tc>
          <w:tcPr>
            <w:tcW w:w="116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生活需水量合计</w:t>
            </w:r>
          </w:p>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（亿m³）</w:t>
            </w:r>
          </w:p>
        </w:tc>
      </w:tr>
      <w:tr>
        <w:tblPrEx>
          <w:tblCellMar>
            <w:top w:w="0" w:type="dxa"/>
            <w:left w:w="108" w:type="dxa"/>
            <w:bottom w:w="0" w:type="dxa"/>
            <w:right w:w="108" w:type="dxa"/>
          </w:tblCellMar>
        </w:tblPrEx>
        <w:trPr>
          <w:trHeight w:val="895" w:hRule="atLeast"/>
          <w:jc w:val="center"/>
        </w:trPr>
        <w:tc>
          <w:tcPr>
            <w:tcW w:w="85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83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95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定额</w:t>
            </w:r>
          </w:p>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（L/人.d)</w:t>
            </w:r>
          </w:p>
        </w:tc>
        <w:tc>
          <w:tcPr>
            <w:tcW w:w="1008"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人口</w:t>
            </w:r>
          </w:p>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(万人）</w:t>
            </w:r>
          </w:p>
        </w:tc>
        <w:tc>
          <w:tcPr>
            <w:tcW w:w="101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需水量</w:t>
            </w:r>
          </w:p>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（亿m³）</w:t>
            </w:r>
          </w:p>
        </w:tc>
        <w:tc>
          <w:tcPr>
            <w:tcW w:w="107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定额</w:t>
            </w:r>
          </w:p>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（L/人.d)</w:t>
            </w:r>
          </w:p>
        </w:tc>
        <w:tc>
          <w:tcPr>
            <w:tcW w:w="949"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人口</w:t>
            </w:r>
          </w:p>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(万人）</w:t>
            </w:r>
          </w:p>
        </w:tc>
        <w:tc>
          <w:tcPr>
            <w:tcW w:w="1134"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需水量</w:t>
            </w:r>
          </w:p>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（亿m³）</w:t>
            </w:r>
          </w:p>
        </w:tc>
        <w:tc>
          <w:tcPr>
            <w:tcW w:w="116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r>
      <w:tr>
        <w:tblPrEx>
          <w:tblCellMar>
            <w:top w:w="0" w:type="dxa"/>
            <w:left w:w="108" w:type="dxa"/>
            <w:bottom w:w="0" w:type="dxa"/>
            <w:right w:w="108" w:type="dxa"/>
          </w:tblCellMar>
        </w:tblPrEx>
        <w:trPr>
          <w:trHeight w:val="321" w:hRule="atLeast"/>
          <w:jc w:val="center"/>
        </w:trPr>
        <w:tc>
          <w:tcPr>
            <w:tcW w:w="851"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2015年</w:t>
            </w:r>
          </w:p>
        </w:tc>
        <w:tc>
          <w:tcPr>
            <w:tcW w:w="671"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16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956"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190</w:t>
            </w:r>
          </w:p>
        </w:tc>
        <w:tc>
          <w:tcPr>
            <w:tcW w:w="100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43.6</w:t>
            </w:r>
          </w:p>
        </w:tc>
        <w:tc>
          <w:tcPr>
            <w:tcW w:w="10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0.30</w:t>
            </w:r>
          </w:p>
        </w:tc>
        <w:tc>
          <w:tcPr>
            <w:tcW w:w="107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80</w:t>
            </w:r>
          </w:p>
        </w:tc>
        <w:tc>
          <w:tcPr>
            <w:tcW w:w="94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62.8</w:t>
            </w: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0.18</w:t>
            </w:r>
          </w:p>
        </w:tc>
        <w:tc>
          <w:tcPr>
            <w:tcW w:w="1163"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0.49</w:t>
            </w:r>
          </w:p>
        </w:tc>
      </w:tr>
      <w:tr>
        <w:tblPrEx>
          <w:tblCellMar>
            <w:top w:w="0" w:type="dxa"/>
            <w:left w:w="108" w:type="dxa"/>
            <w:bottom w:w="0" w:type="dxa"/>
            <w:right w:w="108" w:type="dxa"/>
          </w:tblCellMar>
        </w:tblPrEx>
        <w:trPr>
          <w:trHeight w:val="321" w:hRule="atLeast"/>
          <w:jc w:val="center"/>
        </w:trPr>
        <w:tc>
          <w:tcPr>
            <w:tcW w:w="8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16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956"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212</w:t>
            </w:r>
          </w:p>
        </w:tc>
        <w:tc>
          <w:tcPr>
            <w:tcW w:w="100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158.3</w:t>
            </w:r>
          </w:p>
        </w:tc>
        <w:tc>
          <w:tcPr>
            <w:tcW w:w="10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1.22</w:t>
            </w:r>
          </w:p>
        </w:tc>
        <w:tc>
          <w:tcPr>
            <w:tcW w:w="107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80</w:t>
            </w:r>
          </w:p>
        </w:tc>
        <w:tc>
          <w:tcPr>
            <w:tcW w:w="94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78.3</w:t>
            </w: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0.23</w:t>
            </w:r>
          </w:p>
        </w:tc>
        <w:tc>
          <w:tcPr>
            <w:tcW w:w="1163"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1.45</w:t>
            </w:r>
          </w:p>
        </w:tc>
      </w:tr>
      <w:tr>
        <w:tblPrEx>
          <w:tblCellMar>
            <w:top w:w="0" w:type="dxa"/>
            <w:left w:w="108" w:type="dxa"/>
            <w:bottom w:w="0" w:type="dxa"/>
            <w:right w:w="108" w:type="dxa"/>
          </w:tblCellMar>
        </w:tblPrEx>
        <w:trPr>
          <w:trHeight w:val="321" w:hRule="atLeast"/>
          <w:jc w:val="center"/>
        </w:trPr>
        <w:tc>
          <w:tcPr>
            <w:tcW w:w="8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16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合计</w:t>
            </w:r>
          </w:p>
        </w:tc>
        <w:tc>
          <w:tcPr>
            <w:tcW w:w="956"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207</w:t>
            </w:r>
          </w:p>
        </w:tc>
        <w:tc>
          <w:tcPr>
            <w:tcW w:w="100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201.9</w:t>
            </w:r>
          </w:p>
        </w:tc>
        <w:tc>
          <w:tcPr>
            <w:tcW w:w="10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1.53</w:t>
            </w:r>
          </w:p>
        </w:tc>
        <w:tc>
          <w:tcPr>
            <w:tcW w:w="107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80</w:t>
            </w:r>
          </w:p>
        </w:tc>
        <w:tc>
          <w:tcPr>
            <w:tcW w:w="94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141.2</w:t>
            </w: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0.41</w:t>
            </w:r>
          </w:p>
        </w:tc>
        <w:tc>
          <w:tcPr>
            <w:tcW w:w="1163"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1.94</w:t>
            </w:r>
          </w:p>
        </w:tc>
      </w:tr>
      <w:tr>
        <w:tblPrEx>
          <w:tblCellMar>
            <w:top w:w="0" w:type="dxa"/>
            <w:left w:w="108" w:type="dxa"/>
            <w:bottom w:w="0" w:type="dxa"/>
            <w:right w:w="108" w:type="dxa"/>
          </w:tblCellMar>
        </w:tblPrEx>
        <w:trPr>
          <w:trHeight w:val="321" w:hRule="atLeast"/>
          <w:jc w:val="center"/>
        </w:trPr>
        <w:tc>
          <w:tcPr>
            <w:tcW w:w="8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1"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16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956"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220</w:t>
            </w:r>
          </w:p>
        </w:tc>
        <w:tc>
          <w:tcPr>
            <w:tcW w:w="100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114.2</w:t>
            </w:r>
          </w:p>
        </w:tc>
        <w:tc>
          <w:tcPr>
            <w:tcW w:w="10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0.92</w:t>
            </w:r>
          </w:p>
        </w:tc>
        <w:tc>
          <w:tcPr>
            <w:tcW w:w="107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80</w:t>
            </w:r>
          </w:p>
        </w:tc>
        <w:tc>
          <w:tcPr>
            <w:tcW w:w="94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16.6</w:t>
            </w: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0.05</w:t>
            </w:r>
          </w:p>
        </w:tc>
        <w:tc>
          <w:tcPr>
            <w:tcW w:w="1163"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0.97</w:t>
            </w:r>
          </w:p>
        </w:tc>
      </w:tr>
      <w:tr>
        <w:tblPrEx>
          <w:tblCellMar>
            <w:top w:w="0" w:type="dxa"/>
            <w:left w:w="108" w:type="dxa"/>
            <w:bottom w:w="0" w:type="dxa"/>
            <w:right w:w="108" w:type="dxa"/>
          </w:tblCellMar>
        </w:tblPrEx>
        <w:trPr>
          <w:trHeight w:val="321" w:hRule="atLeast"/>
          <w:jc w:val="center"/>
        </w:trPr>
        <w:tc>
          <w:tcPr>
            <w:tcW w:w="8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16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956"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190</w:t>
            </w:r>
          </w:p>
        </w:tc>
        <w:tc>
          <w:tcPr>
            <w:tcW w:w="100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16.4</w:t>
            </w:r>
          </w:p>
        </w:tc>
        <w:tc>
          <w:tcPr>
            <w:tcW w:w="10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0.11</w:t>
            </w:r>
          </w:p>
        </w:tc>
        <w:tc>
          <w:tcPr>
            <w:tcW w:w="107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80</w:t>
            </w:r>
          </w:p>
        </w:tc>
        <w:tc>
          <w:tcPr>
            <w:tcW w:w="94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23.8</w:t>
            </w: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0.07</w:t>
            </w:r>
          </w:p>
        </w:tc>
        <w:tc>
          <w:tcPr>
            <w:tcW w:w="1163"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0.18</w:t>
            </w:r>
          </w:p>
        </w:tc>
      </w:tr>
      <w:tr>
        <w:tblPrEx>
          <w:tblCellMar>
            <w:top w:w="0" w:type="dxa"/>
            <w:left w:w="108" w:type="dxa"/>
            <w:bottom w:w="0" w:type="dxa"/>
            <w:right w:w="108" w:type="dxa"/>
          </w:tblCellMar>
        </w:tblPrEx>
        <w:trPr>
          <w:trHeight w:val="321" w:hRule="atLeast"/>
          <w:jc w:val="center"/>
        </w:trPr>
        <w:tc>
          <w:tcPr>
            <w:tcW w:w="8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16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956"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190</w:t>
            </w:r>
          </w:p>
        </w:tc>
        <w:tc>
          <w:tcPr>
            <w:tcW w:w="100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28.4</w:t>
            </w:r>
          </w:p>
        </w:tc>
        <w:tc>
          <w:tcPr>
            <w:tcW w:w="10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0.20</w:t>
            </w:r>
          </w:p>
        </w:tc>
        <w:tc>
          <w:tcPr>
            <w:tcW w:w="107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80</w:t>
            </w:r>
          </w:p>
        </w:tc>
        <w:tc>
          <w:tcPr>
            <w:tcW w:w="94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40.3</w:t>
            </w: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0.12</w:t>
            </w:r>
          </w:p>
        </w:tc>
        <w:tc>
          <w:tcPr>
            <w:tcW w:w="1163"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0.31</w:t>
            </w:r>
          </w:p>
        </w:tc>
      </w:tr>
      <w:tr>
        <w:tblPrEx>
          <w:tblCellMar>
            <w:top w:w="0" w:type="dxa"/>
            <w:left w:w="108" w:type="dxa"/>
            <w:bottom w:w="0" w:type="dxa"/>
            <w:right w:w="108" w:type="dxa"/>
          </w:tblCellMar>
        </w:tblPrEx>
        <w:trPr>
          <w:trHeight w:val="321" w:hRule="atLeast"/>
          <w:jc w:val="center"/>
        </w:trPr>
        <w:tc>
          <w:tcPr>
            <w:tcW w:w="8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16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956"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190</w:t>
            </w:r>
          </w:p>
        </w:tc>
        <w:tc>
          <w:tcPr>
            <w:tcW w:w="100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42.9</w:t>
            </w:r>
          </w:p>
        </w:tc>
        <w:tc>
          <w:tcPr>
            <w:tcW w:w="10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0.30</w:t>
            </w:r>
          </w:p>
        </w:tc>
        <w:tc>
          <w:tcPr>
            <w:tcW w:w="107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80</w:t>
            </w:r>
          </w:p>
        </w:tc>
        <w:tc>
          <w:tcPr>
            <w:tcW w:w="94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60.5</w:t>
            </w: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0.18</w:t>
            </w:r>
          </w:p>
        </w:tc>
        <w:tc>
          <w:tcPr>
            <w:tcW w:w="1163"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0.47</w:t>
            </w:r>
          </w:p>
        </w:tc>
      </w:tr>
      <w:tr>
        <w:tblPrEx>
          <w:tblCellMar>
            <w:top w:w="0" w:type="dxa"/>
            <w:left w:w="108" w:type="dxa"/>
            <w:bottom w:w="0" w:type="dxa"/>
            <w:right w:w="108" w:type="dxa"/>
          </w:tblCellMar>
        </w:tblPrEx>
        <w:trPr>
          <w:trHeight w:val="321" w:hRule="atLeast"/>
          <w:jc w:val="center"/>
        </w:trPr>
        <w:tc>
          <w:tcPr>
            <w:tcW w:w="8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16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  计</w:t>
            </w:r>
          </w:p>
        </w:tc>
        <w:tc>
          <w:tcPr>
            <w:tcW w:w="956"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207</w:t>
            </w:r>
          </w:p>
        </w:tc>
        <w:tc>
          <w:tcPr>
            <w:tcW w:w="100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201.9</w:t>
            </w:r>
          </w:p>
        </w:tc>
        <w:tc>
          <w:tcPr>
            <w:tcW w:w="10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1.53</w:t>
            </w:r>
          </w:p>
        </w:tc>
        <w:tc>
          <w:tcPr>
            <w:tcW w:w="107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80</w:t>
            </w:r>
          </w:p>
        </w:tc>
        <w:tc>
          <w:tcPr>
            <w:tcW w:w="94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141.2</w:t>
            </w: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0.41</w:t>
            </w:r>
          </w:p>
        </w:tc>
        <w:tc>
          <w:tcPr>
            <w:tcW w:w="1163"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1.94</w:t>
            </w:r>
          </w:p>
        </w:tc>
      </w:tr>
      <w:tr>
        <w:tblPrEx>
          <w:tblCellMar>
            <w:top w:w="0" w:type="dxa"/>
            <w:left w:w="108" w:type="dxa"/>
            <w:bottom w:w="0" w:type="dxa"/>
            <w:right w:w="108" w:type="dxa"/>
          </w:tblCellMar>
        </w:tblPrEx>
        <w:trPr>
          <w:trHeight w:val="321" w:hRule="atLeast"/>
          <w:jc w:val="center"/>
        </w:trPr>
        <w:tc>
          <w:tcPr>
            <w:tcW w:w="851"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2020年</w:t>
            </w:r>
          </w:p>
        </w:tc>
        <w:tc>
          <w:tcPr>
            <w:tcW w:w="671"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16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956"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205</w:t>
            </w:r>
          </w:p>
        </w:tc>
        <w:tc>
          <w:tcPr>
            <w:tcW w:w="100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53.0</w:t>
            </w:r>
          </w:p>
        </w:tc>
        <w:tc>
          <w:tcPr>
            <w:tcW w:w="10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0.40</w:t>
            </w:r>
          </w:p>
        </w:tc>
        <w:tc>
          <w:tcPr>
            <w:tcW w:w="107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90</w:t>
            </w:r>
          </w:p>
        </w:tc>
        <w:tc>
          <w:tcPr>
            <w:tcW w:w="94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61.7</w:t>
            </w: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0.20</w:t>
            </w:r>
          </w:p>
        </w:tc>
        <w:tc>
          <w:tcPr>
            <w:tcW w:w="1163"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0.60</w:t>
            </w:r>
          </w:p>
        </w:tc>
      </w:tr>
      <w:tr>
        <w:tblPrEx>
          <w:tblCellMar>
            <w:top w:w="0" w:type="dxa"/>
            <w:left w:w="108" w:type="dxa"/>
            <w:bottom w:w="0" w:type="dxa"/>
            <w:right w:w="108" w:type="dxa"/>
          </w:tblCellMar>
        </w:tblPrEx>
        <w:trPr>
          <w:trHeight w:val="321" w:hRule="atLeast"/>
          <w:jc w:val="center"/>
        </w:trPr>
        <w:tc>
          <w:tcPr>
            <w:tcW w:w="8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16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956"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226</w:t>
            </w:r>
          </w:p>
        </w:tc>
        <w:tc>
          <w:tcPr>
            <w:tcW w:w="100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190.7</w:t>
            </w:r>
          </w:p>
        </w:tc>
        <w:tc>
          <w:tcPr>
            <w:tcW w:w="10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1.57</w:t>
            </w:r>
          </w:p>
        </w:tc>
        <w:tc>
          <w:tcPr>
            <w:tcW w:w="107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90</w:t>
            </w:r>
          </w:p>
        </w:tc>
        <w:tc>
          <w:tcPr>
            <w:tcW w:w="94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67.1</w:t>
            </w: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0.22</w:t>
            </w:r>
          </w:p>
        </w:tc>
        <w:tc>
          <w:tcPr>
            <w:tcW w:w="1163"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1.79</w:t>
            </w:r>
          </w:p>
        </w:tc>
      </w:tr>
      <w:tr>
        <w:tblPrEx>
          <w:tblCellMar>
            <w:top w:w="0" w:type="dxa"/>
            <w:left w:w="108" w:type="dxa"/>
            <w:bottom w:w="0" w:type="dxa"/>
            <w:right w:w="108" w:type="dxa"/>
          </w:tblCellMar>
        </w:tblPrEx>
        <w:trPr>
          <w:trHeight w:val="321" w:hRule="atLeast"/>
          <w:jc w:val="center"/>
        </w:trPr>
        <w:tc>
          <w:tcPr>
            <w:tcW w:w="8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16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合计</w:t>
            </w:r>
          </w:p>
        </w:tc>
        <w:tc>
          <w:tcPr>
            <w:tcW w:w="956"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221</w:t>
            </w:r>
          </w:p>
        </w:tc>
        <w:tc>
          <w:tcPr>
            <w:tcW w:w="100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243.8</w:t>
            </w:r>
          </w:p>
        </w:tc>
        <w:tc>
          <w:tcPr>
            <w:tcW w:w="10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1.97</w:t>
            </w:r>
          </w:p>
        </w:tc>
        <w:tc>
          <w:tcPr>
            <w:tcW w:w="107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90</w:t>
            </w:r>
          </w:p>
        </w:tc>
        <w:tc>
          <w:tcPr>
            <w:tcW w:w="94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128.7</w:t>
            </w: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0.42</w:t>
            </w:r>
          </w:p>
        </w:tc>
        <w:tc>
          <w:tcPr>
            <w:tcW w:w="1163"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2.39</w:t>
            </w:r>
          </w:p>
        </w:tc>
      </w:tr>
      <w:tr>
        <w:tblPrEx>
          <w:tblCellMar>
            <w:top w:w="0" w:type="dxa"/>
            <w:left w:w="108" w:type="dxa"/>
            <w:bottom w:w="0" w:type="dxa"/>
            <w:right w:w="108" w:type="dxa"/>
          </w:tblCellMar>
        </w:tblPrEx>
        <w:trPr>
          <w:trHeight w:val="321" w:hRule="atLeast"/>
          <w:jc w:val="center"/>
        </w:trPr>
        <w:tc>
          <w:tcPr>
            <w:tcW w:w="8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1"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16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956"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235</w:t>
            </w:r>
          </w:p>
        </w:tc>
        <w:tc>
          <w:tcPr>
            <w:tcW w:w="100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132.8</w:t>
            </w:r>
          </w:p>
        </w:tc>
        <w:tc>
          <w:tcPr>
            <w:tcW w:w="10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1.14</w:t>
            </w:r>
          </w:p>
        </w:tc>
        <w:tc>
          <w:tcPr>
            <w:tcW w:w="107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90</w:t>
            </w:r>
          </w:p>
        </w:tc>
        <w:tc>
          <w:tcPr>
            <w:tcW w:w="94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11.5</w:t>
            </w: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0.04</w:t>
            </w:r>
          </w:p>
        </w:tc>
        <w:tc>
          <w:tcPr>
            <w:tcW w:w="1163"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1.18</w:t>
            </w:r>
          </w:p>
        </w:tc>
      </w:tr>
      <w:tr>
        <w:tblPrEx>
          <w:tblCellMar>
            <w:top w:w="0" w:type="dxa"/>
            <w:left w:w="108" w:type="dxa"/>
            <w:bottom w:w="0" w:type="dxa"/>
            <w:right w:w="108" w:type="dxa"/>
          </w:tblCellMar>
        </w:tblPrEx>
        <w:trPr>
          <w:trHeight w:val="321" w:hRule="atLeast"/>
          <w:jc w:val="center"/>
        </w:trPr>
        <w:tc>
          <w:tcPr>
            <w:tcW w:w="8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16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956"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205</w:t>
            </w:r>
          </w:p>
        </w:tc>
        <w:tc>
          <w:tcPr>
            <w:tcW w:w="100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21.5</w:t>
            </w:r>
          </w:p>
        </w:tc>
        <w:tc>
          <w:tcPr>
            <w:tcW w:w="10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0.16</w:t>
            </w:r>
          </w:p>
        </w:tc>
        <w:tc>
          <w:tcPr>
            <w:tcW w:w="107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90</w:t>
            </w:r>
          </w:p>
        </w:tc>
        <w:tc>
          <w:tcPr>
            <w:tcW w:w="94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23.2</w:t>
            </w: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0.08</w:t>
            </w:r>
          </w:p>
        </w:tc>
        <w:tc>
          <w:tcPr>
            <w:tcW w:w="1163"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0.24</w:t>
            </w:r>
          </w:p>
        </w:tc>
      </w:tr>
      <w:tr>
        <w:tblPrEx>
          <w:tblCellMar>
            <w:top w:w="0" w:type="dxa"/>
            <w:left w:w="108" w:type="dxa"/>
            <w:bottom w:w="0" w:type="dxa"/>
            <w:right w:w="108" w:type="dxa"/>
          </w:tblCellMar>
        </w:tblPrEx>
        <w:trPr>
          <w:trHeight w:val="321" w:hRule="atLeast"/>
          <w:jc w:val="center"/>
        </w:trPr>
        <w:tc>
          <w:tcPr>
            <w:tcW w:w="8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16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956"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205</w:t>
            </w:r>
          </w:p>
        </w:tc>
        <w:tc>
          <w:tcPr>
            <w:tcW w:w="100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36.8</w:t>
            </w:r>
          </w:p>
        </w:tc>
        <w:tc>
          <w:tcPr>
            <w:tcW w:w="10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0.28</w:t>
            </w:r>
          </w:p>
        </w:tc>
        <w:tc>
          <w:tcPr>
            <w:tcW w:w="107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90</w:t>
            </w:r>
          </w:p>
        </w:tc>
        <w:tc>
          <w:tcPr>
            <w:tcW w:w="94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39.0</w:t>
            </w: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0.13</w:t>
            </w:r>
          </w:p>
        </w:tc>
        <w:tc>
          <w:tcPr>
            <w:tcW w:w="1163"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0.40</w:t>
            </w:r>
          </w:p>
        </w:tc>
      </w:tr>
      <w:tr>
        <w:tblPrEx>
          <w:tblCellMar>
            <w:top w:w="0" w:type="dxa"/>
            <w:left w:w="108" w:type="dxa"/>
            <w:bottom w:w="0" w:type="dxa"/>
            <w:right w:w="108" w:type="dxa"/>
          </w:tblCellMar>
        </w:tblPrEx>
        <w:trPr>
          <w:trHeight w:val="321" w:hRule="atLeast"/>
          <w:jc w:val="center"/>
        </w:trPr>
        <w:tc>
          <w:tcPr>
            <w:tcW w:w="8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16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956"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205</w:t>
            </w:r>
          </w:p>
        </w:tc>
        <w:tc>
          <w:tcPr>
            <w:tcW w:w="100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52.7</w:t>
            </w:r>
          </w:p>
        </w:tc>
        <w:tc>
          <w:tcPr>
            <w:tcW w:w="10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0.39</w:t>
            </w:r>
          </w:p>
        </w:tc>
        <w:tc>
          <w:tcPr>
            <w:tcW w:w="107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90</w:t>
            </w:r>
          </w:p>
        </w:tc>
        <w:tc>
          <w:tcPr>
            <w:tcW w:w="94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54.9</w:t>
            </w: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0.18</w:t>
            </w:r>
          </w:p>
        </w:tc>
        <w:tc>
          <w:tcPr>
            <w:tcW w:w="1163"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0.58</w:t>
            </w:r>
          </w:p>
        </w:tc>
      </w:tr>
      <w:tr>
        <w:tblPrEx>
          <w:tblCellMar>
            <w:top w:w="0" w:type="dxa"/>
            <w:left w:w="108" w:type="dxa"/>
            <w:bottom w:w="0" w:type="dxa"/>
            <w:right w:w="108" w:type="dxa"/>
          </w:tblCellMar>
        </w:tblPrEx>
        <w:trPr>
          <w:trHeight w:val="321" w:hRule="atLeast"/>
          <w:jc w:val="center"/>
        </w:trPr>
        <w:tc>
          <w:tcPr>
            <w:tcW w:w="8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16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  计</w:t>
            </w:r>
          </w:p>
        </w:tc>
        <w:tc>
          <w:tcPr>
            <w:tcW w:w="956"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221</w:t>
            </w:r>
          </w:p>
        </w:tc>
        <w:tc>
          <w:tcPr>
            <w:tcW w:w="100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243.8</w:t>
            </w:r>
          </w:p>
        </w:tc>
        <w:tc>
          <w:tcPr>
            <w:tcW w:w="10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1.97</w:t>
            </w:r>
          </w:p>
        </w:tc>
        <w:tc>
          <w:tcPr>
            <w:tcW w:w="107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90</w:t>
            </w:r>
          </w:p>
        </w:tc>
        <w:tc>
          <w:tcPr>
            <w:tcW w:w="94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128.7</w:t>
            </w: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0.42</w:t>
            </w:r>
          </w:p>
        </w:tc>
        <w:tc>
          <w:tcPr>
            <w:tcW w:w="1163"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2.39</w:t>
            </w:r>
          </w:p>
        </w:tc>
      </w:tr>
      <w:tr>
        <w:tblPrEx>
          <w:tblCellMar>
            <w:top w:w="0" w:type="dxa"/>
            <w:left w:w="108" w:type="dxa"/>
            <w:bottom w:w="0" w:type="dxa"/>
            <w:right w:w="108" w:type="dxa"/>
          </w:tblCellMar>
        </w:tblPrEx>
        <w:trPr>
          <w:trHeight w:val="321" w:hRule="atLeast"/>
          <w:jc w:val="center"/>
        </w:trPr>
        <w:tc>
          <w:tcPr>
            <w:tcW w:w="851"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2030年</w:t>
            </w:r>
          </w:p>
        </w:tc>
        <w:tc>
          <w:tcPr>
            <w:tcW w:w="671"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16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956"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215</w:t>
            </w:r>
          </w:p>
        </w:tc>
        <w:tc>
          <w:tcPr>
            <w:tcW w:w="100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78.7</w:t>
            </w:r>
          </w:p>
        </w:tc>
        <w:tc>
          <w:tcPr>
            <w:tcW w:w="10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0.62</w:t>
            </w:r>
          </w:p>
        </w:tc>
        <w:tc>
          <w:tcPr>
            <w:tcW w:w="107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100</w:t>
            </w:r>
          </w:p>
        </w:tc>
        <w:tc>
          <w:tcPr>
            <w:tcW w:w="94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45.1</w:t>
            </w: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0.16</w:t>
            </w:r>
          </w:p>
        </w:tc>
        <w:tc>
          <w:tcPr>
            <w:tcW w:w="1163"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0.78</w:t>
            </w:r>
          </w:p>
        </w:tc>
      </w:tr>
      <w:tr>
        <w:tblPrEx>
          <w:tblCellMar>
            <w:top w:w="0" w:type="dxa"/>
            <w:left w:w="108" w:type="dxa"/>
            <w:bottom w:w="0" w:type="dxa"/>
            <w:right w:w="108" w:type="dxa"/>
          </w:tblCellMar>
        </w:tblPrEx>
        <w:trPr>
          <w:trHeight w:val="321" w:hRule="atLeast"/>
          <w:jc w:val="center"/>
        </w:trPr>
        <w:tc>
          <w:tcPr>
            <w:tcW w:w="8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16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956"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236</w:t>
            </w:r>
          </w:p>
        </w:tc>
        <w:tc>
          <w:tcPr>
            <w:tcW w:w="100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223.2</w:t>
            </w:r>
          </w:p>
        </w:tc>
        <w:tc>
          <w:tcPr>
            <w:tcW w:w="10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1.92</w:t>
            </w:r>
          </w:p>
        </w:tc>
        <w:tc>
          <w:tcPr>
            <w:tcW w:w="107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100</w:t>
            </w:r>
          </w:p>
        </w:tc>
        <w:tc>
          <w:tcPr>
            <w:tcW w:w="94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55.8</w:t>
            </w: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0.20</w:t>
            </w:r>
          </w:p>
        </w:tc>
        <w:tc>
          <w:tcPr>
            <w:tcW w:w="1163"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2.12</w:t>
            </w:r>
          </w:p>
        </w:tc>
      </w:tr>
      <w:tr>
        <w:tblPrEx>
          <w:tblCellMar>
            <w:top w:w="0" w:type="dxa"/>
            <w:left w:w="108" w:type="dxa"/>
            <w:bottom w:w="0" w:type="dxa"/>
            <w:right w:w="108" w:type="dxa"/>
          </w:tblCellMar>
        </w:tblPrEx>
        <w:trPr>
          <w:trHeight w:val="321" w:hRule="atLeast"/>
          <w:jc w:val="center"/>
        </w:trPr>
        <w:tc>
          <w:tcPr>
            <w:tcW w:w="8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16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合计</w:t>
            </w:r>
          </w:p>
        </w:tc>
        <w:tc>
          <w:tcPr>
            <w:tcW w:w="956"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230</w:t>
            </w:r>
          </w:p>
        </w:tc>
        <w:tc>
          <w:tcPr>
            <w:tcW w:w="100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301.8</w:t>
            </w:r>
          </w:p>
        </w:tc>
        <w:tc>
          <w:tcPr>
            <w:tcW w:w="10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2.54</w:t>
            </w:r>
          </w:p>
        </w:tc>
        <w:tc>
          <w:tcPr>
            <w:tcW w:w="107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100</w:t>
            </w:r>
          </w:p>
        </w:tc>
        <w:tc>
          <w:tcPr>
            <w:tcW w:w="94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100.9</w:t>
            </w: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0.37</w:t>
            </w:r>
          </w:p>
        </w:tc>
        <w:tc>
          <w:tcPr>
            <w:tcW w:w="1163"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2.91</w:t>
            </w:r>
          </w:p>
        </w:tc>
      </w:tr>
      <w:tr>
        <w:tblPrEx>
          <w:tblCellMar>
            <w:top w:w="0" w:type="dxa"/>
            <w:left w:w="108" w:type="dxa"/>
            <w:bottom w:w="0" w:type="dxa"/>
            <w:right w:w="108" w:type="dxa"/>
          </w:tblCellMar>
        </w:tblPrEx>
        <w:trPr>
          <w:trHeight w:val="321" w:hRule="atLeast"/>
          <w:jc w:val="center"/>
        </w:trPr>
        <w:tc>
          <w:tcPr>
            <w:tcW w:w="8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1"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16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956"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245</w:t>
            </w:r>
          </w:p>
        </w:tc>
        <w:tc>
          <w:tcPr>
            <w:tcW w:w="100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150.0</w:t>
            </w:r>
          </w:p>
        </w:tc>
        <w:tc>
          <w:tcPr>
            <w:tcW w:w="10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1.34</w:t>
            </w:r>
          </w:p>
        </w:tc>
        <w:tc>
          <w:tcPr>
            <w:tcW w:w="107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100</w:t>
            </w:r>
          </w:p>
        </w:tc>
        <w:tc>
          <w:tcPr>
            <w:tcW w:w="94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7.9</w:t>
            </w: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0.03</w:t>
            </w:r>
          </w:p>
        </w:tc>
        <w:tc>
          <w:tcPr>
            <w:tcW w:w="1163"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1.37</w:t>
            </w:r>
          </w:p>
        </w:tc>
      </w:tr>
      <w:tr>
        <w:tblPrEx>
          <w:tblCellMar>
            <w:top w:w="0" w:type="dxa"/>
            <w:left w:w="108" w:type="dxa"/>
            <w:bottom w:w="0" w:type="dxa"/>
            <w:right w:w="108" w:type="dxa"/>
          </w:tblCellMar>
        </w:tblPrEx>
        <w:trPr>
          <w:trHeight w:val="321" w:hRule="atLeast"/>
          <w:jc w:val="center"/>
        </w:trPr>
        <w:tc>
          <w:tcPr>
            <w:tcW w:w="8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16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956"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215</w:t>
            </w:r>
          </w:p>
        </w:tc>
        <w:tc>
          <w:tcPr>
            <w:tcW w:w="100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34.4</w:t>
            </w:r>
          </w:p>
        </w:tc>
        <w:tc>
          <w:tcPr>
            <w:tcW w:w="10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0.27</w:t>
            </w:r>
          </w:p>
        </w:tc>
        <w:tc>
          <w:tcPr>
            <w:tcW w:w="107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100</w:t>
            </w:r>
          </w:p>
        </w:tc>
        <w:tc>
          <w:tcPr>
            <w:tcW w:w="94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14.8</w:t>
            </w: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0.05</w:t>
            </w:r>
          </w:p>
        </w:tc>
        <w:tc>
          <w:tcPr>
            <w:tcW w:w="1163"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0.32</w:t>
            </w:r>
          </w:p>
        </w:tc>
      </w:tr>
      <w:tr>
        <w:tblPrEx>
          <w:tblCellMar>
            <w:top w:w="0" w:type="dxa"/>
            <w:left w:w="108" w:type="dxa"/>
            <w:bottom w:w="0" w:type="dxa"/>
            <w:right w:w="108" w:type="dxa"/>
          </w:tblCellMar>
        </w:tblPrEx>
        <w:trPr>
          <w:trHeight w:val="608" w:hRule="atLeast"/>
          <w:jc w:val="center"/>
        </w:trPr>
        <w:tc>
          <w:tcPr>
            <w:tcW w:w="8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16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956"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215</w:t>
            </w:r>
          </w:p>
        </w:tc>
        <w:tc>
          <w:tcPr>
            <w:tcW w:w="100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49.7</w:t>
            </w:r>
          </w:p>
        </w:tc>
        <w:tc>
          <w:tcPr>
            <w:tcW w:w="10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0.39</w:t>
            </w:r>
          </w:p>
        </w:tc>
        <w:tc>
          <w:tcPr>
            <w:tcW w:w="107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100</w:t>
            </w:r>
          </w:p>
        </w:tc>
        <w:tc>
          <w:tcPr>
            <w:tcW w:w="94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33.1</w:t>
            </w: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0.12</w:t>
            </w:r>
          </w:p>
        </w:tc>
        <w:tc>
          <w:tcPr>
            <w:tcW w:w="1163"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0.51</w:t>
            </w:r>
          </w:p>
        </w:tc>
      </w:tr>
      <w:tr>
        <w:tblPrEx>
          <w:tblCellMar>
            <w:top w:w="0" w:type="dxa"/>
            <w:left w:w="108" w:type="dxa"/>
            <w:bottom w:w="0" w:type="dxa"/>
            <w:right w:w="108" w:type="dxa"/>
          </w:tblCellMar>
        </w:tblPrEx>
        <w:trPr>
          <w:trHeight w:val="321" w:hRule="atLeast"/>
          <w:jc w:val="center"/>
        </w:trPr>
        <w:tc>
          <w:tcPr>
            <w:tcW w:w="8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16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956"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217</w:t>
            </w:r>
          </w:p>
        </w:tc>
        <w:tc>
          <w:tcPr>
            <w:tcW w:w="100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67.6</w:t>
            </w:r>
          </w:p>
        </w:tc>
        <w:tc>
          <w:tcPr>
            <w:tcW w:w="10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0.54</w:t>
            </w:r>
          </w:p>
        </w:tc>
        <w:tc>
          <w:tcPr>
            <w:tcW w:w="107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100</w:t>
            </w:r>
          </w:p>
        </w:tc>
        <w:tc>
          <w:tcPr>
            <w:tcW w:w="94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45.1</w:t>
            </w: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0.16</w:t>
            </w:r>
          </w:p>
        </w:tc>
        <w:tc>
          <w:tcPr>
            <w:tcW w:w="1163"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0.70</w:t>
            </w:r>
          </w:p>
        </w:tc>
      </w:tr>
      <w:tr>
        <w:tblPrEx>
          <w:tblCellMar>
            <w:top w:w="0" w:type="dxa"/>
            <w:left w:w="108" w:type="dxa"/>
            <w:bottom w:w="0" w:type="dxa"/>
            <w:right w:w="108" w:type="dxa"/>
          </w:tblCellMar>
        </w:tblPrEx>
        <w:trPr>
          <w:trHeight w:val="354" w:hRule="atLeast"/>
          <w:jc w:val="center"/>
        </w:trPr>
        <w:tc>
          <w:tcPr>
            <w:tcW w:w="85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1"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166"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  计</w:t>
            </w:r>
          </w:p>
        </w:tc>
        <w:tc>
          <w:tcPr>
            <w:tcW w:w="956"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230</w:t>
            </w:r>
          </w:p>
        </w:tc>
        <w:tc>
          <w:tcPr>
            <w:tcW w:w="100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301.8</w:t>
            </w:r>
          </w:p>
        </w:tc>
        <w:tc>
          <w:tcPr>
            <w:tcW w:w="101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2.54</w:t>
            </w:r>
          </w:p>
        </w:tc>
        <w:tc>
          <w:tcPr>
            <w:tcW w:w="107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100</w:t>
            </w:r>
          </w:p>
        </w:tc>
        <w:tc>
          <w:tcPr>
            <w:tcW w:w="949"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100.9</w:t>
            </w: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0.37</w:t>
            </w:r>
          </w:p>
        </w:tc>
        <w:tc>
          <w:tcPr>
            <w:tcW w:w="1163"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2.91</w:t>
            </w:r>
          </w:p>
        </w:tc>
      </w:tr>
    </w:tbl>
    <w:p>
      <w:pPr>
        <w:adjustRightInd w:val="0"/>
        <w:snapToGrid w:val="0"/>
        <w:spacing w:line="520" w:lineRule="exact"/>
        <w:jc w:val="center"/>
        <w:rPr>
          <w:b/>
          <w:bCs/>
          <w:sz w:val="24"/>
        </w:rPr>
      </w:pPr>
    </w:p>
    <w:p>
      <w:pPr>
        <w:adjustRightInd w:val="0"/>
        <w:snapToGrid w:val="0"/>
        <w:spacing w:line="520" w:lineRule="exact"/>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表4.3-5  规划水平年淮南市一般工业需水量预测表</w:t>
      </w:r>
    </w:p>
    <w:tbl>
      <w:tblPr>
        <w:tblStyle w:val="12"/>
        <w:tblW w:w="0" w:type="auto"/>
        <w:jc w:val="center"/>
        <w:tblLayout w:type="fixed"/>
        <w:tblCellMar>
          <w:top w:w="0" w:type="dxa"/>
          <w:left w:w="108" w:type="dxa"/>
          <w:bottom w:w="0" w:type="dxa"/>
          <w:right w:w="108" w:type="dxa"/>
        </w:tblCellMar>
      </w:tblPr>
      <w:tblGrid>
        <w:gridCol w:w="1069"/>
        <w:gridCol w:w="1069"/>
        <w:gridCol w:w="1704"/>
        <w:gridCol w:w="1965"/>
        <w:gridCol w:w="1699"/>
        <w:gridCol w:w="1274"/>
      </w:tblGrid>
      <w:tr>
        <w:tblPrEx>
          <w:tblCellMar>
            <w:top w:w="0" w:type="dxa"/>
            <w:left w:w="108" w:type="dxa"/>
            <w:bottom w:w="0" w:type="dxa"/>
            <w:right w:w="108" w:type="dxa"/>
          </w:tblCellMar>
        </w:tblPrEx>
        <w:trPr>
          <w:trHeight w:val="90" w:hRule="atLeast"/>
          <w:jc w:val="center"/>
        </w:trPr>
        <w:tc>
          <w:tcPr>
            <w:tcW w:w="106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水平年</w:t>
            </w:r>
          </w:p>
        </w:tc>
        <w:tc>
          <w:tcPr>
            <w:tcW w:w="2773"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计算分区</w:t>
            </w:r>
          </w:p>
        </w:tc>
        <w:tc>
          <w:tcPr>
            <w:tcW w:w="196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一般工业增加值</w:t>
            </w:r>
          </w:p>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（亿元）</w:t>
            </w:r>
          </w:p>
        </w:tc>
        <w:tc>
          <w:tcPr>
            <w:tcW w:w="169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定额</w:t>
            </w:r>
          </w:p>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（m³/万元）</w:t>
            </w:r>
          </w:p>
        </w:tc>
        <w:tc>
          <w:tcPr>
            <w:tcW w:w="127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水量</w:t>
            </w:r>
          </w:p>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（亿</w:t>
            </w:r>
            <w:r>
              <w:rPr>
                <w:rFonts w:hint="default" w:ascii="Times New Roman" w:hAnsi="Times New Roman" w:eastAsia="方正仿宋_GBK" w:cs="Times New Roman"/>
                <w:kern w:val="0"/>
                <w:szCs w:val="21"/>
                <w:lang w:eastAsia="zh-CN"/>
              </w:rPr>
              <w:t>m³</w:t>
            </w:r>
            <w:r>
              <w:rPr>
                <w:rFonts w:hint="default" w:ascii="Times New Roman" w:hAnsi="Times New Roman" w:eastAsia="方正仿宋_GBK" w:cs="Times New Roman"/>
                <w:kern w:val="0"/>
                <w:szCs w:val="21"/>
              </w:rPr>
              <w:t>）</w:t>
            </w:r>
          </w:p>
        </w:tc>
      </w:tr>
      <w:tr>
        <w:tblPrEx>
          <w:tblCellMar>
            <w:top w:w="0" w:type="dxa"/>
            <w:left w:w="108" w:type="dxa"/>
            <w:bottom w:w="0" w:type="dxa"/>
            <w:right w:w="108" w:type="dxa"/>
          </w:tblCellMar>
        </w:tblPrEx>
        <w:trPr>
          <w:trHeight w:val="90" w:hRule="atLeast"/>
          <w:jc w:val="center"/>
        </w:trPr>
        <w:tc>
          <w:tcPr>
            <w:tcW w:w="1069"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2015年</w:t>
            </w:r>
          </w:p>
        </w:tc>
        <w:tc>
          <w:tcPr>
            <w:tcW w:w="1069"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965"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32</w:t>
            </w:r>
          </w:p>
        </w:tc>
        <w:tc>
          <w:tcPr>
            <w:tcW w:w="169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65</w:t>
            </w:r>
          </w:p>
        </w:tc>
        <w:tc>
          <w:tcPr>
            <w:tcW w:w="127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0.21</w:t>
            </w:r>
          </w:p>
        </w:tc>
      </w:tr>
      <w:tr>
        <w:tblPrEx>
          <w:tblCellMar>
            <w:top w:w="0" w:type="dxa"/>
            <w:left w:w="108" w:type="dxa"/>
            <w:bottom w:w="0" w:type="dxa"/>
            <w:right w:w="108" w:type="dxa"/>
          </w:tblCellMar>
        </w:tblPrEx>
        <w:trPr>
          <w:trHeight w:val="90" w:hRule="atLeas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965"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82</w:t>
            </w:r>
          </w:p>
        </w:tc>
        <w:tc>
          <w:tcPr>
            <w:tcW w:w="169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56</w:t>
            </w:r>
          </w:p>
        </w:tc>
        <w:tc>
          <w:tcPr>
            <w:tcW w:w="127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0.46</w:t>
            </w:r>
          </w:p>
        </w:tc>
      </w:tr>
      <w:tr>
        <w:tblPrEx>
          <w:tblCellMar>
            <w:top w:w="0" w:type="dxa"/>
            <w:left w:w="108" w:type="dxa"/>
            <w:bottom w:w="0" w:type="dxa"/>
            <w:right w:w="108" w:type="dxa"/>
          </w:tblCellMar>
        </w:tblPrEx>
        <w:trPr>
          <w:trHeight w:val="90" w:hRule="atLeas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1965"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114</w:t>
            </w:r>
          </w:p>
        </w:tc>
        <w:tc>
          <w:tcPr>
            <w:tcW w:w="169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59</w:t>
            </w:r>
          </w:p>
        </w:tc>
        <w:tc>
          <w:tcPr>
            <w:tcW w:w="127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0.67</w:t>
            </w:r>
          </w:p>
        </w:tc>
      </w:tr>
      <w:tr>
        <w:tblPrEx>
          <w:tblCellMar>
            <w:top w:w="0" w:type="dxa"/>
            <w:left w:w="108" w:type="dxa"/>
            <w:bottom w:w="0" w:type="dxa"/>
            <w:right w:w="108" w:type="dxa"/>
          </w:tblCellMar>
        </w:tblPrEx>
        <w:trPr>
          <w:trHeight w:val="90" w:hRule="atLeas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69"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965"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54</w:t>
            </w:r>
          </w:p>
        </w:tc>
        <w:tc>
          <w:tcPr>
            <w:tcW w:w="169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51</w:t>
            </w:r>
          </w:p>
        </w:tc>
        <w:tc>
          <w:tcPr>
            <w:tcW w:w="127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0.28</w:t>
            </w:r>
          </w:p>
        </w:tc>
      </w:tr>
      <w:tr>
        <w:tblPrEx>
          <w:tblCellMar>
            <w:top w:w="0" w:type="dxa"/>
            <w:left w:w="108" w:type="dxa"/>
            <w:bottom w:w="0" w:type="dxa"/>
            <w:right w:w="108" w:type="dxa"/>
          </w:tblCellMar>
        </w:tblPrEx>
        <w:trPr>
          <w:trHeight w:val="90" w:hRule="atLeas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965"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28</w:t>
            </w:r>
          </w:p>
        </w:tc>
        <w:tc>
          <w:tcPr>
            <w:tcW w:w="169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65</w:t>
            </w:r>
          </w:p>
        </w:tc>
        <w:tc>
          <w:tcPr>
            <w:tcW w:w="127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0.18</w:t>
            </w:r>
          </w:p>
        </w:tc>
      </w:tr>
      <w:tr>
        <w:tblPrEx>
          <w:tblCellMar>
            <w:top w:w="0" w:type="dxa"/>
            <w:left w:w="108" w:type="dxa"/>
            <w:bottom w:w="0" w:type="dxa"/>
            <w:right w:w="108" w:type="dxa"/>
          </w:tblCellMar>
        </w:tblPrEx>
        <w:trPr>
          <w:trHeight w:val="90" w:hRule="atLeas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965"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w:t>
            </w:r>
          </w:p>
        </w:tc>
        <w:tc>
          <w:tcPr>
            <w:tcW w:w="169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65</w:t>
            </w:r>
          </w:p>
        </w:tc>
        <w:tc>
          <w:tcPr>
            <w:tcW w:w="127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0.03</w:t>
            </w:r>
          </w:p>
        </w:tc>
      </w:tr>
      <w:tr>
        <w:tblPrEx>
          <w:tblCellMar>
            <w:top w:w="0" w:type="dxa"/>
            <w:left w:w="108" w:type="dxa"/>
            <w:bottom w:w="0" w:type="dxa"/>
            <w:right w:w="108" w:type="dxa"/>
          </w:tblCellMar>
        </w:tblPrEx>
        <w:trPr>
          <w:trHeight w:val="90" w:hRule="atLeas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965"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28</w:t>
            </w:r>
          </w:p>
        </w:tc>
        <w:tc>
          <w:tcPr>
            <w:tcW w:w="169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66</w:t>
            </w:r>
          </w:p>
        </w:tc>
        <w:tc>
          <w:tcPr>
            <w:tcW w:w="127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0.18</w:t>
            </w:r>
          </w:p>
        </w:tc>
      </w:tr>
      <w:tr>
        <w:tblPrEx>
          <w:tblCellMar>
            <w:top w:w="0" w:type="dxa"/>
            <w:left w:w="108" w:type="dxa"/>
            <w:bottom w:w="0" w:type="dxa"/>
            <w:right w:w="108" w:type="dxa"/>
          </w:tblCellMar>
        </w:tblPrEx>
        <w:trPr>
          <w:trHeight w:val="90" w:hRule="atLeas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965"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114</w:t>
            </w:r>
          </w:p>
        </w:tc>
        <w:tc>
          <w:tcPr>
            <w:tcW w:w="169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59</w:t>
            </w:r>
          </w:p>
        </w:tc>
        <w:tc>
          <w:tcPr>
            <w:tcW w:w="127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0.67</w:t>
            </w:r>
          </w:p>
        </w:tc>
      </w:tr>
      <w:tr>
        <w:tblPrEx>
          <w:tblCellMar>
            <w:top w:w="0" w:type="dxa"/>
            <w:left w:w="108" w:type="dxa"/>
            <w:bottom w:w="0" w:type="dxa"/>
            <w:right w:w="108" w:type="dxa"/>
          </w:tblCellMar>
        </w:tblPrEx>
        <w:trPr>
          <w:trHeight w:val="90" w:hRule="atLeast"/>
          <w:jc w:val="center"/>
        </w:trPr>
        <w:tc>
          <w:tcPr>
            <w:tcW w:w="1069"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2020年</w:t>
            </w:r>
          </w:p>
        </w:tc>
        <w:tc>
          <w:tcPr>
            <w:tcW w:w="1069"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965"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165</w:t>
            </w:r>
          </w:p>
        </w:tc>
        <w:tc>
          <w:tcPr>
            <w:tcW w:w="169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41</w:t>
            </w:r>
          </w:p>
        </w:tc>
        <w:tc>
          <w:tcPr>
            <w:tcW w:w="127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0.68</w:t>
            </w:r>
          </w:p>
        </w:tc>
      </w:tr>
      <w:tr>
        <w:tblPrEx>
          <w:tblCellMar>
            <w:top w:w="0" w:type="dxa"/>
            <w:left w:w="108" w:type="dxa"/>
            <w:bottom w:w="0" w:type="dxa"/>
            <w:right w:w="108" w:type="dxa"/>
          </w:tblCellMar>
        </w:tblPrEx>
        <w:trPr>
          <w:trHeight w:val="90" w:hRule="atLeas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965"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215</w:t>
            </w:r>
          </w:p>
        </w:tc>
        <w:tc>
          <w:tcPr>
            <w:tcW w:w="169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37</w:t>
            </w:r>
          </w:p>
        </w:tc>
        <w:tc>
          <w:tcPr>
            <w:tcW w:w="127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0.81</w:t>
            </w:r>
          </w:p>
        </w:tc>
      </w:tr>
      <w:tr>
        <w:tblPrEx>
          <w:tblCellMar>
            <w:top w:w="0" w:type="dxa"/>
            <w:left w:w="108" w:type="dxa"/>
            <w:bottom w:w="0" w:type="dxa"/>
            <w:right w:w="108" w:type="dxa"/>
          </w:tblCellMar>
        </w:tblPrEx>
        <w:trPr>
          <w:trHeight w:val="90" w:hRule="atLeas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1965"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380</w:t>
            </w:r>
          </w:p>
        </w:tc>
        <w:tc>
          <w:tcPr>
            <w:tcW w:w="169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39</w:t>
            </w:r>
          </w:p>
        </w:tc>
        <w:tc>
          <w:tcPr>
            <w:tcW w:w="127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1.48</w:t>
            </w:r>
          </w:p>
        </w:tc>
      </w:tr>
      <w:tr>
        <w:tblPrEx>
          <w:tblCellMar>
            <w:top w:w="0" w:type="dxa"/>
            <w:left w:w="108" w:type="dxa"/>
            <w:bottom w:w="0" w:type="dxa"/>
            <w:right w:w="108" w:type="dxa"/>
          </w:tblCellMar>
        </w:tblPrEx>
        <w:trPr>
          <w:trHeight w:val="90" w:hRule="atLeas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69"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965"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165</w:t>
            </w:r>
          </w:p>
        </w:tc>
        <w:tc>
          <w:tcPr>
            <w:tcW w:w="169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36</w:t>
            </w:r>
          </w:p>
        </w:tc>
        <w:tc>
          <w:tcPr>
            <w:tcW w:w="127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0.60</w:t>
            </w:r>
          </w:p>
        </w:tc>
      </w:tr>
      <w:tr>
        <w:tblPrEx>
          <w:tblCellMar>
            <w:top w:w="0" w:type="dxa"/>
            <w:left w:w="108" w:type="dxa"/>
            <w:bottom w:w="0" w:type="dxa"/>
            <w:right w:w="108" w:type="dxa"/>
          </w:tblCellMar>
        </w:tblPrEx>
        <w:trPr>
          <w:trHeight w:val="90" w:hRule="atLeas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965"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85</w:t>
            </w:r>
          </w:p>
        </w:tc>
        <w:tc>
          <w:tcPr>
            <w:tcW w:w="169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41</w:t>
            </w:r>
          </w:p>
        </w:tc>
        <w:tc>
          <w:tcPr>
            <w:tcW w:w="127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0.35</w:t>
            </w:r>
          </w:p>
        </w:tc>
      </w:tr>
      <w:tr>
        <w:tblPrEx>
          <w:tblCellMar>
            <w:top w:w="0" w:type="dxa"/>
            <w:left w:w="108" w:type="dxa"/>
            <w:bottom w:w="0" w:type="dxa"/>
            <w:right w:w="108" w:type="dxa"/>
          </w:tblCellMar>
        </w:tblPrEx>
        <w:trPr>
          <w:trHeight w:val="90" w:hRule="atLeas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965"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80</w:t>
            </w:r>
          </w:p>
        </w:tc>
        <w:tc>
          <w:tcPr>
            <w:tcW w:w="169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41</w:t>
            </w:r>
          </w:p>
        </w:tc>
        <w:tc>
          <w:tcPr>
            <w:tcW w:w="127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0.33</w:t>
            </w:r>
          </w:p>
        </w:tc>
      </w:tr>
      <w:tr>
        <w:tblPrEx>
          <w:tblCellMar>
            <w:top w:w="0" w:type="dxa"/>
            <w:left w:w="108" w:type="dxa"/>
            <w:bottom w:w="0" w:type="dxa"/>
            <w:right w:w="108" w:type="dxa"/>
          </w:tblCellMar>
        </w:tblPrEx>
        <w:trPr>
          <w:trHeight w:val="90" w:hRule="atLeas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965"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50</w:t>
            </w:r>
          </w:p>
        </w:tc>
        <w:tc>
          <w:tcPr>
            <w:tcW w:w="169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42</w:t>
            </w:r>
          </w:p>
        </w:tc>
        <w:tc>
          <w:tcPr>
            <w:tcW w:w="127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0.21</w:t>
            </w:r>
          </w:p>
        </w:tc>
      </w:tr>
      <w:tr>
        <w:tblPrEx>
          <w:tblCellMar>
            <w:top w:w="0" w:type="dxa"/>
            <w:left w:w="108" w:type="dxa"/>
            <w:bottom w:w="0" w:type="dxa"/>
            <w:right w:w="108" w:type="dxa"/>
          </w:tblCellMar>
        </w:tblPrEx>
        <w:trPr>
          <w:trHeight w:val="90" w:hRule="atLeas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965"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380</w:t>
            </w:r>
          </w:p>
        </w:tc>
        <w:tc>
          <w:tcPr>
            <w:tcW w:w="169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39</w:t>
            </w:r>
          </w:p>
        </w:tc>
        <w:tc>
          <w:tcPr>
            <w:tcW w:w="127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1.48</w:t>
            </w:r>
          </w:p>
        </w:tc>
      </w:tr>
      <w:tr>
        <w:tblPrEx>
          <w:tblCellMar>
            <w:top w:w="0" w:type="dxa"/>
            <w:left w:w="108" w:type="dxa"/>
            <w:bottom w:w="0" w:type="dxa"/>
            <w:right w:w="108" w:type="dxa"/>
          </w:tblCellMar>
        </w:tblPrEx>
        <w:trPr>
          <w:trHeight w:val="90" w:hRule="atLeast"/>
          <w:jc w:val="center"/>
        </w:trPr>
        <w:tc>
          <w:tcPr>
            <w:tcW w:w="1069"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2030年</w:t>
            </w:r>
          </w:p>
        </w:tc>
        <w:tc>
          <w:tcPr>
            <w:tcW w:w="1069"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965"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363</w:t>
            </w:r>
          </w:p>
        </w:tc>
        <w:tc>
          <w:tcPr>
            <w:tcW w:w="169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21</w:t>
            </w:r>
          </w:p>
        </w:tc>
        <w:tc>
          <w:tcPr>
            <w:tcW w:w="127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0.76</w:t>
            </w:r>
          </w:p>
        </w:tc>
      </w:tr>
      <w:tr>
        <w:tblPrEx>
          <w:tblCellMar>
            <w:top w:w="0" w:type="dxa"/>
            <w:left w:w="108" w:type="dxa"/>
            <w:bottom w:w="0" w:type="dxa"/>
            <w:right w:w="108" w:type="dxa"/>
          </w:tblCellMar>
        </w:tblPrEx>
        <w:trPr>
          <w:trHeight w:val="90" w:hRule="atLeas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965"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416</w:t>
            </w:r>
          </w:p>
        </w:tc>
        <w:tc>
          <w:tcPr>
            <w:tcW w:w="169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20</w:t>
            </w:r>
          </w:p>
        </w:tc>
        <w:tc>
          <w:tcPr>
            <w:tcW w:w="127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0.82</w:t>
            </w:r>
          </w:p>
        </w:tc>
      </w:tr>
      <w:tr>
        <w:tblPrEx>
          <w:tblCellMar>
            <w:top w:w="0" w:type="dxa"/>
            <w:left w:w="108" w:type="dxa"/>
            <w:bottom w:w="0" w:type="dxa"/>
            <w:right w:w="108" w:type="dxa"/>
          </w:tblCellMar>
        </w:tblPrEx>
        <w:trPr>
          <w:trHeight w:val="90" w:hRule="atLeas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1965"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780</w:t>
            </w:r>
          </w:p>
        </w:tc>
        <w:tc>
          <w:tcPr>
            <w:tcW w:w="169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20</w:t>
            </w:r>
          </w:p>
        </w:tc>
        <w:tc>
          <w:tcPr>
            <w:tcW w:w="127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1.58</w:t>
            </w:r>
          </w:p>
        </w:tc>
      </w:tr>
      <w:tr>
        <w:tblPrEx>
          <w:tblCellMar>
            <w:top w:w="0" w:type="dxa"/>
            <w:left w:w="108" w:type="dxa"/>
            <w:bottom w:w="0" w:type="dxa"/>
            <w:right w:w="108" w:type="dxa"/>
          </w:tblCellMar>
        </w:tblPrEx>
        <w:trPr>
          <w:trHeight w:val="90" w:hRule="atLeas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69"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965"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326</w:t>
            </w:r>
          </w:p>
        </w:tc>
        <w:tc>
          <w:tcPr>
            <w:tcW w:w="169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19</w:t>
            </w:r>
          </w:p>
        </w:tc>
        <w:tc>
          <w:tcPr>
            <w:tcW w:w="127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0.61</w:t>
            </w:r>
          </w:p>
        </w:tc>
      </w:tr>
      <w:tr>
        <w:tblPrEx>
          <w:tblCellMar>
            <w:top w:w="0" w:type="dxa"/>
            <w:left w:w="108" w:type="dxa"/>
            <w:bottom w:w="0" w:type="dxa"/>
            <w:right w:w="108" w:type="dxa"/>
          </w:tblCellMar>
        </w:tblPrEx>
        <w:trPr>
          <w:trHeight w:val="90" w:hRule="atLeas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965"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156</w:t>
            </w:r>
          </w:p>
        </w:tc>
        <w:tc>
          <w:tcPr>
            <w:tcW w:w="169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21</w:t>
            </w:r>
          </w:p>
        </w:tc>
        <w:tc>
          <w:tcPr>
            <w:tcW w:w="127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0.33</w:t>
            </w:r>
          </w:p>
        </w:tc>
      </w:tr>
      <w:tr>
        <w:tblPrEx>
          <w:tblCellMar>
            <w:top w:w="0" w:type="dxa"/>
            <w:left w:w="108" w:type="dxa"/>
            <w:bottom w:w="0" w:type="dxa"/>
            <w:right w:w="108" w:type="dxa"/>
          </w:tblCellMar>
        </w:tblPrEx>
        <w:trPr>
          <w:trHeight w:val="90" w:hRule="atLeas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965"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208</w:t>
            </w:r>
          </w:p>
        </w:tc>
        <w:tc>
          <w:tcPr>
            <w:tcW w:w="169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21</w:t>
            </w:r>
          </w:p>
        </w:tc>
        <w:tc>
          <w:tcPr>
            <w:tcW w:w="127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0.43</w:t>
            </w:r>
          </w:p>
        </w:tc>
      </w:tr>
      <w:tr>
        <w:tblPrEx>
          <w:tblCellMar>
            <w:top w:w="0" w:type="dxa"/>
            <w:left w:w="108" w:type="dxa"/>
            <w:bottom w:w="0" w:type="dxa"/>
            <w:right w:w="108" w:type="dxa"/>
          </w:tblCellMar>
        </w:tblPrEx>
        <w:trPr>
          <w:trHeight w:val="90" w:hRule="atLeas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965"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90</w:t>
            </w:r>
          </w:p>
        </w:tc>
        <w:tc>
          <w:tcPr>
            <w:tcW w:w="169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23</w:t>
            </w:r>
          </w:p>
        </w:tc>
        <w:tc>
          <w:tcPr>
            <w:tcW w:w="127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0.21</w:t>
            </w:r>
          </w:p>
        </w:tc>
      </w:tr>
      <w:tr>
        <w:tblPrEx>
          <w:tblCellMar>
            <w:top w:w="0" w:type="dxa"/>
            <w:left w:w="108" w:type="dxa"/>
            <w:bottom w:w="0" w:type="dxa"/>
            <w:right w:w="108" w:type="dxa"/>
          </w:tblCellMar>
        </w:tblPrEx>
        <w:trPr>
          <w:trHeight w:val="90" w:hRule="atLeas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965"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780</w:t>
            </w:r>
          </w:p>
        </w:tc>
        <w:tc>
          <w:tcPr>
            <w:tcW w:w="169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20</w:t>
            </w:r>
          </w:p>
        </w:tc>
        <w:tc>
          <w:tcPr>
            <w:tcW w:w="127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1.58</w:t>
            </w:r>
          </w:p>
        </w:tc>
      </w:tr>
    </w:tbl>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（2）煤炭工业需水预测</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24"/>
        </w:rPr>
      </w:pPr>
      <w:r>
        <w:rPr>
          <w:rFonts w:hint="default" w:ascii="Times New Roman" w:hAnsi="Times New Roman" w:eastAsia="方正仿宋_GBK" w:cs="Times New Roman"/>
          <w:sz w:val="32"/>
          <w:szCs w:val="32"/>
        </w:rPr>
        <w:t>淮南市2015年煤炭工业用水量为0.43亿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，其中原煤开采0.41亿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，洗煤0.02亿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；规划至2020年煤炭工业用水量为0.45亿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，其中原煤开采0.42亿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，洗煤0.03亿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；规划至2030年煤炭工业用水量为0.46亿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，其中原煤开采0.43亿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，洗煤0.03亿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。详见表4.3-6。</w:t>
      </w:r>
    </w:p>
    <w:p>
      <w:pPr>
        <w:adjustRightInd w:val="0"/>
        <w:snapToGrid w:val="0"/>
        <w:spacing w:line="520" w:lineRule="exact"/>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表4.3-6 规划水平年淮南市煤炭工业需水量预测表</w:t>
      </w:r>
    </w:p>
    <w:tbl>
      <w:tblPr>
        <w:tblStyle w:val="12"/>
        <w:tblW w:w="0" w:type="auto"/>
        <w:jc w:val="center"/>
        <w:tblLayout w:type="fixed"/>
        <w:tblCellMar>
          <w:top w:w="0" w:type="dxa"/>
          <w:left w:w="108" w:type="dxa"/>
          <w:bottom w:w="0" w:type="dxa"/>
          <w:right w:w="108" w:type="dxa"/>
        </w:tblCellMar>
      </w:tblPr>
      <w:tblGrid>
        <w:gridCol w:w="725"/>
        <w:gridCol w:w="676"/>
        <w:gridCol w:w="1506"/>
        <w:gridCol w:w="779"/>
        <w:gridCol w:w="812"/>
        <w:gridCol w:w="750"/>
        <w:gridCol w:w="829"/>
        <w:gridCol w:w="870"/>
        <w:gridCol w:w="888"/>
        <w:gridCol w:w="1085"/>
      </w:tblGrid>
      <w:tr>
        <w:tblPrEx>
          <w:tblCellMar>
            <w:top w:w="0" w:type="dxa"/>
            <w:left w:w="108" w:type="dxa"/>
            <w:bottom w:w="0" w:type="dxa"/>
            <w:right w:w="108" w:type="dxa"/>
          </w:tblCellMar>
        </w:tblPrEx>
        <w:trPr>
          <w:trHeight w:val="326" w:hRule="atLeast"/>
          <w:jc w:val="center"/>
        </w:trPr>
        <w:tc>
          <w:tcPr>
            <w:tcW w:w="72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水平年</w:t>
            </w:r>
          </w:p>
        </w:tc>
        <w:tc>
          <w:tcPr>
            <w:tcW w:w="2182"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计算分区</w:t>
            </w:r>
          </w:p>
        </w:tc>
        <w:tc>
          <w:tcPr>
            <w:tcW w:w="1591" w:type="dxa"/>
            <w:gridSpan w:val="2"/>
            <w:tcBorders>
              <w:top w:val="single" w:color="auto" w:sz="4" w:space="0"/>
              <w:left w:val="nil"/>
              <w:bottom w:val="single" w:color="auto" w:sz="4" w:space="0"/>
              <w:right w:val="single" w:color="auto" w:sz="4" w:space="0"/>
            </w:tcBorders>
            <w:noWrap w:val="0"/>
            <w:vAlign w:val="bottom"/>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产量（万吨）</w:t>
            </w:r>
          </w:p>
        </w:tc>
        <w:tc>
          <w:tcPr>
            <w:tcW w:w="1579" w:type="dxa"/>
            <w:gridSpan w:val="2"/>
            <w:tcBorders>
              <w:top w:val="single" w:color="auto" w:sz="4" w:space="0"/>
              <w:left w:val="nil"/>
              <w:bottom w:val="single" w:color="auto" w:sz="4" w:space="0"/>
              <w:right w:val="single" w:color="auto" w:sz="4" w:space="0"/>
            </w:tcBorders>
            <w:noWrap w:val="0"/>
            <w:vAlign w:val="bottom"/>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定额（</w:t>
            </w:r>
            <w:r>
              <w:rPr>
                <w:rFonts w:hint="default" w:ascii="Times New Roman" w:hAnsi="Times New Roman" w:eastAsia="方正仿宋_GBK" w:cs="Times New Roman"/>
                <w:kern w:val="0"/>
                <w:szCs w:val="21"/>
                <w:lang w:eastAsia="zh-CN"/>
              </w:rPr>
              <w:t>m³</w:t>
            </w:r>
            <w:r>
              <w:rPr>
                <w:rFonts w:hint="default" w:ascii="Times New Roman" w:hAnsi="Times New Roman" w:eastAsia="方正仿宋_GBK" w:cs="Times New Roman"/>
                <w:kern w:val="0"/>
                <w:szCs w:val="21"/>
              </w:rPr>
              <w:t>/t)</w:t>
            </w:r>
          </w:p>
        </w:tc>
        <w:tc>
          <w:tcPr>
            <w:tcW w:w="2843" w:type="dxa"/>
            <w:gridSpan w:val="3"/>
            <w:tcBorders>
              <w:top w:val="single" w:color="auto" w:sz="4" w:space="0"/>
              <w:left w:val="nil"/>
              <w:bottom w:val="single" w:color="auto" w:sz="4" w:space="0"/>
              <w:right w:val="single" w:color="auto" w:sz="4" w:space="0"/>
            </w:tcBorders>
            <w:noWrap w:val="0"/>
            <w:vAlign w:val="bottom"/>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煤炭用水量（亿</w:t>
            </w:r>
            <w:r>
              <w:rPr>
                <w:rFonts w:hint="default" w:ascii="Times New Roman" w:hAnsi="Times New Roman" w:eastAsia="方正仿宋_GBK" w:cs="Times New Roman"/>
                <w:kern w:val="0"/>
                <w:szCs w:val="21"/>
                <w:lang w:eastAsia="zh-CN"/>
              </w:rPr>
              <w:t>m³</w:t>
            </w:r>
            <w:r>
              <w:rPr>
                <w:rFonts w:hint="default" w:ascii="Times New Roman" w:hAnsi="Times New Roman" w:eastAsia="方正仿宋_GBK" w:cs="Times New Roman"/>
                <w:kern w:val="0"/>
                <w:szCs w:val="21"/>
              </w:rPr>
              <w:t>）</w:t>
            </w:r>
          </w:p>
        </w:tc>
      </w:tr>
      <w:tr>
        <w:tblPrEx>
          <w:tblCellMar>
            <w:top w:w="0" w:type="dxa"/>
            <w:left w:w="108" w:type="dxa"/>
            <w:bottom w:w="0" w:type="dxa"/>
            <w:right w:w="108" w:type="dxa"/>
          </w:tblCellMar>
        </w:tblPrEx>
        <w:trPr>
          <w:trHeight w:val="326" w:hRule="atLeast"/>
          <w:jc w:val="center"/>
        </w:trPr>
        <w:tc>
          <w:tcPr>
            <w:tcW w:w="72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21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779"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原煤</w:t>
            </w:r>
          </w:p>
        </w:tc>
        <w:tc>
          <w:tcPr>
            <w:tcW w:w="812"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洗煤</w:t>
            </w:r>
          </w:p>
        </w:tc>
        <w:tc>
          <w:tcPr>
            <w:tcW w:w="75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原煤</w:t>
            </w:r>
          </w:p>
        </w:tc>
        <w:tc>
          <w:tcPr>
            <w:tcW w:w="829"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洗煤</w:t>
            </w:r>
          </w:p>
        </w:tc>
        <w:tc>
          <w:tcPr>
            <w:tcW w:w="87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原煤</w:t>
            </w:r>
          </w:p>
        </w:tc>
        <w:tc>
          <w:tcPr>
            <w:tcW w:w="888"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洗煤</w:t>
            </w:r>
          </w:p>
        </w:tc>
        <w:tc>
          <w:tcPr>
            <w:tcW w:w="1085"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合计</w:t>
            </w:r>
          </w:p>
        </w:tc>
      </w:tr>
      <w:tr>
        <w:tblPrEx>
          <w:tblCellMar>
            <w:top w:w="0" w:type="dxa"/>
            <w:left w:w="108" w:type="dxa"/>
            <w:bottom w:w="0" w:type="dxa"/>
            <w:right w:w="108" w:type="dxa"/>
          </w:tblCellMar>
        </w:tblPrEx>
        <w:trPr>
          <w:trHeight w:val="355" w:hRule="atLeast"/>
          <w:jc w:val="center"/>
        </w:trPr>
        <w:tc>
          <w:tcPr>
            <w:tcW w:w="725"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2015年</w:t>
            </w:r>
          </w:p>
        </w:tc>
        <w:tc>
          <w:tcPr>
            <w:tcW w:w="676"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5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77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5562</w:t>
            </w:r>
          </w:p>
        </w:tc>
        <w:tc>
          <w:tcPr>
            <w:tcW w:w="81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342</w:t>
            </w:r>
          </w:p>
        </w:tc>
        <w:tc>
          <w:tcPr>
            <w:tcW w:w="7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0.50</w:t>
            </w:r>
          </w:p>
        </w:tc>
        <w:tc>
          <w:tcPr>
            <w:tcW w:w="82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0.20</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0.28</w:t>
            </w:r>
          </w:p>
        </w:tc>
        <w:tc>
          <w:tcPr>
            <w:tcW w:w="88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0.01</w:t>
            </w:r>
          </w:p>
        </w:tc>
        <w:tc>
          <w:tcPr>
            <w:tcW w:w="10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0.28</w:t>
            </w:r>
          </w:p>
        </w:tc>
      </w:tr>
      <w:tr>
        <w:tblPrEx>
          <w:tblCellMar>
            <w:top w:w="0" w:type="dxa"/>
            <w:left w:w="108" w:type="dxa"/>
            <w:bottom w:w="0" w:type="dxa"/>
            <w:right w:w="108" w:type="dxa"/>
          </w:tblCellMar>
        </w:tblPrEx>
        <w:trPr>
          <w:trHeight w:val="355" w:hRule="atLeast"/>
          <w:jc w:val="center"/>
        </w:trPr>
        <w:tc>
          <w:tcPr>
            <w:tcW w:w="72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67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5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77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2636</w:t>
            </w:r>
          </w:p>
        </w:tc>
        <w:tc>
          <w:tcPr>
            <w:tcW w:w="81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788</w:t>
            </w:r>
          </w:p>
        </w:tc>
        <w:tc>
          <w:tcPr>
            <w:tcW w:w="7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0.50</w:t>
            </w:r>
          </w:p>
        </w:tc>
        <w:tc>
          <w:tcPr>
            <w:tcW w:w="82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0.20</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0.13</w:t>
            </w:r>
          </w:p>
        </w:tc>
        <w:tc>
          <w:tcPr>
            <w:tcW w:w="88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0.02</w:t>
            </w:r>
          </w:p>
        </w:tc>
        <w:tc>
          <w:tcPr>
            <w:tcW w:w="10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0.15</w:t>
            </w:r>
          </w:p>
        </w:tc>
      </w:tr>
      <w:tr>
        <w:tblPrEx>
          <w:tblCellMar>
            <w:top w:w="0" w:type="dxa"/>
            <w:left w:w="108" w:type="dxa"/>
            <w:bottom w:w="0" w:type="dxa"/>
            <w:right w:w="108" w:type="dxa"/>
          </w:tblCellMar>
        </w:tblPrEx>
        <w:trPr>
          <w:trHeight w:val="326" w:hRule="atLeast"/>
          <w:jc w:val="center"/>
        </w:trPr>
        <w:tc>
          <w:tcPr>
            <w:tcW w:w="72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67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5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77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8198</w:t>
            </w:r>
          </w:p>
        </w:tc>
        <w:tc>
          <w:tcPr>
            <w:tcW w:w="81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1129</w:t>
            </w:r>
          </w:p>
        </w:tc>
        <w:tc>
          <w:tcPr>
            <w:tcW w:w="7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0.50</w:t>
            </w:r>
          </w:p>
        </w:tc>
        <w:tc>
          <w:tcPr>
            <w:tcW w:w="82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0.20</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0.41</w:t>
            </w:r>
          </w:p>
        </w:tc>
        <w:tc>
          <w:tcPr>
            <w:tcW w:w="88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0.02</w:t>
            </w:r>
          </w:p>
        </w:tc>
        <w:tc>
          <w:tcPr>
            <w:tcW w:w="10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0.43</w:t>
            </w:r>
          </w:p>
        </w:tc>
      </w:tr>
      <w:tr>
        <w:tblPrEx>
          <w:tblCellMar>
            <w:top w:w="0" w:type="dxa"/>
            <w:left w:w="108" w:type="dxa"/>
            <w:bottom w:w="0" w:type="dxa"/>
            <w:right w:w="108" w:type="dxa"/>
          </w:tblCellMar>
        </w:tblPrEx>
        <w:trPr>
          <w:trHeight w:val="326" w:hRule="atLeast"/>
          <w:jc w:val="center"/>
        </w:trPr>
        <w:tc>
          <w:tcPr>
            <w:tcW w:w="72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676"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5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77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2636</w:t>
            </w:r>
          </w:p>
        </w:tc>
        <w:tc>
          <w:tcPr>
            <w:tcW w:w="81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788</w:t>
            </w:r>
          </w:p>
        </w:tc>
        <w:tc>
          <w:tcPr>
            <w:tcW w:w="7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0.50</w:t>
            </w:r>
          </w:p>
        </w:tc>
        <w:tc>
          <w:tcPr>
            <w:tcW w:w="82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0.20</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0.13</w:t>
            </w:r>
          </w:p>
        </w:tc>
        <w:tc>
          <w:tcPr>
            <w:tcW w:w="88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0.02</w:t>
            </w:r>
          </w:p>
        </w:tc>
        <w:tc>
          <w:tcPr>
            <w:tcW w:w="10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0.15</w:t>
            </w:r>
          </w:p>
        </w:tc>
      </w:tr>
      <w:tr>
        <w:tblPrEx>
          <w:tblCellMar>
            <w:top w:w="0" w:type="dxa"/>
            <w:left w:w="108" w:type="dxa"/>
            <w:bottom w:w="0" w:type="dxa"/>
            <w:right w:w="108" w:type="dxa"/>
          </w:tblCellMar>
        </w:tblPrEx>
        <w:trPr>
          <w:trHeight w:val="326" w:hRule="atLeast"/>
          <w:jc w:val="center"/>
        </w:trPr>
        <w:tc>
          <w:tcPr>
            <w:tcW w:w="72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67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5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77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1898</w:t>
            </w:r>
          </w:p>
        </w:tc>
        <w:tc>
          <w:tcPr>
            <w:tcW w:w="81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342</w:t>
            </w:r>
          </w:p>
        </w:tc>
        <w:tc>
          <w:tcPr>
            <w:tcW w:w="7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0.50</w:t>
            </w:r>
          </w:p>
        </w:tc>
        <w:tc>
          <w:tcPr>
            <w:tcW w:w="82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0.20</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0.09</w:t>
            </w:r>
          </w:p>
        </w:tc>
        <w:tc>
          <w:tcPr>
            <w:tcW w:w="88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0.01</w:t>
            </w:r>
          </w:p>
        </w:tc>
        <w:tc>
          <w:tcPr>
            <w:tcW w:w="10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0.10</w:t>
            </w:r>
          </w:p>
        </w:tc>
      </w:tr>
      <w:tr>
        <w:tblPrEx>
          <w:tblCellMar>
            <w:top w:w="0" w:type="dxa"/>
            <w:left w:w="108" w:type="dxa"/>
            <w:bottom w:w="0" w:type="dxa"/>
            <w:right w:w="108" w:type="dxa"/>
          </w:tblCellMar>
        </w:tblPrEx>
        <w:trPr>
          <w:trHeight w:val="355" w:hRule="atLeast"/>
          <w:jc w:val="center"/>
        </w:trPr>
        <w:tc>
          <w:tcPr>
            <w:tcW w:w="72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67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5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77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3664</w:t>
            </w:r>
          </w:p>
        </w:tc>
        <w:tc>
          <w:tcPr>
            <w:tcW w:w="81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w:t>
            </w:r>
          </w:p>
        </w:tc>
        <w:tc>
          <w:tcPr>
            <w:tcW w:w="7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0.50</w:t>
            </w:r>
          </w:p>
        </w:tc>
        <w:tc>
          <w:tcPr>
            <w:tcW w:w="82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0.20</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0.18</w:t>
            </w:r>
          </w:p>
        </w:tc>
        <w:tc>
          <w:tcPr>
            <w:tcW w:w="88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c>
          <w:tcPr>
            <w:tcW w:w="10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0.18</w:t>
            </w:r>
          </w:p>
        </w:tc>
      </w:tr>
      <w:tr>
        <w:tblPrEx>
          <w:tblCellMar>
            <w:top w:w="0" w:type="dxa"/>
            <w:left w:w="108" w:type="dxa"/>
            <w:bottom w:w="0" w:type="dxa"/>
            <w:right w:w="108" w:type="dxa"/>
          </w:tblCellMar>
        </w:tblPrEx>
        <w:trPr>
          <w:trHeight w:val="326" w:hRule="atLeast"/>
          <w:jc w:val="center"/>
        </w:trPr>
        <w:tc>
          <w:tcPr>
            <w:tcW w:w="72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67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5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77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w:t>
            </w:r>
          </w:p>
        </w:tc>
        <w:tc>
          <w:tcPr>
            <w:tcW w:w="81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w:t>
            </w:r>
          </w:p>
        </w:tc>
        <w:tc>
          <w:tcPr>
            <w:tcW w:w="7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0.50</w:t>
            </w:r>
          </w:p>
        </w:tc>
        <w:tc>
          <w:tcPr>
            <w:tcW w:w="82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0.20</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c>
          <w:tcPr>
            <w:tcW w:w="88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c>
          <w:tcPr>
            <w:tcW w:w="10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r>
      <w:tr>
        <w:tblPrEx>
          <w:tblCellMar>
            <w:top w:w="0" w:type="dxa"/>
            <w:left w:w="108" w:type="dxa"/>
            <w:bottom w:w="0" w:type="dxa"/>
            <w:right w:w="108" w:type="dxa"/>
          </w:tblCellMar>
        </w:tblPrEx>
        <w:trPr>
          <w:trHeight w:val="326" w:hRule="atLeast"/>
          <w:jc w:val="center"/>
        </w:trPr>
        <w:tc>
          <w:tcPr>
            <w:tcW w:w="72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67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5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77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8198</w:t>
            </w:r>
          </w:p>
        </w:tc>
        <w:tc>
          <w:tcPr>
            <w:tcW w:w="81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1129</w:t>
            </w:r>
          </w:p>
        </w:tc>
        <w:tc>
          <w:tcPr>
            <w:tcW w:w="7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0.50</w:t>
            </w:r>
          </w:p>
        </w:tc>
        <w:tc>
          <w:tcPr>
            <w:tcW w:w="82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0.20</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0.41</w:t>
            </w:r>
          </w:p>
        </w:tc>
        <w:tc>
          <w:tcPr>
            <w:tcW w:w="88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0.02</w:t>
            </w:r>
          </w:p>
        </w:tc>
        <w:tc>
          <w:tcPr>
            <w:tcW w:w="10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0.43</w:t>
            </w:r>
          </w:p>
        </w:tc>
      </w:tr>
      <w:tr>
        <w:tblPrEx>
          <w:tblCellMar>
            <w:top w:w="0" w:type="dxa"/>
            <w:left w:w="108" w:type="dxa"/>
            <w:bottom w:w="0" w:type="dxa"/>
            <w:right w:w="108" w:type="dxa"/>
          </w:tblCellMar>
        </w:tblPrEx>
        <w:trPr>
          <w:trHeight w:val="355" w:hRule="atLeast"/>
          <w:jc w:val="center"/>
        </w:trPr>
        <w:tc>
          <w:tcPr>
            <w:tcW w:w="725"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2020年</w:t>
            </w:r>
          </w:p>
        </w:tc>
        <w:tc>
          <w:tcPr>
            <w:tcW w:w="676"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5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77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6051</w:t>
            </w:r>
          </w:p>
        </w:tc>
        <w:tc>
          <w:tcPr>
            <w:tcW w:w="81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392</w:t>
            </w:r>
          </w:p>
        </w:tc>
        <w:tc>
          <w:tcPr>
            <w:tcW w:w="7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0.47</w:t>
            </w:r>
          </w:p>
        </w:tc>
        <w:tc>
          <w:tcPr>
            <w:tcW w:w="82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0.20</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0.28</w:t>
            </w:r>
          </w:p>
        </w:tc>
        <w:tc>
          <w:tcPr>
            <w:tcW w:w="88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0.01</w:t>
            </w:r>
          </w:p>
        </w:tc>
        <w:tc>
          <w:tcPr>
            <w:tcW w:w="10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0.29</w:t>
            </w:r>
          </w:p>
        </w:tc>
      </w:tr>
      <w:tr>
        <w:tblPrEx>
          <w:tblCellMar>
            <w:top w:w="0" w:type="dxa"/>
            <w:left w:w="108" w:type="dxa"/>
            <w:bottom w:w="0" w:type="dxa"/>
            <w:right w:w="108" w:type="dxa"/>
          </w:tblCellMar>
        </w:tblPrEx>
        <w:trPr>
          <w:trHeight w:val="355" w:hRule="atLeast"/>
          <w:jc w:val="center"/>
        </w:trPr>
        <w:tc>
          <w:tcPr>
            <w:tcW w:w="72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67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5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77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2868</w:t>
            </w:r>
          </w:p>
        </w:tc>
        <w:tc>
          <w:tcPr>
            <w:tcW w:w="81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904</w:t>
            </w:r>
          </w:p>
        </w:tc>
        <w:tc>
          <w:tcPr>
            <w:tcW w:w="7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0.47</w:t>
            </w:r>
          </w:p>
        </w:tc>
        <w:tc>
          <w:tcPr>
            <w:tcW w:w="82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0.20</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0.13</w:t>
            </w:r>
          </w:p>
        </w:tc>
        <w:tc>
          <w:tcPr>
            <w:tcW w:w="88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0.02</w:t>
            </w:r>
          </w:p>
        </w:tc>
        <w:tc>
          <w:tcPr>
            <w:tcW w:w="10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0.15</w:t>
            </w:r>
          </w:p>
        </w:tc>
      </w:tr>
      <w:tr>
        <w:tblPrEx>
          <w:tblCellMar>
            <w:top w:w="0" w:type="dxa"/>
            <w:left w:w="108" w:type="dxa"/>
            <w:bottom w:w="0" w:type="dxa"/>
            <w:right w:w="108" w:type="dxa"/>
          </w:tblCellMar>
        </w:tblPrEx>
        <w:trPr>
          <w:trHeight w:val="326" w:hRule="atLeast"/>
          <w:jc w:val="center"/>
        </w:trPr>
        <w:tc>
          <w:tcPr>
            <w:tcW w:w="72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67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5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77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8919</w:t>
            </w:r>
          </w:p>
        </w:tc>
        <w:tc>
          <w:tcPr>
            <w:tcW w:w="81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1296</w:t>
            </w:r>
          </w:p>
        </w:tc>
        <w:tc>
          <w:tcPr>
            <w:tcW w:w="7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0.47</w:t>
            </w:r>
          </w:p>
        </w:tc>
        <w:tc>
          <w:tcPr>
            <w:tcW w:w="82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0.20</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0.42</w:t>
            </w:r>
          </w:p>
        </w:tc>
        <w:tc>
          <w:tcPr>
            <w:tcW w:w="88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0.03</w:t>
            </w:r>
          </w:p>
        </w:tc>
        <w:tc>
          <w:tcPr>
            <w:tcW w:w="10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0.45</w:t>
            </w:r>
          </w:p>
        </w:tc>
      </w:tr>
      <w:tr>
        <w:tblPrEx>
          <w:tblCellMar>
            <w:top w:w="0" w:type="dxa"/>
            <w:left w:w="108" w:type="dxa"/>
            <w:bottom w:w="0" w:type="dxa"/>
            <w:right w:w="108" w:type="dxa"/>
          </w:tblCellMar>
        </w:tblPrEx>
        <w:trPr>
          <w:trHeight w:val="326" w:hRule="atLeast"/>
          <w:jc w:val="center"/>
        </w:trPr>
        <w:tc>
          <w:tcPr>
            <w:tcW w:w="72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676"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5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77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2868</w:t>
            </w:r>
          </w:p>
        </w:tc>
        <w:tc>
          <w:tcPr>
            <w:tcW w:w="81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904</w:t>
            </w:r>
          </w:p>
        </w:tc>
        <w:tc>
          <w:tcPr>
            <w:tcW w:w="7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0.47</w:t>
            </w:r>
          </w:p>
        </w:tc>
        <w:tc>
          <w:tcPr>
            <w:tcW w:w="82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0.20</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0.13</w:t>
            </w:r>
          </w:p>
        </w:tc>
        <w:tc>
          <w:tcPr>
            <w:tcW w:w="88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0.02</w:t>
            </w:r>
          </w:p>
        </w:tc>
        <w:tc>
          <w:tcPr>
            <w:tcW w:w="10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0.15</w:t>
            </w:r>
          </w:p>
        </w:tc>
      </w:tr>
      <w:tr>
        <w:tblPrEx>
          <w:tblCellMar>
            <w:top w:w="0" w:type="dxa"/>
            <w:left w:w="108" w:type="dxa"/>
            <w:bottom w:w="0" w:type="dxa"/>
            <w:right w:w="108" w:type="dxa"/>
          </w:tblCellMar>
        </w:tblPrEx>
        <w:trPr>
          <w:trHeight w:val="326" w:hRule="atLeast"/>
          <w:jc w:val="center"/>
        </w:trPr>
        <w:tc>
          <w:tcPr>
            <w:tcW w:w="72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67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5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77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2065</w:t>
            </w:r>
          </w:p>
        </w:tc>
        <w:tc>
          <w:tcPr>
            <w:tcW w:w="81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392</w:t>
            </w:r>
          </w:p>
        </w:tc>
        <w:tc>
          <w:tcPr>
            <w:tcW w:w="7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0.47</w:t>
            </w:r>
          </w:p>
        </w:tc>
        <w:tc>
          <w:tcPr>
            <w:tcW w:w="82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0.20</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0.10</w:t>
            </w:r>
          </w:p>
        </w:tc>
        <w:tc>
          <w:tcPr>
            <w:tcW w:w="88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0.01</w:t>
            </w:r>
          </w:p>
        </w:tc>
        <w:tc>
          <w:tcPr>
            <w:tcW w:w="10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0.10</w:t>
            </w:r>
          </w:p>
        </w:tc>
      </w:tr>
      <w:tr>
        <w:tblPrEx>
          <w:tblCellMar>
            <w:top w:w="0" w:type="dxa"/>
            <w:left w:w="108" w:type="dxa"/>
            <w:bottom w:w="0" w:type="dxa"/>
            <w:right w:w="108" w:type="dxa"/>
          </w:tblCellMar>
        </w:tblPrEx>
        <w:trPr>
          <w:trHeight w:val="355" w:hRule="atLeast"/>
          <w:jc w:val="center"/>
        </w:trPr>
        <w:tc>
          <w:tcPr>
            <w:tcW w:w="72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67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5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77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3986</w:t>
            </w:r>
          </w:p>
        </w:tc>
        <w:tc>
          <w:tcPr>
            <w:tcW w:w="81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w:t>
            </w:r>
          </w:p>
        </w:tc>
        <w:tc>
          <w:tcPr>
            <w:tcW w:w="7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0.47</w:t>
            </w:r>
          </w:p>
        </w:tc>
        <w:tc>
          <w:tcPr>
            <w:tcW w:w="82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0.20</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0.19</w:t>
            </w:r>
          </w:p>
        </w:tc>
        <w:tc>
          <w:tcPr>
            <w:tcW w:w="88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c>
          <w:tcPr>
            <w:tcW w:w="10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0.19</w:t>
            </w:r>
          </w:p>
        </w:tc>
      </w:tr>
      <w:tr>
        <w:tblPrEx>
          <w:tblCellMar>
            <w:top w:w="0" w:type="dxa"/>
            <w:left w:w="108" w:type="dxa"/>
            <w:bottom w:w="0" w:type="dxa"/>
            <w:right w:w="108" w:type="dxa"/>
          </w:tblCellMar>
        </w:tblPrEx>
        <w:trPr>
          <w:trHeight w:val="326" w:hRule="atLeast"/>
          <w:jc w:val="center"/>
        </w:trPr>
        <w:tc>
          <w:tcPr>
            <w:tcW w:w="72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67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5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77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w:t>
            </w:r>
          </w:p>
        </w:tc>
        <w:tc>
          <w:tcPr>
            <w:tcW w:w="81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w:t>
            </w:r>
          </w:p>
        </w:tc>
        <w:tc>
          <w:tcPr>
            <w:tcW w:w="7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0.47</w:t>
            </w:r>
          </w:p>
        </w:tc>
        <w:tc>
          <w:tcPr>
            <w:tcW w:w="82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0.20</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c>
          <w:tcPr>
            <w:tcW w:w="88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c>
          <w:tcPr>
            <w:tcW w:w="10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r>
      <w:tr>
        <w:tblPrEx>
          <w:tblCellMar>
            <w:top w:w="0" w:type="dxa"/>
            <w:left w:w="108" w:type="dxa"/>
            <w:bottom w:w="0" w:type="dxa"/>
            <w:right w:w="108" w:type="dxa"/>
          </w:tblCellMar>
        </w:tblPrEx>
        <w:trPr>
          <w:trHeight w:val="326" w:hRule="atLeast"/>
          <w:jc w:val="center"/>
        </w:trPr>
        <w:tc>
          <w:tcPr>
            <w:tcW w:w="72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67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5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77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8919</w:t>
            </w:r>
          </w:p>
        </w:tc>
        <w:tc>
          <w:tcPr>
            <w:tcW w:w="81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1296</w:t>
            </w:r>
          </w:p>
        </w:tc>
        <w:tc>
          <w:tcPr>
            <w:tcW w:w="7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0.47</w:t>
            </w:r>
          </w:p>
        </w:tc>
        <w:tc>
          <w:tcPr>
            <w:tcW w:w="82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0.20</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0.42</w:t>
            </w:r>
          </w:p>
        </w:tc>
        <w:tc>
          <w:tcPr>
            <w:tcW w:w="88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0.03</w:t>
            </w:r>
          </w:p>
        </w:tc>
        <w:tc>
          <w:tcPr>
            <w:tcW w:w="10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0.45</w:t>
            </w:r>
          </w:p>
        </w:tc>
      </w:tr>
      <w:tr>
        <w:tblPrEx>
          <w:tblCellMar>
            <w:top w:w="0" w:type="dxa"/>
            <w:left w:w="108" w:type="dxa"/>
            <w:bottom w:w="0" w:type="dxa"/>
            <w:right w:w="108" w:type="dxa"/>
          </w:tblCellMar>
        </w:tblPrEx>
        <w:trPr>
          <w:trHeight w:val="355" w:hRule="atLeast"/>
          <w:jc w:val="center"/>
        </w:trPr>
        <w:tc>
          <w:tcPr>
            <w:tcW w:w="725"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2030年</w:t>
            </w:r>
          </w:p>
        </w:tc>
        <w:tc>
          <w:tcPr>
            <w:tcW w:w="676"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5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77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7162</w:t>
            </w:r>
          </w:p>
        </w:tc>
        <w:tc>
          <w:tcPr>
            <w:tcW w:w="81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517</w:t>
            </w:r>
          </w:p>
        </w:tc>
        <w:tc>
          <w:tcPr>
            <w:tcW w:w="7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0.41</w:t>
            </w:r>
          </w:p>
        </w:tc>
        <w:tc>
          <w:tcPr>
            <w:tcW w:w="82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0.15</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0.29</w:t>
            </w:r>
          </w:p>
        </w:tc>
        <w:tc>
          <w:tcPr>
            <w:tcW w:w="88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0.01</w:t>
            </w:r>
          </w:p>
        </w:tc>
        <w:tc>
          <w:tcPr>
            <w:tcW w:w="10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0.30</w:t>
            </w:r>
          </w:p>
        </w:tc>
      </w:tr>
      <w:tr>
        <w:tblPrEx>
          <w:tblCellMar>
            <w:top w:w="0" w:type="dxa"/>
            <w:left w:w="108" w:type="dxa"/>
            <w:bottom w:w="0" w:type="dxa"/>
            <w:right w:w="108" w:type="dxa"/>
          </w:tblCellMar>
        </w:tblPrEx>
        <w:trPr>
          <w:trHeight w:val="355" w:hRule="atLeast"/>
          <w:jc w:val="center"/>
        </w:trPr>
        <w:tc>
          <w:tcPr>
            <w:tcW w:w="72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67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5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77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3395</w:t>
            </w:r>
          </w:p>
        </w:tc>
        <w:tc>
          <w:tcPr>
            <w:tcW w:w="81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1192</w:t>
            </w:r>
          </w:p>
        </w:tc>
        <w:tc>
          <w:tcPr>
            <w:tcW w:w="7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0.41</w:t>
            </w:r>
          </w:p>
        </w:tc>
        <w:tc>
          <w:tcPr>
            <w:tcW w:w="82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0.15</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0.14</w:t>
            </w:r>
          </w:p>
        </w:tc>
        <w:tc>
          <w:tcPr>
            <w:tcW w:w="88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0.02</w:t>
            </w:r>
          </w:p>
        </w:tc>
        <w:tc>
          <w:tcPr>
            <w:tcW w:w="10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0.16</w:t>
            </w:r>
          </w:p>
        </w:tc>
      </w:tr>
      <w:tr>
        <w:tblPrEx>
          <w:tblCellMar>
            <w:top w:w="0" w:type="dxa"/>
            <w:left w:w="108" w:type="dxa"/>
            <w:bottom w:w="0" w:type="dxa"/>
            <w:right w:w="108" w:type="dxa"/>
          </w:tblCellMar>
        </w:tblPrEx>
        <w:trPr>
          <w:trHeight w:val="326" w:hRule="atLeast"/>
          <w:jc w:val="center"/>
        </w:trPr>
        <w:tc>
          <w:tcPr>
            <w:tcW w:w="72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67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5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77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10557</w:t>
            </w:r>
          </w:p>
        </w:tc>
        <w:tc>
          <w:tcPr>
            <w:tcW w:w="81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1709</w:t>
            </w:r>
          </w:p>
        </w:tc>
        <w:tc>
          <w:tcPr>
            <w:tcW w:w="7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0.41</w:t>
            </w:r>
          </w:p>
        </w:tc>
        <w:tc>
          <w:tcPr>
            <w:tcW w:w="82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0.15</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0.43</w:t>
            </w:r>
          </w:p>
        </w:tc>
        <w:tc>
          <w:tcPr>
            <w:tcW w:w="88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0.03</w:t>
            </w:r>
          </w:p>
        </w:tc>
        <w:tc>
          <w:tcPr>
            <w:tcW w:w="10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0.46</w:t>
            </w:r>
          </w:p>
        </w:tc>
      </w:tr>
      <w:tr>
        <w:tblPrEx>
          <w:tblCellMar>
            <w:top w:w="0" w:type="dxa"/>
            <w:left w:w="108" w:type="dxa"/>
            <w:bottom w:w="0" w:type="dxa"/>
            <w:right w:w="108" w:type="dxa"/>
          </w:tblCellMar>
        </w:tblPrEx>
        <w:trPr>
          <w:trHeight w:val="326" w:hRule="atLeast"/>
          <w:jc w:val="center"/>
        </w:trPr>
        <w:tc>
          <w:tcPr>
            <w:tcW w:w="72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676"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5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77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3395</w:t>
            </w:r>
          </w:p>
        </w:tc>
        <w:tc>
          <w:tcPr>
            <w:tcW w:w="81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1192</w:t>
            </w:r>
          </w:p>
        </w:tc>
        <w:tc>
          <w:tcPr>
            <w:tcW w:w="7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0.41</w:t>
            </w:r>
          </w:p>
        </w:tc>
        <w:tc>
          <w:tcPr>
            <w:tcW w:w="82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0.15</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0.14</w:t>
            </w:r>
          </w:p>
        </w:tc>
        <w:tc>
          <w:tcPr>
            <w:tcW w:w="88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0.02</w:t>
            </w:r>
          </w:p>
        </w:tc>
        <w:tc>
          <w:tcPr>
            <w:tcW w:w="10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0.16</w:t>
            </w:r>
          </w:p>
        </w:tc>
      </w:tr>
      <w:tr>
        <w:tblPrEx>
          <w:tblCellMar>
            <w:top w:w="0" w:type="dxa"/>
            <w:left w:w="108" w:type="dxa"/>
            <w:bottom w:w="0" w:type="dxa"/>
            <w:right w:w="108" w:type="dxa"/>
          </w:tblCellMar>
        </w:tblPrEx>
        <w:trPr>
          <w:trHeight w:val="326" w:hRule="atLeast"/>
          <w:jc w:val="center"/>
        </w:trPr>
        <w:tc>
          <w:tcPr>
            <w:tcW w:w="72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67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5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77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2444</w:t>
            </w:r>
          </w:p>
        </w:tc>
        <w:tc>
          <w:tcPr>
            <w:tcW w:w="81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517</w:t>
            </w:r>
          </w:p>
        </w:tc>
        <w:tc>
          <w:tcPr>
            <w:tcW w:w="7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0.41</w:t>
            </w:r>
          </w:p>
        </w:tc>
        <w:tc>
          <w:tcPr>
            <w:tcW w:w="82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0.15</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0.10</w:t>
            </w:r>
          </w:p>
        </w:tc>
        <w:tc>
          <w:tcPr>
            <w:tcW w:w="88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0.01</w:t>
            </w:r>
          </w:p>
        </w:tc>
        <w:tc>
          <w:tcPr>
            <w:tcW w:w="10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0.11</w:t>
            </w:r>
          </w:p>
        </w:tc>
      </w:tr>
      <w:tr>
        <w:tblPrEx>
          <w:tblCellMar>
            <w:top w:w="0" w:type="dxa"/>
            <w:left w:w="108" w:type="dxa"/>
            <w:bottom w:w="0" w:type="dxa"/>
            <w:right w:w="108" w:type="dxa"/>
          </w:tblCellMar>
        </w:tblPrEx>
        <w:trPr>
          <w:trHeight w:val="355" w:hRule="atLeast"/>
          <w:jc w:val="center"/>
        </w:trPr>
        <w:tc>
          <w:tcPr>
            <w:tcW w:w="72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67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5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77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4718</w:t>
            </w:r>
          </w:p>
        </w:tc>
        <w:tc>
          <w:tcPr>
            <w:tcW w:w="81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w:t>
            </w:r>
          </w:p>
        </w:tc>
        <w:tc>
          <w:tcPr>
            <w:tcW w:w="7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0.41</w:t>
            </w:r>
          </w:p>
        </w:tc>
        <w:tc>
          <w:tcPr>
            <w:tcW w:w="82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0.15</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0.19</w:t>
            </w:r>
          </w:p>
        </w:tc>
        <w:tc>
          <w:tcPr>
            <w:tcW w:w="88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c>
          <w:tcPr>
            <w:tcW w:w="10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0.19</w:t>
            </w:r>
          </w:p>
        </w:tc>
      </w:tr>
      <w:tr>
        <w:tblPrEx>
          <w:tblCellMar>
            <w:top w:w="0" w:type="dxa"/>
            <w:left w:w="108" w:type="dxa"/>
            <w:bottom w:w="0" w:type="dxa"/>
            <w:right w:w="108" w:type="dxa"/>
          </w:tblCellMar>
        </w:tblPrEx>
        <w:trPr>
          <w:trHeight w:val="326" w:hRule="atLeast"/>
          <w:jc w:val="center"/>
        </w:trPr>
        <w:tc>
          <w:tcPr>
            <w:tcW w:w="72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67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5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77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w:t>
            </w:r>
          </w:p>
        </w:tc>
        <w:tc>
          <w:tcPr>
            <w:tcW w:w="81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w:t>
            </w:r>
          </w:p>
        </w:tc>
        <w:tc>
          <w:tcPr>
            <w:tcW w:w="7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0.41</w:t>
            </w:r>
          </w:p>
        </w:tc>
        <w:tc>
          <w:tcPr>
            <w:tcW w:w="82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0.15</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c>
          <w:tcPr>
            <w:tcW w:w="88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c>
          <w:tcPr>
            <w:tcW w:w="10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r>
      <w:tr>
        <w:tblPrEx>
          <w:tblCellMar>
            <w:top w:w="0" w:type="dxa"/>
            <w:left w:w="108" w:type="dxa"/>
            <w:bottom w:w="0" w:type="dxa"/>
            <w:right w:w="108" w:type="dxa"/>
          </w:tblCellMar>
        </w:tblPrEx>
        <w:trPr>
          <w:trHeight w:val="337" w:hRule="atLeast"/>
          <w:jc w:val="center"/>
        </w:trPr>
        <w:tc>
          <w:tcPr>
            <w:tcW w:w="72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67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5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77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10557</w:t>
            </w:r>
          </w:p>
        </w:tc>
        <w:tc>
          <w:tcPr>
            <w:tcW w:w="81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1709</w:t>
            </w:r>
          </w:p>
        </w:tc>
        <w:tc>
          <w:tcPr>
            <w:tcW w:w="7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0.41</w:t>
            </w:r>
          </w:p>
        </w:tc>
        <w:tc>
          <w:tcPr>
            <w:tcW w:w="82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0.15</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0.43</w:t>
            </w:r>
          </w:p>
        </w:tc>
        <w:tc>
          <w:tcPr>
            <w:tcW w:w="88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0.03</w:t>
            </w:r>
          </w:p>
        </w:tc>
        <w:tc>
          <w:tcPr>
            <w:tcW w:w="10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0.46</w:t>
            </w:r>
          </w:p>
        </w:tc>
      </w:tr>
    </w:tbl>
    <w:p>
      <w:pPr>
        <w:adjustRightInd w:val="0"/>
        <w:snapToGrid w:val="0"/>
        <w:spacing w:line="52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（3）火电需水预测</w:t>
      </w:r>
    </w:p>
    <w:p>
      <w:pPr>
        <w:adjustRightInd w:val="0"/>
        <w:snapToGrid w:val="0"/>
        <w:spacing w:line="52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预测规划2020年淮南市火电装机达1421万kW，火电需水量为1.94亿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，规划2030年回电装机达2057万kW，并对平圩电厂进行循环系改造，火电需水量为2.49亿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w:t>
      </w:r>
    </w:p>
    <w:p>
      <w:pPr>
        <w:adjustRightInd w:val="0"/>
        <w:snapToGrid w:val="0"/>
        <w:spacing w:line="52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不同水平年全市工业用水量见表4.3-7。</w:t>
      </w:r>
    </w:p>
    <w:p>
      <w:pPr>
        <w:adjustRightInd w:val="0"/>
        <w:snapToGrid w:val="0"/>
        <w:spacing w:line="520" w:lineRule="exact"/>
        <w:jc w:val="center"/>
        <w:rPr>
          <w:b/>
          <w:bCs/>
          <w:sz w:val="24"/>
        </w:rPr>
      </w:pPr>
      <w:r>
        <w:rPr>
          <w:rFonts w:hint="eastAsia" w:ascii="方正黑体_GBK" w:hAnsi="方正黑体_GBK" w:eastAsia="方正黑体_GBK" w:cs="方正黑体_GBK"/>
          <w:b/>
          <w:bCs/>
          <w:sz w:val="24"/>
        </w:rPr>
        <w:t xml:space="preserve">表4.3-7  淮南市火电工业需水量预测成果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672"/>
        <w:gridCol w:w="1682"/>
        <w:gridCol w:w="775"/>
        <w:gridCol w:w="699"/>
        <w:gridCol w:w="646"/>
        <w:gridCol w:w="1088"/>
        <w:gridCol w:w="811"/>
        <w:gridCol w:w="865"/>
        <w:gridCol w:w="701"/>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846" w:type="dxa"/>
            <w:vMerge w:val="restart"/>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水平年</w:t>
            </w:r>
          </w:p>
        </w:tc>
        <w:tc>
          <w:tcPr>
            <w:tcW w:w="2354" w:type="dxa"/>
            <w:gridSpan w:val="2"/>
            <w:vMerge w:val="restart"/>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计算分区</w:t>
            </w:r>
          </w:p>
        </w:tc>
        <w:tc>
          <w:tcPr>
            <w:tcW w:w="1474" w:type="dxa"/>
            <w:gridSpan w:val="2"/>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装机</w:t>
            </w:r>
          </w:p>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（万kW）</w:t>
            </w:r>
          </w:p>
        </w:tc>
        <w:tc>
          <w:tcPr>
            <w:tcW w:w="1734" w:type="dxa"/>
            <w:gridSpan w:val="2"/>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定额</w:t>
            </w:r>
          </w:p>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w:t>
            </w:r>
            <w:r>
              <w:rPr>
                <w:rFonts w:hint="default" w:ascii="Times New Roman" w:hAnsi="Times New Roman" w:eastAsia="方正仿宋_GBK" w:cs="Times New Roman"/>
                <w:kern w:val="0"/>
                <w:szCs w:val="21"/>
                <w:lang w:eastAsia="zh-CN"/>
              </w:rPr>
              <w:t>m³</w:t>
            </w:r>
            <w:r>
              <w:rPr>
                <w:rFonts w:hint="default" w:ascii="Times New Roman" w:hAnsi="Times New Roman" w:eastAsia="方正仿宋_GBK" w:cs="Times New Roman"/>
                <w:kern w:val="0"/>
                <w:szCs w:val="21"/>
              </w:rPr>
              <w:t>/(万kW.h)）</w:t>
            </w:r>
          </w:p>
        </w:tc>
        <w:tc>
          <w:tcPr>
            <w:tcW w:w="3172" w:type="dxa"/>
            <w:gridSpan w:val="4"/>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需水量</w:t>
            </w:r>
          </w:p>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(亿m³）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846"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2354" w:type="dxa"/>
            <w:gridSpan w:val="2"/>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77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直流</w:t>
            </w:r>
          </w:p>
        </w:tc>
        <w:tc>
          <w:tcPr>
            <w:tcW w:w="699"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循环</w:t>
            </w:r>
          </w:p>
        </w:tc>
        <w:tc>
          <w:tcPr>
            <w:tcW w:w="646"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直流</w:t>
            </w:r>
          </w:p>
        </w:tc>
        <w:tc>
          <w:tcPr>
            <w:tcW w:w="1088"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循环</w:t>
            </w:r>
          </w:p>
        </w:tc>
        <w:tc>
          <w:tcPr>
            <w:tcW w:w="8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直流</w:t>
            </w:r>
          </w:p>
        </w:tc>
        <w:tc>
          <w:tcPr>
            <w:tcW w:w="86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循环</w:t>
            </w:r>
          </w:p>
        </w:tc>
        <w:tc>
          <w:tcPr>
            <w:tcW w:w="70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全口径</w:t>
            </w:r>
          </w:p>
        </w:tc>
        <w:tc>
          <w:tcPr>
            <w:tcW w:w="79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扣除贯流水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6" w:type="dxa"/>
            <w:vMerge w:val="restart"/>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2015年</w:t>
            </w:r>
          </w:p>
        </w:tc>
        <w:tc>
          <w:tcPr>
            <w:tcW w:w="672" w:type="dxa"/>
            <w:vMerge w:val="restart"/>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682"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77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123</w:t>
            </w:r>
          </w:p>
        </w:tc>
        <w:tc>
          <w:tcPr>
            <w:tcW w:w="699"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839</w:t>
            </w:r>
          </w:p>
        </w:tc>
        <w:tc>
          <w:tcPr>
            <w:tcW w:w="646"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746</w:t>
            </w:r>
          </w:p>
        </w:tc>
        <w:tc>
          <w:tcPr>
            <w:tcW w:w="1088"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24</w:t>
            </w:r>
          </w:p>
        </w:tc>
        <w:tc>
          <w:tcPr>
            <w:tcW w:w="8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5.05</w:t>
            </w:r>
          </w:p>
        </w:tc>
        <w:tc>
          <w:tcPr>
            <w:tcW w:w="86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1.11</w:t>
            </w:r>
          </w:p>
        </w:tc>
        <w:tc>
          <w:tcPr>
            <w:tcW w:w="70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6.16</w:t>
            </w:r>
          </w:p>
        </w:tc>
        <w:tc>
          <w:tcPr>
            <w:tcW w:w="79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6"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2"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82"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775"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99"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330</w:t>
            </w:r>
          </w:p>
        </w:tc>
        <w:tc>
          <w:tcPr>
            <w:tcW w:w="646"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088"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24</w:t>
            </w:r>
          </w:p>
        </w:tc>
        <w:tc>
          <w:tcPr>
            <w:tcW w:w="8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c>
          <w:tcPr>
            <w:tcW w:w="86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0.44</w:t>
            </w:r>
          </w:p>
        </w:tc>
        <w:tc>
          <w:tcPr>
            <w:tcW w:w="70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0.44</w:t>
            </w:r>
          </w:p>
        </w:tc>
        <w:tc>
          <w:tcPr>
            <w:tcW w:w="79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6"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2"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82"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775"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123</w:t>
            </w:r>
          </w:p>
        </w:tc>
        <w:tc>
          <w:tcPr>
            <w:tcW w:w="699"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1169</w:t>
            </w:r>
          </w:p>
        </w:tc>
        <w:tc>
          <w:tcPr>
            <w:tcW w:w="646"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746</w:t>
            </w:r>
          </w:p>
        </w:tc>
        <w:tc>
          <w:tcPr>
            <w:tcW w:w="1088"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24</w:t>
            </w:r>
          </w:p>
        </w:tc>
        <w:tc>
          <w:tcPr>
            <w:tcW w:w="811"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5.05</w:t>
            </w:r>
          </w:p>
        </w:tc>
        <w:tc>
          <w:tcPr>
            <w:tcW w:w="865"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1.55</w:t>
            </w:r>
          </w:p>
        </w:tc>
        <w:tc>
          <w:tcPr>
            <w:tcW w:w="701"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6.60</w:t>
            </w:r>
          </w:p>
        </w:tc>
        <w:tc>
          <w:tcPr>
            <w:tcW w:w="795"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6"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2" w:type="dxa"/>
            <w:vMerge w:val="restart"/>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82"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77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w:t>
            </w:r>
          </w:p>
        </w:tc>
        <w:tc>
          <w:tcPr>
            <w:tcW w:w="699"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327</w:t>
            </w:r>
          </w:p>
        </w:tc>
        <w:tc>
          <w:tcPr>
            <w:tcW w:w="646"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w:t>
            </w:r>
          </w:p>
        </w:tc>
        <w:tc>
          <w:tcPr>
            <w:tcW w:w="1088"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24</w:t>
            </w:r>
          </w:p>
        </w:tc>
        <w:tc>
          <w:tcPr>
            <w:tcW w:w="8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c>
          <w:tcPr>
            <w:tcW w:w="86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0.44</w:t>
            </w:r>
          </w:p>
        </w:tc>
        <w:tc>
          <w:tcPr>
            <w:tcW w:w="70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0.44</w:t>
            </w:r>
          </w:p>
        </w:tc>
        <w:tc>
          <w:tcPr>
            <w:tcW w:w="79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6"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2"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82"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77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123</w:t>
            </w:r>
          </w:p>
        </w:tc>
        <w:tc>
          <w:tcPr>
            <w:tcW w:w="699"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254</w:t>
            </w:r>
          </w:p>
        </w:tc>
        <w:tc>
          <w:tcPr>
            <w:tcW w:w="646"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746</w:t>
            </w:r>
          </w:p>
        </w:tc>
        <w:tc>
          <w:tcPr>
            <w:tcW w:w="1088"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24</w:t>
            </w:r>
          </w:p>
        </w:tc>
        <w:tc>
          <w:tcPr>
            <w:tcW w:w="8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5.05</w:t>
            </w:r>
          </w:p>
        </w:tc>
        <w:tc>
          <w:tcPr>
            <w:tcW w:w="86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0.34</w:t>
            </w:r>
          </w:p>
        </w:tc>
        <w:tc>
          <w:tcPr>
            <w:tcW w:w="70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5.39</w:t>
            </w:r>
          </w:p>
        </w:tc>
        <w:tc>
          <w:tcPr>
            <w:tcW w:w="79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6"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2"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82"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775"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99"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585</w:t>
            </w:r>
          </w:p>
        </w:tc>
        <w:tc>
          <w:tcPr>
            <w:tcW w:w="646"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088"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24</w:t>
            </w:r>
          </w:p>
        </w:tc>
        <w:tc>
          <w:tcPr>
            <w:tcW w:w="8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c>
          <w:tcPr>
            <w:tcW w:w="86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0.78</w:t>
            </w:r>
          </w:p>
        </w:tc>
        <w:tc>
          <w:tcPr>
            <w:tcW w:w="70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0.78</w:t>
            </w:r>
          </w:p>
        </w:tc>
        <w:tc>
          <w:tcPr>
            <w:tcW w:w="79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6"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2"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82"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775"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99"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w:t>
            </w:r>
          </w:p>
        </w:tc>
        <w:tc>
          <w:tcPr>
            <w:tcW w:w="646"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088"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31</w:t>
            </w:r>
          </w:p>
        </w:tc>
        <w:tc>
          <w:tcPr>
            <w:tcW w:w="8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c>
          <w:tcPr>
            <w:tcW w:w="86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0.01</w:t>
            </w:r>
          </w:p>
        </w:tc>
        <w:tc>
          <w:tcPr>
            <w:tcW w:w="70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0.01</w:t>
            </w:r>
          </w:p>
        </w:tc>
        <w:tc>
          <w:tcPr>
            <w:tcW w:w="79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6"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2"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82"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775"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123</w:t>
            </w:r>
          </w:p>
        </w:tc>
        <w:tc>
          <w:tcPr>
            <w:tcW w:w="699"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1169</w:t>
            </w:r>
          </w:p>
        </w:tc>
        <w:tc>
          <w:tcPr>
            <w:tcW w:w="646"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747</w:t>
            </w:r>
          </w:p>
        </w:tc>
        <w:tc>
          <w:tcPr>
            <w:tcW w:w="1088"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24</w:t>
            </w:r>
          </w:p>
        </w:tc>
        <w:tc>
          <w:tcPr>
            <w:tcW w:w="811"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5.05</w:t>
            </w:r>
          </w:p>
        </w:tc>
        <w:tc>
          <w:tcPr>
            <w:tcW w:w="865"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1.55</w:t>
            </w:r>
          </w:p>
        </w:tc>
        <w:tc>
          <w:tcPr>
            <w:tcW w:w="701"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6.61</w:t>
            </w:r>
          </w:p>
        </w:tc>
        <w:tc>
          <w:tcPr>
            <w:tcW w:w="795"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6" w:type="dxa"/>
            <w:vMerge w:val="restart"/>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2020年</w:t>
            </w:r>
          </w:p>
        </w:tc>
        <w:tc>
          <w:tcPr>
            <w:tcW w:w="672" w:type="dxa"/>
            <w:vMerge w:val="restart"/>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682"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77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126</w:t>
            </w:r>
          </w:p>
        </w:tc>
        <w:tc>
          <w:tcPr>
            <w:tcW w:w="699"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1091</w:t>
            </w:r>
          </w:p>
        </w:tc>
        <w:tc>
          <w:tcPr>
            <w:tcW w:w="646"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700</w:t>
            </w:r>
          </w:p>
        </w:tc>
        <w:tc>
          <w:tcPr>
            <w:tcW w:w="1088"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23</w:t>
            </w:r>
          </w:p>
        </w:tc>
        <w:tc>
          <w:tcPr>
            <w:tcW w:w="8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4.85</w:t>
            </w:r>
          </w:p>
        </w:tc>
        <w:tc>
          <w:tcPr>
            <w:tcW w:w="86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1.38</w:t>
            </w:r>
          </w:p>
        </w:tc>
        <w:tc>
          <w:tcPr>
            <w:tcW w:w="70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6.23</w:t>
            </w:r>
          </w:p>
        </w:tc>
        <w:tc>
          <w:tcPr>
            <w:tcW w:w="79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6"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2"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82"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775"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99"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330</w:t>
            </w:r>
          </w:p>
        </w:tc>
        <w:tc>
          <w:tcPr>
            <w:tcW w:w="646"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088"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23</w:t>
            </w:r>
          </w:p>
        </w:tc>
        <w:tc>
          <w:tcPr>
            <w:tcW w:w="8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c>
          <w:tcPr>
            <w:tcW w:w="86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0.42</w:t>
            </w:r>
          </w:p>
        </w:tc>
        <w:tc>
          <w:tcPr>
            <w:tcW w:w="70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0.42</w:t>
            </w:r>
          </w:p>
        </w:tc>
        <w:tc>
          <w:tcPr>
            <w:tcW w:w="79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6"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2"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82"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775"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126</w:t>
            </w:r>
          </w:p>
        </w:tc>
        <w:tc>
          <w:tcPr>
            <w:tcW w:w="699"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1421</w:t>
            </w:r>
          </w:p>
        </w:tc>
        <w:tc>
          <w:tcPr>
            <w:tcW w:w="646"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700</w:t>
            </w:r>
          </w:p>
        </w:tc>
        <w:tc>
          <w:tcPr>
            <w:tcW w:w="1088"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23</w:t>
            </w:r>
          </w:p>
        </w:tc>
        <w:tc>
          <w:tcPr>
            <w:tcW w:w="811"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4.85</w:t>
            </w:r>
          </w:p>
        </w:tc>
        <w:tc>
          <w:tcPr>
            <w:tcW w:w="865"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1.80</w:t>
            </w:r>
          </w:p>
        </w:tc>
        <w:tc>
          <w:tcPr>
            <w:tcW w:w="701"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6.65</w:t>
            </w:r>
          </w:p>
        </w:tc>
        <w:tc>
          <w:tcPr>
            <w:tcW w:w="795"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6"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2" w:type="dxa"/>
            <w:vMerge w:val="restart"/>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82"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775"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99"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327</w:t>
            </w:r>
          </w:p>
        </w:tc>
        <w:tc>
          <w:tcPr>
            <w:tcW w:w="646"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088"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23</w:t>
            </w:r>
          </w:p>
        </w:tc>
        <w:tc>
          <w:tcPr>
            <w:tcW w:w="8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c>
          <w:tcPr>
            <w:tcW w:w="86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0.41</w:t>
            </w:r>
          </w:p>
        </w:tc>
        <w:tc>
          <w:tcPr>
            <w:tcW w:w="70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0.41</w:t>
            </w:r>
          </w:p>
        </w:tc>
        <w:tc>
          <w:tcPr>
            <w:tcW w:w="79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6"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2"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82"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77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126</w:t>
            </w:r>
          </w:p>
        </w:tc>
        <w:tc>
          <w:tcPr>
            <w:tcW w:w="699"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386</w:t>
            </w:r>
          </w:p>
        </w:tc>
        <w:tc>
          <w:tcPr>
            <w:tcW w:w="646"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700</w:t>
            </w:r>
          </w:p>
        </w:tc>
        <w:tc>
          <w:tcPr>
            <w:tcW w:w="1088"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23</w:t>
            </w:r>
          </w:p>
        </w:tc>
        <w:tc>
          <w:tcPr>
            <w:tcW w:w="8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4.85</w:t>
            </w:r>
          </w:p>
        </w:tc>
        <w:tc>
          <w:tcPr>
            <w:tcW w:w="86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0.49</w:t>
            </w:r>
          </w:p>
        </w:tc>
        <w:tc>
          <w:tcPr>
            <w:tcW w:w="70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5.34</w:t>
            </w:r>
          </w:p>
        </w:tc>
        <w:tc>
          <w:tcPr>
            <w:tcW w:w="79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6"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2"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82"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775"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99"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705</w:t>
            </w:r>
          </w:p>
        </w:tc>
        <w:tc>
          <w:tcPr>
            <w:tcW w:w="646"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088"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23</w:t>
            </w:r>
          </w:p>
        </w:tc>
        <w:tc>
          <w:tcPr>
            <w:tcW w:w="8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c>
          <w:tcPr>
            <w:tcW w:w="86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0.89</w:t>
            </w:r>
          </w:p>
        </w:tc>
        <w:tc>
          <w:tcPr>
            <w:tcW w:w="70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0.89</w:t>
            </w:r>
          </w:p>
        </w:tc>
        <w:tc>
          <w:tcPr>
            <w:tcW w:w="79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6"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2"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82"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775"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99"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w:t>
            </w:r>
          </w:p>
        </w:tc>
        <w:tc>
          <w:tcPr>
            <w:tcW w:w="646"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088"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31</w:t>
            </w:r>
          </w:p>
        </w:tc>
        <w:tc>
          <w:tcPr>
            <w:tcW w:w="8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c>
          <w:tcPr>
            <w:tcW w:w="86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0.01</w:t>
            </w:r>
          </w:p>
        </w:tc>
        <w:tc>
          <w:tcPr>
            <w:tcW w:w="70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0.01</w:t>
            </w:r>
          </w:p>
        </w:tc>
        <w:tc>
          <w:tcPr>
            <w:tcW w:w="79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6"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2"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82"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775"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126</w:t>
            </w:r>
          </w:p>
        </w:tc>
        <w:tc>
          <w:tcPr>
            <w:tcW w:w="699"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1421</w:t>
            </w:r>
          </w:p>
        </w:tc>
        <w:tc>
          <w:tcPr>
            <w:tcW w:w="646"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700</w:t>
            </w:r>
          </w:p>
        </w:tc>
        <w:tc>
          <w:tcPr>
            <w:tcW w:w="1088"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23</w:t>
            </w:r>
          </w:p>
        </w:tc>
        <w:tc>
          <w:tcPr>
            <w:tcW w:w="811"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4.85</w:t>
            </w:r>
          </w:p>
        </w:tc>
        <w:tc>
          <w:tcPr>
            <w:tcW w:w="865"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1.80</w:t>
            </w:r>
          </w:p>
        </w:tc>
        <w:tc>
          <w:tcPr>
            <w:tcW w:w="701"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6.65</w:t>
            </w:r>
          </w:p>
        </w:tc>
        <w:tc>
          <w:tcPr>
            <w:tcW w:w="795"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6" w:type="dxa"/>
            <w:vMerge w:val="restart"/>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2030年</w:t>
            </w:r>
          </w:p>
        </w:tc>
        <w:tc>
          <w:tcPr>
            <w:tcW w:w="672" w:type="dxa"/>
            <w:vMerge w:val="restart"/>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682"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775"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99"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1604</w:t>
            </w:r>
          </w:p>
        </w:tc>
        <w:tc>
          <w:tcPr>
            <w:tcW w:w="646"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088"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22</w:t>
            </w:r>
          </w:p>
        </w:tc>
        <w:tc>
          <w:tcPr>
            <w:tcW w:w="8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c>
          <w:tcPr>
            <w:tcW w:w="86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1.94</w:t>
            </w:r>
          </w:p>
        </w:tc>
        <w:tc>
          <w:tcPr>
            <w:tcW w:w="70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1.94</w:t>
            </w:r>
          </w:p>
        </w:tc>
        <w:tc>
          <w:tcPr>
            <w:tcW w:w="79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6"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2"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82"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775"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99"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453</w:t>
            </w:r>
          </w:p>
        </w:tc>
        <w:tc>
          <w:tcPr>
            <w:tcW w:w="646"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088"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22</w:t>
            </w:r>
          </w:p>
        </w:tc>
        <w:tc>
          <w:tcPr>
            <w:tcW w:w="8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c>
          <w:tcPr>
            <w:tcW w:w="86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0.55</w:t>
            </w:r>
          </w:p>
        </w:tc>
        <w:tc>
          <w:tcPr>
            <w:tcW w:w="70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0.55</w:t>
            </w:r>
          </w:p>
        </w:tc>
        <w:tc>
          <w:tcPr>
            <w:tcW w:w="79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6"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2"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82"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775"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99"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2057</w:t>
            </w:r>
          </w:p>
        </w:tc>
        <w:tc>
          <w:tcPr>
            <w:tcW w:w="646"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088"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22</w:t>
            </w:r>
          </w:p>
        </w:tc>
        <w:tc>
          <w:tcPr>
            <w:tcW w:w="8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c>
          <w:tcPr>
            <w:tcW w:w="86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2.49</w:t>
            </w:r>
          </w:p>
        </w:tc>
        <w:tc>
          <w:tcPr>
            <w:tcW w:w="70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2.49</w:t>
            </w:r>
          </w:p>
        </w:tc>
        <w:tc>
          <w:tcPr>
            <w:tcW w:w="79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6"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2" w:type="dxa"/>
            <w:vMerge w:val="restart"/>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82"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775"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99"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450</w:t>
            </w:r>
          </w:p>
        </w:tc>
        <w:tc>
          <w:tcPr>
            <w:tcW w:w="646"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088"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22</w:t>
            </w:r>
          </w:p>
        </w:tc>
        <w:tc>
          <w:tcPr>
            <w:tcW w:w="8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c>
          <w:tcPr>
            <w:tcW w:w="86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0.54</w:t>
            </w:r>
          </w:p>
        </w:tc>
        <w:tc>
          <w:tcPr>
            <w:tcW w:w="70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0.54</w:t>
            </w:r>
          </w:p>
        </w:tc>
        <w:tc>
          <w:tcPr>
            <w:tcW w:w="79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6"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2"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82"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775"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99"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899</w:t>
            </w:r>
          </w:p>
        </w:tc>
        <w:tc>
          <w:tcPr>
            <w:tcW w:w="646"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088"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22</w:t>
            </w:r>
          </w:p>
        </w:tc>
        <w:tc>
          <w:tcPr>
            <w:tcW w:w="8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c>
          <w:tcPr>
            <w:tcW w:w="86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1.09</w:t>
            </w:r>
          </w:p>
        </w:tc>
        <w:tc>
          <w:tcPr>
            <w:tcW w:w="70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1.09</w:t>
            </w:r>
          </w:p>
        </w:tc>
        <w:tc>
          <w:tcPr>
            <w:tcW w:w="79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6"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2"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82"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775"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99"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705</w:t>
            </w:r>
          </w:p>
        </w:tc>
        <w:tc>
          <w:tcPr>
            <w:tcW w:w="646"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088"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22</w:t>
            </w:r>
          </w:p>
        </w:tc>
        <w:tc>
          <w:tcPr>
            <w:tcW w:w="8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c>
          <w:tcPr>
            <w:tcW w:w="86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0.85</w:t>
            </w:r>
          </w:p>
        </w:tc>
        <w:tc>
          <w:tcPr>
            <w:tcW w:w="70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0.85</w:t>
            </w:r>
          </w:p>
        </w:tc>
        <w:tc>
          <w:tcPr>
            <w:tcW w:w="79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6"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2"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82"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775"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99"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w:t>
            </w:r>
          </w:p>
        </w:tc>
        <w:tc>
          <w:tcPr>
            <w:tcW w:w="646"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088"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31</w:t>
            </w:r>
          </w:p>
        </w:tc>
        <w:tc>
          <w:tcPr>
            <w:tcW w:w="8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0.00</w:t>
            </w:r>
          </w:p>
        </w:tc>
        <w:tc>
          <w:tcPr>
            <w:tcW w:w="86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0.01</w:t>
            </w:r>
          </w:p>
        </w:tc>
        <w:tc>
          <w:tcPr>
            <w:tcW w:w="70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0.01</w:t>
            </w:r>
          </w:p>
        </w:tc>
        <w:tc>
          <w:tcPr>
            <w:tcW w:w="795"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6"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672" w:type="dxa"/>
            <w:vMerge w:val="continue"/>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1682"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775"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p>
        </w:tc>
        <w:tc>
          <w:tcPr>
            <w:tcW w:w="699"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2057</w:t>
            </w:r>
          </w:p>
        </w:tc>
        <w:tc>
          <w:tcPr>
            <w:tcW w:w="646"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p>
        </w:tc>
        <w:tc>
          <w:tcPr>
            <w:tcW w:w="1088"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22</w:t>
            </w:r>
          </w:p>
        </w:tc>
        <w:tc>
          <w:tcPr>
            <w:tcW w:w="811"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0.00</w:t>
            </w:r>
          </w:p>
        </w:tc>
        <w:tc>
          <w:tcPr>
            <w:tcW w:w="865"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2.49</w:t>
            </w:r>
          </w:p>
        </w:tc>
        <w:tc>
          <w:tcPr>
            <w:tcW w:w="701"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2.49</w:t>
            </w:r>
          </w:p>
        </w:tc>
        <w:tc>
          <w:tcPr>
            <w:tcW w:w="795" w:type="dxa"/>
            <w:noWrap w:val="0"/>
            <w:vAlign w:val="center"/>
          </w:tcPr>
          <w:p>
            <w:pPr>
              <w:widowControl/>
              <w:adjustRightInd w:val="0"/>
              <w:snapToGrid w:val="0"/>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2.49</w:t>
            </w:r>
          </w:p>
        </w:tc>
      </w:tr>
    </w:tbl>
    <w:p>
      <w:pPr>
        <w:adjustRightInd w:val="0"/>
        <w:snapToGrid w:val="0"/>
        <w:spacing w:line="52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（4）工业需水总量</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根据上述工业分一般工业、煤炭工业和火电工业分别对其需水量预测成果统计可以看出，规划2020年淮南市工业需水总量为3.87亿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，万元工业增加值用水量为58</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/万元，较2015年下降25%，规划2030年淮南市工业需水总量为4.53亿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，万元工业增加值用水量为40</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/万元，较2020年下降30%。</w:t>
      </w:r>
    </w:p>
    <w:p>
      <w:pPr>
        <w:adjustRightInd w:val="0"/>
        <w:snapToGrid w:val="0"/>
        <w:spacing w:line="520" w:lineRule="exact"/>
        <w:jc w:val="center"/>
        <w:rPr>
          <w:b/>
          <w:bCs/>
          <w:sz w:val="24"/>
        </w:rPr>
      </w:pPr>
      <w:r>
        <w:rPr>
          <w:rFonts w:hint="eastAsia" w:ascii="方正黑体_GBK" w:hAnsi="方正黑体_GBK" w:eastAsia="方正黑体_GBK" w:cs="方正黑体_GBK"/>
          <w:b/>
          <w:bCs/>
          <w:sz w:val="24"/>
        </w:rPr>
        <w:t xml:space="preserve">表4.3-8  淮南市工业需水量预测成果 </w:t>
      </w:r>
      <w:r>
        <w:rPr>
          <w:b/>
          <w:bCs/>
          <w:sz w:val="24"/>
        </w:rPr>
        <w:t xml:space="preserve"> </w:t>
      </w:r>
    </w:p>
    <w:tbl>
      <w:tblPr>
        <w:tblStyle w:val="12"/>
        <w:tblW w:w="0" w:type="auto"/>
        <w:jc w:val="center"/>
        <w:tblLayout w:type="fixed"/>
        <w:tblCellMar>
          <w:top w:w="0" w:type="dxa"/>
          <w:left w:w="108" w:type="dxa"/>
          <w:bottom w:w="0" w:type="dxa"/>
          <w:right w:w="108" w:type="dxa"/>
        </w:tblCellMar>
      </w:tblPr>
      <w:tblGrid>
        <w:gridCol w:w="1069"/>
        <w:gridCol w:w="942"/>
        <w:gridCol w:w="1653"/>
        <w:gridCol w:w="1282"/>
        <w:gridCol w:w="713"/>
        <w:gridCol w:w="883"/>
        <w:gridCol w:w="759"/>
        <w:gridCol w:w="1859"/>
      </w:tblGrid>
      <w:tr>
        <w:tblPrEx>
          <w:tblCellMar>
            <w:top w:w="0" w:type="dxa"/>
            <w:left w:w="108" w:type="dxa"/>
            <w:bottom w:w="0" w:type="dxa"/>
            <w:right w:w="108" w:type="dxa"/>
          </w:tblCellMar>
        </w:tblPrEx>
        <w:trPr>
          <w:trHeight w:val="359" w:hRule="exact"/>
          <w:jc w:val="center"/>
        </w:trPr>
        <w:tc>
          <w:tcPr>
            <w:tcW w:w="106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水平年</w:t>
            </w:r>
          </w:p>
        </w:tc>
        <w:tc>
          <w:tcPr>
            <w:tcW w:w="2595"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计算分区</w:t>
            </w:r>
          </w:p>
        </w:tc>
        <w:tc>
          <w:tcPr>
            <w:tcW w:w="3637" w:type="dxa"/>
            <w:gridSpan w:val="4"/>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水量（亿m³）</w:t>
            </w:r>
          </w:p>
        </w:tc>
        <w:tc>
          <w:tcPr>
            <w:tcW w:w="185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万元工业增加值用水量（m³/万元）</w:t>
            </w:r>
          </w:p>
        </w:tc>
      </w:tr>
      <w:tr>
        <w:tblPrEx>
          <w:tblCellMar>
            <w:top w:w="0" w:type="dxa"/>
            <w:left w:w="108" w:type="dxa"/>
            <w:bottom w:w="0" w:type="dxa"/>
            <w:right w:w="108" w:type="dxa"/>
          </w:tblCellMar>
        </w:tblPrEx>
        <w:trPr>
          <w:trHeight w:val="359" w:hRule="exact"/>
          <w:jc w:val="center"/>
        </w:trPr>
        <w:tc>
          <w:tcPr>
            <w:tcW w:w="10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2595"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28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一般工业</w:t>
            </w:r>
          </w:p>
        </w:tc>
        <w:tc>
          <w:tcPr>
            <w:tcW w:w="71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煤炭</w:t>
            </w:r>
          </w:p>
        </w:tc>
        <w:tc>
          <w:tcPr>
            <w:tcW w:w="88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火电</w:t>
            </w:r>
          </w:p>
        </w:tc>
        <w:tc>
          <w:tcPr>
            <w:tcW w:w="75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合计</w:t>
            </w:r>
          </w:p>
        </w:tc>
        <w:tc>
          <w:tcPr>
            <w:tcW w:w="18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r>
      <w:tr>
        <w:tblPrEx>
          <w:tblCellMar>
            <w:top w:w="0" w:type="dxa"/>
            <w:left w:w="108" w:type="dxa"/>
            <w:bottom w:w="0" w:type="dxa"/>
            <w:right w:w="108" w:type="dxa"/>
          </w:tblCellMar>
        </w:tblPrEx>
        <w:trPr>
          <w:trHeight w:val="359" w:hRule="exact"/>
          <w:jc w:val="center"/>
        </w:trPr>
        <w:tc>
          <w:tcPr>
            <w:tcW w:w="1069"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2015年</w:t>
            </w:r>
          </w:p>
        </w:tc>
        <w:tc>
          <w:tcPr>
            <w:tcW w:w="942"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0.21</w:t>
            </w:r>
          </w:p>
        </w:tc>
        <w:tc>
          <w:tcPr>
            <w:tcW w:w="71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0.28</w:t>
            </w:r>
          </w:p>
        </w:tc>
        <w:tc>
          <w:tcPr>
            <w:tcW w:w="8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1.26</w:t>
            </w:r>
          </w:p>
        </w:tc>
        <w:tc>
          <w:tcPr>
            <w:tcW w:w="75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1.76</w:t>
            </w:r>
          </w:p>
        </w:tc>
        <w:tc>
          <w:tcPr>
            <w:tcW w:w="185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87</w:t>
            </w:r>
          </w:p>
        </w:tc>
      </w:tr>
      <w:tr>
        <w:tblPrEx>
          <w:tblCellMar>
            <w:top w:w="0" w:type="dxa"/>
            <w:left w:w="108" w:type="dxa"/>
            <w:bottom w:w="0" w:type="dxa"/>
            <w:right w:w="108" w:type="dxa"/>
          </w:tblCellMar>
        </w:tblPrEx>
        <w:trPr>
          <w:trHeight w:val="359" w:hRule="exac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94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0.46</w:t>
            </w:r>
          </w:p>
        </w:tc>
        <w:tc>
          <w:tcPr>
            <w:tcW w:w="71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0.15</w:t>
            </w:r>
          </w:p>
        </w:tc>
        <w:tc>
          <w:tcPr>
            <w:tcW w:w="8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0.44</w:t>
            </w:r>
          </w:p>
        </w:tc>
        <w:tc>
          <w:tcPr>
            <w:tcW w:w="75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1.05</w:t>
            </w:r>
          </w:p>
        </w:tc>
        <w:tc>
          <w:tcPr>
            <w:tcW w:w="185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65</w:t>
            </w:r>
          </w:p>
        </w:tc>
      </w:tr>
      <w:tr>
        <w:tblPrEx>
          <w:tblCellMar>
            <w:top w:w="0" w:type="dxa"/>
            <w:left w:w="108" w:type="dxa"/>
            <w:bottom w:w="0" w:type="dxa"/>
            <w:right w:w="108" w:type="dxa"/>
          </w:tblCellMar>
        </w:tblPrEx>
        <w:trPr>
          <w:trHeight w:val="359" w:hRule="exac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94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0.67</w:t>
            </w:r>
          </w:p>
        </w:tc>
        <w:tc>
          <w:tcPr>
            <w:tcW w:w="71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0.43</w:t>
            </w:r>
          </w:p>
        </w:tc>
        <w:tc>
          <w:tcPr>
            <w:tcW w:w="8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1.70</w:t>
            </w:r>
          </w:p>
        </w:tc>
        <w:tc>
          <w:tcPr>
            <w:tcW w:w="75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2.81</w:t>
            </w:r>
          </w:p>
        </w:tc>
        <w:tc>
          <w:tcPr>
            <w:tcW w:w="185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77</w:t>
            </w:r>
          </w:p>
        </w:tc>
      </w:tr>
      <w:tr>
        <w:tblPrEx>
          <w:tblCellMar>
            <w:top w:w="0" w:type="dxa"/>
            <w:left w:w="108" w:type="dxa"/>
            <w:bottom w:w="0" w:type="dxa"/>
            <w:right w:w="108" w:type="dxa"/>
          </w:tblCellMar>
        </w:tblPrEx>
        <w:trPr>
          <w:trHeight w:val="359" w:hRule="exac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942"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0.28</w:t>
            </w:r>
          </w:p>
        </w:tc>
        <w:tc>
          <w:tcPr>
            <w:tcW w:w="71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0.15</w:t>
            </w:r>
          </w:p>
        </w:tc>
        <w:tc>
          <w:tcPr>
            <w:tcW w:w="8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0.44</w:t>
            </w:r>
          </w:p>
        </w:tc>
        <w:tc>
          <w:tcPr>
            <w:tcW w:w="75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0.86</w:t>
            </w:r>
          </w:p>
        </w:tc>
        <w:tc>
          <w:tcPr>
            <w:tcW w:w="185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67</w:t>
            </w:r>
          </w:p>
        </w:tc>
      </w:tr>
      <w:tr>
        <w:tblPrEx>
          <w:tblCellMar>
            <w:top w:w="0" w:type="dxa"/>
            <w:left w:w="108" w:type="dxa"/>
            <w:bottom w:w="0" w:type="dxa"/>
            <w:right w:w="108" w:type="dxa"/>
          </w:tblCellMar>
        </w:tblPrEx>
        <w:trPr>
          <w:trHeight w:val="359" w:hRule="exac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94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0.18</w:t>
            </w:r>
          </w:p>
        </w:tc>
        <w:tc>
          <w:tcPr>
            <w:tcW w:w="71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0.10</w:t>
            </w:r>
          </w:p>
        </w:tc>
        <w:tc>
          <w:tcPr>
            <w:tcW w:w="8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0.49</w:t>
            </w:r>
          </w:p>
        </w:tc>
        <w:tc>
          <w:tcPr>
            <w:tcW w:w="75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0.77</w:t>
            </w:r>
          </w:p>
        </w:tc>
        <w:tc>
          <w:tcPr>
            <w:tcW w:w="185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85</w:t>
            </w:r>
          </w:p>
        </w:tc>
      </w:tr>
      <w:tr>
        <w:tblPrEx>
          <w:tblCellMar>
            <w:top w:w="0" w:type="dxa"/>
            <w:left w:w="108" w:type="dxa"/>
            <w:bottom w:w="0" w:type="dxa"/>
            <w:right w:w="108" w:type="dxa"/>
          </w:tblCellMar>
        </w:tblPrEx>
        <w:trPr>
          <w:trHeight w:val="359" w:hRule="exac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94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0.03</w:t>
            </w:r>
          </w:p>
        </w:tc>
        <w:tc>
          <w:tcPr>
            <w:tcW w:w="71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0.18</w:t>
            </w:r>
          </w:p>
        </w:tc>
        <w:tc>
          <w:tcPr>
            <w:tcW w:w="8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0.78</w:t>
            </w:r>
          </w:p>
        </w:tc>
        <w:tc>
          <w:tcPr>
            <w:tcW w:w="75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0.99</w:t>
            </w:r>
          </w:p>
        </w:tc>
        <w:tc>
          <w:tcPr>
            <w:tcW w:w="185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84</w:t>
            </w:r>
          </w:p>
        </w:tc>
      </w:tr>
      <w:tr>
        <w:tblPrEx>
          <w:tblCellMar>
            <w:top w:w="0" w:type="dxa"/>
            <w:left w:w="108" w:type="dxa"/>
            <w:bottom w:w="0" w:type="dxa"/>
            <w:right w:w="108" w:type="dxa"/>
          </w:tblCellMar>
        </w:tblPrEx>
        <w:trPr>
          <w:trHeight w:val="359" w:hRule="exac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94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0.18</w:t>
            </w:r>
          </w:p>
        </w:tc>
        <w:tc>
          <w:tcPr>
            <w:tcW w:w="71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8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0.01</w:t>
            </w:r>
          </w:p>
        </w:tc>
        <w:tc>
          <w:tcPr>
            <w:tcW w:w="75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0.19</w:t>
            </w:r>
          </w:p>
        </w:tc>
        <w:tc>
          <w:tcPr>
            <w:tcW w:w="185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67</w:t>
            </w:r>
          </w:p>
        </w:tc>
      </w:tr>
      <w:tr>
        <w:tblPrEx>
          <w:tblCellMar>
            <w:top w:w="0" w:type="dxa"/>
            <w:left w:w="108" w:type="dxa"/>
            <w:bottom w:w="0" w:type="dxa"/>
            <w:right w:w="108" w:type="dxa"/>
          </w:tblCellMar>
        </w:tblPrEx>
        <w:trPr>
          <w:trHeight w:val="359" w:hRule="exac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94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0.67</w:t>
            </w:r>
          </w:p>
        </w:tc>
        <w:tc>
          <w:tcPr>
            <w:tcW w:w="71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0.43</w:t>
            </w:r>
          </w:p>
        </w:tc>
        <w:tc>
          <w:tcPr>
            <w:tcW w:w="8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1.70</w:t>
            </w:r>
          </w:p>
        </w:tc>
        <w:tc>
          <w:tcPr>
            <w:tcW w:w="75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2.81</w:t>
            </w:r>
          </w:p>
        </w:tc>
        <w:tc>
          <w:tcPr>
            <w:tcW w:w="185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77</w:t>
            </w:r>
          </w:p>
        </w:tc>
      </w:tr>
      <w:tr>
        <w:tblPrEx>
          <w:tblCellMar>
            <w:top w:w="0" w:type="dxa"/>
            <w:left w:w="108" w:type="dxa"/>
            <w:bottom w:w="0" w:type="dxa"/>
            <w:right w:w="108" w:type="dxa"/>
          </w:tblCellMar>
        </w:tblPrEx>
        <w:trPr>
          <w:trHeight w:val="359" w:hRule="exact"/>
          <w:jc w:val="center"/>
        </w:trPr>
        <w:tc>
          <w:tcPr>
            <w:tcW w:w="1069"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2020年</w:t>
            </w:r>
          </w:p>
        </w:tc>
        <w:tc>
          <w:tcPr>
            <w:tcW w:w="942"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0.68</w:t>
            </w:r>
          </w:p>
        </w:tc>
        <w:tc>
          <w:tcPr>
            <w:tcW w:w="71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0.29</w:t>
            </w:r>
          </w:p>
        </w:tc>
        <w:tc>
          <w:tcPr>
            <w:tcW w:w="8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1.53</w:t>
            </w:r>
          </w:p>
        </w:tc>
        <w:tc>
          <w:tcPr>
            <w:tcW w:w="75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2.49</w:t>
            </w:r>
          </w:p>
        </w:tc>
        <w:tc>
          <w:tcPr>
            <w:tcW w:w="185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67</w:t>
            </w:r>
          </w:p>
        </w:tc>
      </w:tr>
      <w:tr>
        <w:tblPrEx>
          <w:tblCellMar>
            <w:top w:w="0" w:type="dxa"/>
            <w:left w:w="108" w:type="dxa"/>
            <w:bottom w:w="0" w:type="dxa"/>
            <w:right w:w="108" w:type="dxa"/>
          </w:tblCellMar>
        </w:tblPrEx>
        <w:trPr>
          <w:trHeight w:val="359" w:hRule="exac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94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0.81</w:t>
            </w:r>
          </w:p>
        </w:tc>
        <w:tc>
          <w:tcPr>
            <w:tcW w:w="71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0.15</w:t>
            </w:r>
          </w:p>
        </w:tc>
        <w:tc>
          <w:tcPr>
            <w:tcW w:w="8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0.42</w:t>
            </w:r>
          </w:p>
        </w:tc>
        <w:tc>
          <w:tcPr>
            <w:tcW w:w="75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1.38</w:t>
            </w:r>
          </w:p>
        </w:tc>
        <w:tc>
          <w:tcPr>
            <w:tcW w:w="185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46</w:t>
            </w:r>
          </w:p>
        </w:tc>
      </w:tr>
      <w:tr>
        <w:tblPrEx>
          <w:tblCellMar>
            <w:top w:w="0" w:type="dxa"/>
            <w:left w:w="108" w:type="dxa"/>
            <w:bottom w:w="0" w:type="dxa"/>
            <w:right w:w="108" w:type="dxa"/>
          </w:tblCellMar>
        </w:tblPrEx>
        <w:trPr>
          <w:trHeight w:val="359" w:hRule="exac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94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1.48</w:t>
            </w:r>
          </w:p>
        </w:tc>
        <w:tc>
          <w:tcPr>
            <w:tcW w:w="71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0.45</w:t>
            </w:r>
          </w:p>
        </w:tc>
        <w:tc>
          <w:tcPr>
            <w:tcW w:w="8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1.94</w:t>
            </w:r>
          </w:p>
        </w:tc>
        <w:tc>
          <w:tcPr>
            <w:tcW w:w="75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3.87</w:t>
            </w:r>
          </w:p>
        </w:tc>
        <w:tc>
          <w:tcPr>
            <w:tcW w:w="185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58</w:t>
            </w:r>
          </w:p>
        </w:tc>
      </w:tr>
      <w:tr>
        <w:tblPrEx>
          <w:tblCellMar>
            <w:top w:w="0" w:type="dxa"/>
            <w:left w:w="108" w:type="dxa"/>
            <w:bottom w:w="0" w:type="dxa"/>
            <w:right w:w="108" w:type="dxa"/>
          </w:tblCellMar>
        </w:tblPrEx>
        <w:trPr>
          <w:trHeight w:val="359" w:hRule="exac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942"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0.60</w:t>
            </w:r>
          </w:p>
        </w:tc>
        <w:tc>
          <w:tcPr>
            <w:tcW w:w="71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0.15</w:t>
            </w:r>
          </w:p>
        </w:tc>
        <w:tc>
          <w:tcPr>
            <w:tcW w:w="8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0.41</w:t>
            </w:r>
          </w:p>
        </w:tc>
        <w:tc>
          <w:tcPr>
            <w:tcW w:w="75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1.17</w:t>
            </w:r>
          </w:p>
        </w:tc>
        <w:tc>
          <w:tcPr>
            <w:tcW w:w="185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47</w:t>
            </w:r>
          </w:p>
        </w:tc>
      </w:tr>
      <w:tr>
        <w:tblPrEx>
          <w:tblCellMar>
            <w:top w:w="0" w:type="dxa"/>
            <w:left w:w="108" w:type="dxa"/>
            <w:bottom w:w="0" w:type="dxa"/>
            <w:right w:w="108" w:type="dxa"/>
          </w:tblCellMar>
        </w:tblPrEx>
        <w:trPr>
          <w:trHeight w:val="359" w:hRule="exac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94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0.35</w:t>
            </w:r>
          </w:p>
        </w:tc>
        <w:tc>
          <w:tcPr>
            <w:tcW w:w="71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0.10</w:t>
            </w:r>
          </w:p>
        </w:tc>
        <w:tc>
          <w:tcPr>
            <w:tcW w:w="8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0.63</w:t>
            </w:r>
          </w:p>
        </w:tc>
        <w:tc>
          <w:tcPr>
            <w:tcW w:w="75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1.09</w:t>
            </w:r>
          </w:p>
        </w:tc>
        <w:tc>
          <w:tcPr>
            <w:tcW w:w="185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67</w:t>
            </w:r>
          </w:p>
        </w:tc>
      </w:tr>
      <w:tr>
        <w:tblPrEx>
          <w:tblCellMar>
            <w:top w:w="0" w:type="dxa"/>
            <w:left w:w="108" w:type="dxa"/>
            <w:bottom w:w="0" w:type="dxa"/>
            <w:right w:w="108" w:type="dxa"/>
          </w:tblCellMar>
        </w:tblPrEx>
        <w:trPr>
          <w:trHeight w:val="359" w:hRule="exac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94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0.33</w:t>
            </w:r>
          </w:p>
        </w:tc>
        <w:tc>
          <w:tcPr>
            <w:tcW w:w="71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0.19</w:t>
            </w:r>
          </w:p>
        </w:tc>
        <w:tc>
          <w:tcPr>
            <w:tcW w:w="8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0.89</w:t>
            </w:r>
          </w:p>
        </w:tc>
        <w:tc>
          <w:tcPr>
            <w:tcW w:w="75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1.40</w:t>
            </w:r>
          </w:p>
        </w:tc>
        <w:tc>
          <w:tcPr>
            <w:tcW w:w="185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67</w:t>
            </w:r>
          </w:p>
        </w:tc>
      </w:tr>
      <w:tr>
        <w:tblPrEx>
          <w:tblCellMar>
            <w:top w:w="0" w:type="dxa"/>
            <w:left w:w="108" w:type="dxa"/>
            <w:bottom w:w="0" w:type="dxa"/>
            <w:right w:w="108" w:type="dxa"/>
          </w:tblCellMar>
        </w:tblPrEx>
        <w:trPr>
          <w:trHeight w:val="359" w:hRule="exac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94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0.21</w:t>
            </w:r>
          </w:p>
        </w:tc>
        <w:tc>
          <w:tcPr>
            <w:tcW w:w="71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8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0.01</w:t>
            </w:r>
          </w:p>
        </w:tc>
        <w:tc>
          <w:tcPr>
            <w:tcW w:w="75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0.21</w:t>
            </w:r>
          </w:p>
        </w:tc>
        <w:tc>
          <w:tcPr>
            <w:tcW w:w="185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42</w:t>
            </w:r>
          </w:p>
        </w:tc>
      </w:tr>
      <w:tr>
        <w:tblPrEx>
          <w:tblCellMar>
            <w:top w:w="0" w:type="dxa"/>
            <w:left w:w="108" w:type="dxa"/>
            <w:bottom w:w="0" w:type="dxa"/>
            <w:right w:w="108" w:type="dxa"/>
          </w:tblCellMar>
        </w:tblPrEx>
        <w:trPr>
          <w:trHeight w:val="359" w:hRule="exac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94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1.48</w:t>
            </w:r>
          </w:p>
        </w:tc>
        <w:tc>
          <w:tcPr>
            <w:tcW w:w="71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0.45</w:t>
            </w:r>
          </w:p>
        </w:tc>
        <w:tc>
          <w:tcPr>
            <w:tcW w:w="8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1.94</w:t>
            </w:r>
          </w:p>
        </w:tc>
        <w:tc>
          <w:tcPr>
            <w:tcW w:w="75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3.87</w:t>
            </w:r>
          </w:p>
        </w:tc>
        <w:tc>
          <w:tcPr>
            <w:tcW w:w="185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58</w:t>
            </w:r>
          </w:p>
        </w:tc>
      </w:tr>
      <w:tr>
        <w:tblPrEx>
          <w:tblCellMar>
            <w:top w:w="0" w:type="dxa"/>
            <w:left w:w="108" w:type="dxa"/>
            <w:bottom w:w="0" w:type="dxa"/>
            <w:right w:w="108" w:type="dxa"/>
          </w:tblCellMar>
        </w:tblPrEx>
        <w:trPr>
          <w:trHeight w:val="359" w:hRule="exact"/>
          <w:jc w:val="center"/>
        </w:trPr>
        <w:tc>
          <w:tcPr>
            <w:tcW w:w="1069"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2030年</w:t>
            </w:r>
          </w:p>
        </w:tc>
        <w:tc>
          <w:tcPr>
            <w:tcW w:w="942"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0.76</w:t>
            </w:r>
          </w:p>
        </w:tc>
        <w:tc>
          <w:tcPr>
            <w:tcW w:w="71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0.30</w:t>
            </w:r>
          </w:p>
        </w:tc>
        <w:tc>
          <w:tcPr>
            <w:tcW w:w="8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1.94</w:t>
            </w:r>
          </w:p>
        </w:tc>
        <w:tc>
          <w:tcPr>
            <w:tcW w:w="75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3.00</w:t>
            </w:r>
          </w:p>
        </w:tc>
        <w:tc>
          <w:tcPr>
            <w:tcW w:w="185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50</w:t>
            </w:r>
          </w:p>
        </w:tc>
      </w:tr>
      <w:tr>
        <w:tblPrEx>
          <w:tblCellMar>
            <w:top w:w="0" w:type="dxa"/>
            <w:left w:w="108" w:type="dxa"/>
            <w:bottom w:w="0" w:type="dxa"/>
            <w:right w:w="108" w:type="dxa"/>
          </w:tblCellMar>
        </w:tblPrEx>
        <w:trPr>
          <w:trHeight w:val="359" w:hRule="exac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94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0.82</w:t>
            </w:r>
          </w:p>
        </w:tc>
        <w:tc>
          <w:tcPr>
            <w:tcW w:w="71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0.16</w:t>
            </w:r>
          </w:p>
        </w:tc>
        <w:tc>
          <w:tcPr>
            <w:tcW w:w="8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0.55</w:t>
            </w:r>
          </w:p>
        </w:tc>
        <w:tc>
          <w:tcPr>
            <w:tcW w:w="75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1.53</w:t>
            </w:r>
          </w:p>
        </w:tc>
        <w:tc>
          <w:tcPr>
            <w:tcW w:w="185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29</w:t>
            </w:r>
          </w:p>
        </w:tc>
      </w:tr>
      <w:tr>
        <w:tblPrEx>
          <w:tblCellMar>
            <w:top w:w="0" w:type="dxa"/>
            <w:left w:w="108" w:type="dxa"/>
            <w:bottom w:w="0" w:type="dxa"/>
            <w:right w:w="108" w:type="dxa"/>
          </w:tblCellMar>
        </w:tblPrEx>
        <w:trPr>
          <w:trHeight w:val="359" w:hRule="exac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94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1.58</w:t>
            </w:r>
          </w:p>
        </w:tc>
        <w:tc>
          <w:tcPr>
            <w:tcW w:w="71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0.46</w:t>
            </w:r>
          </w:p>
        </w:tc>
        <w:tc>
          <w:tcPr>
            <w:tcW w:w="8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2.49</w:t>
            </w:r>
          </w:p>
        </w:tc>
        <w:tc>
          <w:tcPr>
            <w:tcW w:w="75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4.53</w:t>
            </w:r>
          </w:p>
        </w:tc>
        <w:tc>
          <w:tcPr>
            <w:tcW w:w="185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40</w:t>
            </w:r>
          </w:p>
        </w:tc>
      </w:tr>
      <w:tr>
        <w:tblPrEx>
          <w:tblCellMar>
            <w:top w:w="0" w:type="dxa"/>
            <w:left w:w="108" w:type="dxa"/>
            <w:bottom w:w="0" w:type="dxa"/>
            <w:right w:w="108" w:type="dxa"/>
          </w:tblCellMar>
        </w:tblPrEx>
        <w:trPr>
          <w:trHeight w:val="359" w:hRule="exac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942"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0.61</w:t>
            </w:r>
          </w:p>
        </w:tc>
        <w:tc>
          <w:tcPr>
            <w:tcW w:w="71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0.16</w:t>
            </w:r>
          </w:p>
        </w:tc>
        <w:tc>
          <w:tcPr>
            <w:tcW w:w="8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0.54</w:t>
            </w:r>
          </w:p>
        </w:tc>
        <w:tc>
          <w:tcPr>
            <w:tcW w:w="75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1.32</w:t>
            </w:r>
          </w:p>
        </w:tc>
        <w:tc>
          <w:tcPr>
            <w:tcW w:w="185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31</w:t>
            </w:r>
          </w:p>
        </w:tc>
      </w:tr>
      <w:tr>
        <w:tblPrEx>
          <w:tblCellMar>
            <w:top w:w="0" w:type="dxa"/>
            <w:left w:w="108" w:type="dxa"/>
            <w:bottom w:w="0" w:type="dxa"/>
            <w:right w:w="108" w:type="dxa"/>
          </w:tblCellMar>
        </w:tblPrEx>
        <w:trPr>
          <w:trHeight w:val="359" w:hRule="exac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94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0.33</w:t>
            </w:r>
          </w:p>
        </w:tc>
        <w:tc>
          <w:tcPr>
            <w:tcW w:w="71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0.11</w:t>
            </w:r>
          </w:p>
        </w:tc>
        <w:tc>
          <w:tcPr>
            <w:tcW w:w="8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1.09</w:t>
            </w:r>
          </w:p>
        </w:tc>
        <w:tc>
          <w:tcPr>
            <w:tcW w:w="75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1.52</w:t>
            </w:r>
          </w:p>
        </w:tc>
        <w:tc>
          <w:tcPr>
            <w:tcW w:w="185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58</w:t>
            </w:r>
          </w:p>
        </w:tc>
      </w:tr>
      <w:tr>
        <w:tblPrEx>
          <w:tblCellMar>
            <w:top w:w="0" w:type="dxa"/>
            <w:left w:w="108" w:type="dxa"/>
            <w:bottom w:w="0" w:type="dxa"/>
            <w:right w:w="108" w:type="dxa"/>
          </w:tblCellMar>
        </w:tblPrEx>
        <w:trPr>
          <w:trHeight w:val="359" w:hRule="exac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94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0.43</w:t>
            </w:r>
          </w:p>
        </w:tc>
        <w:tc>
          <w:tcPr>
            <w:tcW w:w="71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0.19</w:t>
            </w:r>
          </w:p>
        </w:tc>
        <w:tc>
          <w:tcPr>
            <w:tcW w:w="8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0.85</w:t>
            </w:r>
          </w:p>
        </w:tc>
        <w:tc>
          <w:tcPr>
            <w:tcW w:w="75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1.48</w:t>
            </w:r>
          </w:p>
        </w:tc>
        <w:tc>
          <w:tcPr>
            <w:tcW w:w="185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43</w:t>
            </w:r>
          </w:p>
        </w:tc>
      </w:tr>
      <w:tr>
        <w:tblPrEx>
          <w:tblCellMar>
            <w:top w:w="0" w:type="dxa"/>
            <w:left w:w="108" w:type="dxa"/>
            <w:bottom w:w="0" w:type="dxa"/>
            <w:right w:w="108" w:type="dxa"/>
          </w:tblCellMar>
        </w:tblPrEx>
        <w:trPr>
          <w:trHeight w:val="359" w:hRule="exac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94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0.21</w:t>
            </w:r>
          </w:p>
        </w:tc>
        <w:tc>
          <w:tcPr>
            <w:tcW w:w="71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8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0.01</w:t>
            </w:r>
          </w:p>
        </w:tc>
        <w:tc>
          <w:tcPr>
            <w:tcW w:w="75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0.21</w:t>
            </w:r>
          </w:p>
        </w:tc>
        <w:tc>
          <w:tcPr>
            <w:tcW w:w="185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23</w:t>
            </w:r>
          </w:p>
        </w:tc>
      </w:tr>
      <w:tr>
        <w:tblPrEx>
          <w:tblCellMar>
            <w:top w:w="0" w:type="dxa"/>
            <w:left w:w="108" w:type="dxa"/>
            <w:bottom w:w="0" w:type="dxa"/>
            <w:right w:w="108" w:type="dxa"/>
          </w:tblCellMar>
        </w:tblPrEx>
        <w:trPr>
          <w:trHeight w:val="379" w:hRule="exact"/>
          <w:jc w:val="center"/>
        </w:trPr>
        <w:tc>
          <w:tcPr>
            <w:tcW w:w="106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94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1.58</w:t>
            </w:r>
          </w:p>
        </w:tc>
        <w:tc>
          <w:tcPr>
            <w:tcW w:w="71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0.46</w:t>
            </w:r>
          </w:p>
        </w:tc>
        <w:tc>
          <w:tcPr>
            <w:tcW w:w="8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2.49</w:t>
            </w:r>
          </w:p>
        </w:tc>
        <w:tc>
          <w:tcPr>
            <w:tcW w:w="75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4.53</w:t>
            </w:r>
          </w:p>
        </w:tc>
        <w:tc>
          <w:tcPr>
            <w:tcW w:w="1859"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40</w:t>
            </w:r>
          </w:p>
        </w:tc>
      </w:tr>
    </w:tbl>
    <w:p>
      <w:pPr>
        <w:keepNext w:val="0"/>
        <w:keepLines w:val="0"/>
        <w:pageBreakBefore w:val="0"/>
        <w:widowControl w:val="0"/>
        <w:kinsoku/>
        <w:wordWrap/>
        <w:overflowPunct/>
        <w:topLinePunct w:val="0"/>
        <w:autoSpaceDE/>
        <w:autoSpaceDN/>
        <w:bidi w:val="0"/>
        <w:adjustRightInd w:val="0"/>
        <w:snapToGrid w:val="0"/>
        <w:spacing w:line="590" w:lineRule="exact"/>
        <w:ind w:firstLine="482"/>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（四）农业需水预测</w:t>
      </w:r>
    </w:p>
    <w:p>
      <w:pPr>
        <w:keepNext w:val="0"/>
        <w:keepLines w:val="0"/>
        <w:pageBreakBefore w:val="0"/>
        <w:widowControl w:val="0"/>
        <w:kinsoku/>
        <w:wordWrap/>
        <w:overflowPunct/>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（1）农田灌溉需水预测</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2015年农田有效灌溉面积390.5万亩，农业种植主要以水稻、小麦、玉米、大豆、油菜、薯类和棉花为主，近年来随着农村经济社会的发展经济作物种植比例不断增加。根据上述农业发展指标预测，至2020年淮南市农田有效灌溉面积将达到405.6万亩，至2030年农田有效灌溉面积约为416.9万亩。</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农田灌溉需水量不仅与农作物种植结构、当地雨晴、作物种植方式等因素有关，另外还与渠系水利用系数与工程配套、防渗措施、用水管理、输水方式等有密切关系，其正确估计对确定农业灌溉用水量影响较大，估算时应尽量避免主观任意性。淮南市现状年农业灌溉水利用系数为0.55。根据相关规划成果预计至2020年可提高到0.565左右；至2030年可进一步提高至0.60左右。</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根据淮南市现状灌溉用水水平，以作物种植、种植方式、灌溉水综合利用系数等因素，根据现有相关规划成果，综合分析拟定不同保证率的灌溉用水定额。如下表4.3-9。</w:t>
      </w:r>
    </w:p>
    <w:p>
      <w:pPr>
        <w:adjustRightInd w:val="0"/>
        <w:snapToGrid w:val="0"/>
        <w:spacing w:line="520" w:lineRule="exact"/>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表4.3-9  不同类型农田灌溉用水定额   单位：m³/亩</w:t>
      </w:r>
    </w:p>
    <w:tbl>
      <w:tblPr>
        <w:tblStyle w:val="12"/>
        <w:tblW w:w="0" w:type="auto"/>
        <w:jc w:val="center"/>
        <w:tblLayout w:type="fixed"/>
        <w:tblCellMar>
          <w:top w:w="15" w:type="dxa"/>
          <w:left w:w="15" w:type="dxa"/>
          <w:bottom w:w="15" w:type="dxa"/>
          <w:right w:w="15" w:type="dxa"/>
        </w:tblCellMar>
      </w:tblPr>
      <w:tblGrid>
        <w:gridCol w:w="1411"/>
        <w:gridCol w:w="1885"/>
        <w:gridCol w:w="1922"/>
        <w:gridCol w:w="1922"/>
      </w:tblGrid>
      <w:tr>
        <w:tblPrEx>
          <w:tblCellMar>
            <w:top w:w="15" w:type="dxa"/>
            <w:left w:w="15" w:type="dxa"/>
            <w:bottom w:w="15" w:type="dxa"/>
            <w:right w:w="15" w:type="dxa"/>
          </w:tblCellMar>
        </w:tblPrEx>
        <w:trPr>
          <w:trHeight w:val="330" w:hRule="atLeast"/>
          <w:jc w:val="center"/>
        </w:trPr>
        <w:tc>
          <w:tcPr>
            <w:tcW w:w="14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水平年</w:t>
            </w:r>
          </w:p>
        </w:tc>
        <w:tc>
          <w:tcPr>
            <w:tcW w:w="188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保证率</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河灌区</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井灌区</w:t>
            </w:r>
          </w:p>
        </w:tc>
      </w:tr>
      <w:tr>
        <w:tblPrEx>
          <w:tblCellMar>
            <w:top w:w="15" w:type="dxa"/>
            <w:left w:w="15" w:type="dxa"/>
            <w:bottom w:w="15" w:type="dxa"/>
            <w:right w:w="15" w:type="dxa"/>
          </w:tblCellMar>
        </w:tblPrEx>
        <w:trPr>
          <w:trHeight w:val="330" w:hRule="atLeast"/>
          <w:jc w:val="center"/>
        </w:trPr>
        <w:tc>
          <w:tcPr>
            <w:tcW w:w="141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2015</w:t>
            </w:r>
          </w:p>
        </w:tc>
        <w:tc>
          <w:tcPr>
            <w:tcW w:w="188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多年平均</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368</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256</w:t>
            </w:r>
          </w:p>
        </w:tc>
      </w:tr>
      <w:tr>
        <w:tblPrEx>
          <w:tblCellMar>
            <w:top w:w="15" w:type="dxa"/>
            <w:left w:w="15" w:type="dxa"/>
            <w:bottom w:w="15" w:type="dxa"/>
            <w:right w:w="15" w:type="dxa"/>
          </w:tblCellMar>
        </w:tblPrEx>
        <w:trPr>
          <w:trHeight w:val="330" w:hRule="atLeast"/>
          <w:jc w:val="center"/>
        </w:trPr>
        <w:tc>
          <w:tcPr>
            <w:tcW w:w="14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88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50%</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301</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214</w:t>
            </w:r>
          </w:p>
        </w:tc>
      </w:tr>
      <w:tr>
        <w:tblPrEx>
          <w:tblCellMar>
            <w:top w:w="15" w:type="dxa"/>
            <w:left w:w="15" w:type="dxa"/>
            <w:bottom w:w="15" w:type="dxa"/>
            <w:right w:w="15" w:type="dxa"/>
          </w:tblCellMar>
        </w:tblPrEx>
        <w:trPr>
          <w:trHeight w:val="330" w:hRule="atLeast"/>
          <w:jc w:val="center"/>
        </w:trPr>
        <w:tc>
          <w:tcPr>
            <w:tcW w:w="14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88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75%</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429</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281</w:t>
            </w:r>
          </w:p>
        </w:tc>
      </w:tr>
      <w:tr>
        <w:tblPrEx>
          <w:tblCellMar>
            <w:top w:w="15" w:type="dxa"/>
            <w:left w:w="15" w:type="dxa"/>
            <w:bottom w:w="15" w:type="dxa"/>
            <w:right w:w="15" w:type="dxa"/>
          </w:tblCellMar>
        </w:tblPrEx>
        <w:trPr>
          <w:trHeight w:val="330" w:hRule="atLeast"/>
          <w:jc w:val="center"/>
        </w:trPr>
        <w:tc>
          <w:tcPr>
            <w:tcW w:w="14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88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95%</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663</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328</w:t>
            </w:r>
          </w:p>
        </w:tc>
      </w:tr>
      <w:tr>
        <w:tblPrEx>
          <w:tblCellMar>
            <w:top w:w="15" w:type="dxa"/>
            <w:left w:w="15" w:type="dxa"/>
            <w:bottom w:w="15" w:type="dxa"/>
            <w:right w:w="15" w:type="dxa"/>
          </w:tblCellMar>
        </w:tblPrEx>
        <w:trPr>
          <w:trHeight w:val="330" w:hRule="atLeast"/>
          <w:jc w:val="center"/>
        </w:trPr>
        <w:tc>
          <w:tcPr>
            <w:tcW w:w="141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2020</w:t>
            </w:r>
          </w:p>
        </w:tc>
        <w:tc>
          <w:tcPr>
            <w:tcW w:w="188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多年平均</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351</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233</w:t>
            </w:r>
          </w:p>
        </w:tc>
      </w:tr>
      <w:tr>
        <w:tblPrEx>
          <w:tblCellMar>
            <w:top w:w="15" w:type="dxa"/>
            <w:left w:w="15" w:type="dxa"/>
            <w:bottom w:w="15" w:type="dxa"/>
            <w:right w:w="15" w:type="dxa"/>
          </w:tblCellMar>
        </w:tblPrEx>
        <w:trPr>
          <w:trHeight w:val="377" w:hRule="atLeast"/>
          <w:jc w:val="center"/>
        </w:trPr>
        <w:tc>
          <w:tcPr>
            <w:tcW w:w="14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88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50%</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290</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192</w:t>
            </w:r>
          </w:p>
        </w:tc>
      </w:tr>
      <w:tr>
        <w:tblPrEx>
          <w:tblCellMar>
            <w:top w:w="15" w:type="dxa"/>
            <w:left w:w="15" w:type="dxa"/>
            <w:bottom w:w="15" w:type="dxa"/>
            <w:right w:w="15" w:type="dxa"/>
          </w:tblCellMar>
        </w:tblPrEx>
        <w:trPr>
          <w:trHeight w:val="377" w:hRule="atLeast"/>
          <w:jc w:val="center"/>
        </w:trPr>
        <w:tc>
          <w:tcPr>
            <w:tcW w:w="14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88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75%</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417</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261</w:t>
            </w:r>
          </w:p>
        </w:tc>
      </w:tr>
      <w:tr>
        <w:tblPrEx>
          <w:tblCellMar>
            <w:top w:w="15" w:type="dxa"/>
            <w:left w:w="15" w:type="dxa"/>
            <w:bottom w:w="15" w:type="dxa"/>
            <w:right w:w="15" w:type="dxa"/>
          </w:tblCellMar>
        </w:tblPrEx>
        <w:trPr>
          <w:trHeight w:val="330" w:hRule="atLeast"/>
          <w:jc w:val="center"/>
        </w:trPr>
        <w:tc>
          <w:tcPr>
            <w:tcW w:w="14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88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95%</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646</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305</w:t>
            </w:r>
          </w:p>
        </w:tc>
      </w:tr>
      <w:tr>
        <w:tblPrEx>
          <w:tblCellMar>
            <w:top w:w="15" w:type="dxa"/>
            <w:left w:w="15" w:type="dxa"/>
            <w:bottom w:w="15" w:type="dxa"/>
            <w:right w:w="15" w:type="dxa"/>
          </w:tblCellMar>
        </w:tblPrEx>
        <w:trPr>
          <w:trHeight w:val="330" w:hRule="atLeast"/>
          <w:jc w:val="center"/>
        </w:trPr>
        <w:tc>
          <w:tcPr>
            <w:tcW w:w="141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2030</w:t>
            </w:r>
          </w:p>
        </w:tc>
        <w:tc>
          <w:tcPr>
            <w:tcW w:w="188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多年平均</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331</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186</w:t>
            </w:r>
          </w:p>
        </w:tc>
      </w:tr>
      <w:tr>
        <w:tblPrEx>
          <w:tblCellMar>
            <w:top w:w="15" w:type="dxa"/>
            <w:left w:w="15" w:type="dxa"/>
            <w:bottom w:w="15" w:type="dxa"/>
            <w:right w:w="15" w:type="dxa"/>
          </w:tblCellMar>
        </w:tblPrEx>
        <w:trPr>
          <w:trHeight w:val="377" w:hRule="atLeast"/>
          <w:jc w:val="center"/>
        </w:trPr>
        <w:tc>
          <w:tcPr>
            <w:tcW w:w="14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88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50%</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276</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148</w:t>
            </w:r>
          </w:p>
        </w:tc>
      </w:tr>
      <w:tr>
        <w:tblPrEx>
          <w:tblCellMar>
            <w:top w:w="15" w:type="dxa"/>
            <w:left w:w="15" w:type="dxa"/>
            <w:bottom w:w="15" w:type="dxa"/>
            <w:right w:w="15" w:type="dxa"/>
          </w:tblCellMar>
        </w:tblPrEx>
        <w:trPr>
          <w:trHeight w:val="330" w:hRule="atLeast"/>
          <w:jc w:val="center"/>
        </w:trPr>
        <w:tc>
          <w:tcPr>
            <w:tcW w:w="14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88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75%</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395</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221</w:t>
            </w:r>
          </w:p>
        </w:tc>
      </w:tr>
      <w:tr>
        <w:tblPrEx>
          <w:tblCellMar>
            <w:top w:w="15" w:type="dxa"/>
            <w:left w:w="15" w:type="dxa"/>
            <w:bottom w:w="15" w:type="dxa"/>
            <w:right w:w="15" w:type="dxa"/>
          </w:tblCellMar>
        </w:tblPrEx>
        <w:trPr>
          <w:trHeight w:val="361" w:hRule="atLeast"/>
          <w:jc w:val="center"/>
        </w:trPr>
        <w:tc>
          <w:tcPr>
            <w:tcW w:w="14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szCs w:val="21"/>
              </w:rPr>
            </w:pPr>
          </w:p>
        </w:tc>
        <w:tc>
          <w:tcPr>
            <w:tcW w:w="188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95%</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613</w:t>
            </w:r>
          </w:p>
        </w:tc>
        <w:tc>
          <w:tcPr>
            <w:tcW w:w="1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260</w:t>
            </w:r>
          </w:p>
        </w:tc>
      </w:tr>
    </w:tbl>
    <w:p>
      <w:pPr>
        <w:pStyle w:val="2"/>
        <w:jc w:val="left"/>
        <w:rPr>
          <w:rFonts w:hint="default" w:ascii="Times New Roman" w:hAnsi="Times New Roman" w:eastAsia="方正仿宋_GBK" w:cs="Times New Roman"/>
          <w:sz w:val="32"/>
          <w:szCs w:val="32"/>
        </w:rPr>
        <w:sectPr>
          <w:headerReference r:id="rId14" w:type="default"/>
          <w:footerReference r:id="rId15" w:type="default"/>
          <w:pgSz w:w="11906" w:h="16838"/>
          <w:pgMar w:top="1962" w:right="1474" w:bottom="1848" w:left="1587" w:header="851" w:footer="992" w:gutter="0"/>
          <w:pgNumType w:fmt="numberInDash"/>
          <w:cols w:space="0" w:num="1"/>
          <w:rtlGutter w:val="0"/>
          <w:docGrid w:type="lines" w:linePitch="312" w:charSpace="0"/>
        </w:sectPr>
      </w:pPr>
      <w:r>
        <w:rPr>
          <w:rFonts w:hint="default" w:ascii="Times New Roman" w:hAnsi="Times New Roman" w:eastAsia="方正仿宋_GBK" w:cs="Times New Roman"/>
          <w:sz w:val="32"/>
          <w:szCs w:val="32"/>
        </w:rPr>
        <w:t>根据不同类型农业用地面积、用水定额以及灌溉水利用系数，来推求各区农业灌溉需水量。2015年多年平均及50%、75%、95%保证率农业需水量分别为：13.72亿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、11.23亿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、16.01亿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、24.71亿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；2020年多年平均及50%、75%、95%保证率农业需水量分别为：13.49亿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、11.15亿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、16.04亿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、24.82亿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；2030年多年平均及50%、75%、95%保证率农业需水量分别为：13.04亿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、10.88亿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、15.57亿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、24.14亿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；农业灌溉需水量预测结果见表4.3-10。</w:t>
      </w:r>
    </w:p>
    <w:p>
      <w:pPr>
        <w:adjustRightInd w:val="0"/>
        <w:snapToGrid w:val="0"/>
        <w:spacing w:line="520" w:lineRule="exact"/>
        <w:jc w:val="center"/>
        <w:rPr>
          <w:rFonts w:hint="eastAsia" w:ascii="方正黑体_GBK" w:hAnsi="方正黑体_GBK" w:eastAsia="方正黑体_GBK" w:cs="方正黑体_GBK"/>
          <w:b/>
          <w:bCs/>
          <w:sz w:val="24"/>
        </w:rPr>
      </w:pPr>
    </w:p>
    <w:p>
      <w:pPr>
        <w:adjustRightInd w:val="0"/>
        <w:snapToGrid w:val="0"/>
        <w:spacing w:line="520" w:lineRule="exact"/>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表4.3-10   淮南市农田灌溉需水量预测成果   单位：亿m³</w:t>
      </w:r>
    </w:p>
    <w:tbl>
      <w:tblPr>
        <w:tblStyle w:val="12"/>
        <w:tblW w:w="0" w:type="auto"/>
        <w:jc w:val="center"/>
        <w:tblLayout w:type="fixed"/>
        <w:tblCellMar>
          <w:top w:w="0" w:type="dxa"/>
          <w:left w:w="108" w:type="dxa"/>
          <w:bottom w:w="0" w:type="dxa"/>
          <w:right w:w="108" w:type="dxa"/>
        </w:tblCellMar>
      </w:tblPr>
      <w:tblGrid>
        <w:gridCol w:w="810"/>
        <w:gridCol w:w="810"/>
        <w:gridCol w:w="1478"/>
        <w:gridCol w:w="1078"/>
        <w:gridCol w:w="653"/>
        <w:gridCol w:w="806"/>
        <w:gridCol w:w="805"/>
        <w:gridCol w:w="915"/>
        <w:gridCol w:w="777"/>
        <w:gridCol w:w="776"/>
        <w:gridCol w:w="721"/>
        <w:gridCol w:w="1021"/>
        <w:gridCol w:w="680"/>
        <w:gridCol w:w="835"/>
        <w:gridCol w:w="835"/>
      </w:tblGrid>
      <w:tr>
        <w:tblPrEx>
          <w:tblCellMar>
            <w:top w:w="0" w:type="dxa"/>
            <w:left w:w="108" w:type="dxa"/>
            <w:bottom w:w="0" w:type="dxa"/>
            <w:right w:w="108" w:type="dxa"/>
          </w:tblCellMar>
        </w:tblPrEx>
        <w:trPr>
          <w:trHeight w:val="294" w:hRule="exact"/>
          <w:jc w:val="center"/>
        </w:trPr>
        <w:tc>
          <w:tcPr>
            <w:tcW w:w="810" w:type="dxa"/>
            <w:vMerge w:val="restart"/>
            <w:tcBorders>
              <w:top w:val="single" w:color="auto" w:sz="4" w:space="0"/>
              <w:left w:val="single" w:color="auto" w:sz="4" w:space="0"/>
              <w:right w:val="single" w:color="000000"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水平年</w:t>
            </w:r>
          </w:p>
        </w:tc>
        <w:tc>
          <w:tcPr>
            <w:tcW w:w="2288" w:type="dxa"/>
            <w:gridSpan w:val="2"/>
            <w:vMerge w:val="restart"/>
            <w:tcBorders>
              <w:top w:val="single" w:color="auto" w:sz="4" w:space="0"/>
              <w:left w:val="single" w:color="auto" w:sz="4" w:space="0"/>
              <w:bottom w:val="single" w:color="000000" w:sz="4" w:space="0"/>
              <w:right w:val="single" w:color="000000"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计算分区</w:t>
            </w:r>
          </w:p>
        </w:tc>
        <w:tc>
          <w:tcPr>
            <w:tcW w:w="3342" w:type="dxa"/>
            <w:gridSpan w:val="4"/>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河灌区水量</w:t>
            </w:r>
          </w:p>
        </w:tc>
        <w:tc>
          <w:tcPr>
            <w:tcW w:w="3189" w:type="dxa"/>
            <w:gridSpan w:val="4"/>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井灌区需水量</w:t>
            </w:r>
          </w:p>
        </w:tc>
        <w:tc>
          <w:tcPr>
            <w:tcW w:w="3371" w:type="dxa"/>
            <w:gridSpan w:val="4"/>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总需水量</w:t>
            </w:r>
          </w:p>
        </w:tc>
      </w:tr>
      <w:tr>
        <w:tblPrEx>
          <w:tblCellMar>
            <w:top w:w="0" w:type="dxa"/>
            <w:left w:w="108" w:type="dxa"/>
            <w:bottom w:w="0" w:type="dxa"/>
            <w:right w:w="108" w:type="dxa"/>
          </w:tblCellMar>
        </w:tblPrEx>
        <w:trPr>
          <w:trHeight w:val="294" w:hRule="exact"/>
          <w:jc w:val="center"/>
        </w:trPr>
        <w:tc>
          <w:tcPr>
            <w:tcW w:w="810" w:type="dxa"/>
            <w:vMerge w:val="continue"/>
            <w:tcBorders>
              <w:left w:val="single" w:color="auto" w:sz="4" w:space="0"/>
              <w:bottom w:val="single" w:color="000000" w:sz="4" w:space="0"/>
              <w:right w:val="single" w:color="000000" w:sz="4" w:space="0"/>
            </w:tcBorders>
            <w:noWrap w:val="0"/>
            <w:vAlign w:val="center"/>
          </w:tcPr>
          <w:p>
            <w:pPr>
              <w:widowControl/>
              <w:jc w:val="left"/>
              <w:rPr>
                <w:rFonts w:hint="default" w:ascii="Times New Roman" w:hAnsi="Times New Roman" w:eastAsia="方正仿宋_GBK" w:cs="Times New Roman"/>
                <w:kern w:val="0"/>
                <w:szCs w:val="21"/>
              </w:rPr>
            </w:pPr>
          </w:p>
        </w:tc>
        <w:tc>
          <w:tcPr>
            <w:tcW w:w="2288" w:type="dxa"/>
            <w:gridSpan w:val="2"/>
            <w:vMerge w:val="continue"/>
            <w:tcBorders>
              <w:top w:val="single" w:color="auto" w:sz="4" w:space="0"/>
              <w:left w:val="single" w:color="auto" w:sz="4" w:space="0"/>
              <w:bottom w:val="single" w:color="000000" w:sz="4" w:space="0"/>
              <w:right w:val="single" w:color="000000" w:sz="4" w:space="0"/>
            </w:tcBorders>
            <w:noWrap w:val="0"/>
            <w:vAlign w:val="center"/>
          </w:tcPr>
          <w:p>
            <w:pPr>
              <w:widowControl/>
              <w:jc w:val="left"/>
              <w:rPr>
                <w:rFonts w:hint="default" w:ascii="Times New Roman" w:hAnsi="Times New Roman" w:eastAsia="方正仿宋_GBK" w:cs="Times New Roman"/>
                <w:kern w:val="0"/>
                <w:szCs w:val="21"/>
              </w:rPr>
            </w:pPr>
          </w:p>
        </w:tc>
        <w:tc>
          <w:tcPr>
            <w:tcW w:w="10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多年平均</w:t>
            </w:r>
          </w:p>
        </w:tc>
        <w:tc>
          <w:tcPr>
            <w:tcW w:w="65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50%</w:t>
            </w:r>
          </w:p>
        </w:tc>
        <w:tc>
          <w:tcPr>
            <w:tcW w:w="80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75%</w:t>
            </w:r>
          </w:p>
        </w:tc>
        <w:tc>
          <w:tcPr>
            <w:tcW w:w="80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95%</w:t>
            </w:r>
          </w:p>
        </w:tc>
        <w:tc>
          <w:tcPr>
            <w:tcW w:w="915"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多年平均</w:t>
            </w:r>
          </w:p>
        </w:tc>
        <w:tc>
          <w:tcPr>
            <w:tcW w:w="777"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50%</w:t>
            </w:r>
          </w:p>
        </w:tc>
        <w:tc>
          <w:tcPr>
            <w:tcW w:w="77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75%</w:t>
            </w:r>
          </w:p>
        </w:tc>
        <w:tc>
          <w:tcPr>
            <w:tcW w:w="72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95%</w:t>
            </w:r>
          </w:p>
        </w:tc>
        <w:tc>
          <w:tcPr>
            <w:tcW w:w="102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多年平均</w:t>
            </w:r>
          </w:p>
        </w:tc>
        <w:tc>
          <w:tcPr>
            <w:tcW w:w="68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50%</w:t>
            </w:r>
          </w:p>
        </w:tc>
        <w:tc>
          <w:tcPr>
            <w:tcW w:w="83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75%</w:t>
            </w:r>
          </w:p>
        </w:tc>
        <w:tc>
          <w:tcPr>
            <w:tcW w:w="83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95%</w:t>
            </w:r>
          </w:p>
        </w:tc>
      </w:tr>
      <w:tr>
        <w:tblPrEx>
          <w:tblCellMar>
            <w:top w:w="0" w:type="dxa"/>
            <w:left w:w="108" w:type="dxa"/>
            <w:bottom w:w="0" w:type="dxa"/>
            <w:right w:w="108" w:type="dxa"/>
          </w:tblCellMar>
        </w:tblPrEx>
        <w:trPr>
          <w:trHeight w:val="294" w:hRule="exact"/>
          <w:jc w:val="center"/>
        </w:trPr>
        <w:tc>
          <w:tcPr>
            <w:tcW w:w="810" w:type="dxa"/>
            <w:vMerge w:val="restart"/>
            <w:tcBorders>
              <w:top w:val="nil"/>
              <w:left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2015</w:t>
            </w:r>
          </w:p>
        </w:tc>
        <w:tc>
          <w:tcPr>
            <w:tcW w:w="81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4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07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5.47</w:t>
            </w:r>
          </w:p>
        </w:tc>
        <w:tc>
          <w:tcPr>
            <w:tcW w:w="65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4.47</w:t>
            </w:r>
          </w:p>
        </w:tc>
        <w:tc>
          <w:tcPr>
            <w:tcW w:w="80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6.38</w:t>
            </w:r>
          </w:p>
        </w:tc>
        <w:tc>
          <w:tcPr>
            <w:tcW w:w="80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9.85</w:t>
            </w:r>
          </w:p>
        </w:tc>
        <w:tc>
          <w:tcPr>
            <w:tcW w:w="91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0.04</w:t>
            </w:r>
          </w:p>
        </w:tc>
        <w:tc>
          <w:tcPr>
            <w:tcW w:w="77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0.03</w:t>
            </w:r>
          </w:p>
        </w:tc>
        <w:tc>
          <w:tcPr>
            <w:tcW w:w="7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0.04</w:t>
            </w:r>
          </w:p>
        </w:tc>
        <w:tc>
          <w:tcPr>
            <w:tcW w:w="7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0.05</w:t>
            </w:r>
          </w:p>
        </w:tc>
        <w:tc>
          <w:tcPr>
            <w:tcW w:w="10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5.51</w:t>
            </w:r>
          </w:p>
        </w:tc>
        <w:tc>
          <w:tcPr>
            <w:tcW w:w="68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4.51</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6.43</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9.91</w:t>
            </w:r>
          </w:p>
        </w:tc>
      </w:tr>
      <w:tr>
        <w:tblPrEx>
          <w:tblCellMar>
            <w:top w:w="0" w:type="dxa"/>
            <w:left w:w="108" w:type="dxa"/>
            <w:bottom w:w="0" w:type="dxa"/>
            <w:right w:w="108" w:type="dxa"/>
          </w:tblCellMar>
        </w:tblPrEx>
        <w:trPr>
          <w:trHeight w:val="294" w:hRule="exact"/>
          <w:jc w:val="center"/>
        </w:trPr>
        <w:tc>
          <w:tcPr>
            <w:tcW w:w="810" w:type="dxa"/>
            <w:vMerge w:val="continue"/>
            <w:tcBorders>
              <w:left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81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4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07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8.20</w:t>
            </w:r>
          </w:p>
        </w:tc>
        <w:tc>
          <w:tcPr>
            <w:tcW w:w="65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6.71</w:t>
            </w:r>
          </w:p>
        </w:tc>
        <w:tc>
          <w:tcPr>
            <w:tcW w:w="80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9.57</w:t>
            </w:r>
          </w:p>
        </w:tc>
        <w:tc>
          <w:tcPr>
            <w:tcW w:w="80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14.78</w:t>
            </w:r>
          </w:p>
        </w:tc>
        <w:tc>
          <w:tcPr>
            <w:tcW w:w="91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77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7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7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10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8.22</w:t>
            </w:r>
          </w:p>
        </w:tc>
        <w:tc>
          <w:tcPr>
            <w:tcW w:w="68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6.72</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9.59</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14.80</w:t>
            </w:r>
          </w:p>
        </w:tc>
      </w:tr>
      <w:tr>
        <w:tblPrEx>
          <w:tblCellMar>
            <w:top w:w="0" w:type="dxa"/>
            <w:left w:w="108" w:type="dxa"/>
            <w:bottom w:w="0" w:type="dxa"/>
            <w:right w:w="108" w:type="dxa"/>
          </w:tblCellMar>
        </w:tblPrEx>
        <w:trPr>
          <w:trHeight w:val="294" w:hRule="exact"/>
          <w:jc w:val="center"/>
        </w:trPr>
        <w:tc>
          <w:tcPr>
            <w:tcW w:w="810" w:type="dxa"/>
            <w:vMerge w:val="continue"/>
            <w:tcBorders>
              <w:left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81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4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107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13.66</w:t>
            </w:r>
          </w:p>
        </w:tc>
        <w:tc>
          <w:tcPr>
            <w:tcW w:w="65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11.18</w:t>
            </w:r>
          </w:p>
        </w:tc>
        <w:tc>
          <w:tcPr>
            <w:tcW w:w="80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15.95</w:t>
            </w:r>
          </w:p>
        </w:tc>
        <w:tc>
          <w:tcPr>
            <w:tcW w:w="80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24.63</w:t>
            </w:r>
          </w:p>
        </w:tc>
        <w:tc>
          <w:tcPr>
            <w:tcW w:w="91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0.06</w:t>
            </w:r>
          </w:p>
        </w:tc>
        <w:tc>
          <w:tcPr>
            <w:tcW w:w="77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0.05</w:t>
            </w:r>
          </w:p>
        </w:tc>
        <w:tc>
          <w:tcPr>
            <w:tcW w:w="7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0.06</w:t>
            </w:r>
          </w:p>
        </w:tc>
        <w:tc>
          <w:tcPr>
            <w:tcW w:w="7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0.08</w:t>
            </w:r>
          </w:p>
        </w:tc>
        <w:tc>
          <w:tcPr>
            <w:tcW w:w="10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13.72</w:t>
            </w:r>
          </w:p>
        </w:tc>
        <w:tc>
          <w:tcPr>
            <w:tcW w:w="68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11.23</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16.01</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24.71</w:t>
            </w:r>
          </w:p>
        </w:tc>
      </w:tr>
      <w:tr>
        <w:tblPrEx>
          <w:tblCellMar>
            <w:top w:w="0" w:type="dxa"/>
            <w:left w:w="108" w:type="dxa"/>
            <w:bottom w:w="0" w:type="dxa"/>
            <w:right w:w="108" w:type="dxa"/>
          </w:tblCellMar>
        </w:tblPrEx>
        <w:trPr>
          <w:trHeight w:val="294" w:hRule="exact"/>
          <w:jc w:val="center"/>
        </w:trPr>
        <w:tc>
          <w:tcPr>
            <w:tcW w:w="810" w:type="dxa"/>
            <w:vMerge w:val="continue"/>
            <w:tcBorders>
              <w:left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1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4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07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1.94</w:t>
            </w:r>
          </w:p>
        </w:tc>
        <w:tc>
          <w:tcPr>
            <w:tcW w:w="65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1.59</w:t>
            </w:r>
          </w:p>
        </w:tc>
        <w:tc>
          <w:tcPr>
            <w:tcW w:w="80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2.27</w:t>
            </w:r>
          </w:p>
        </w:tc>
        <w:tc>
          <w:tcPr>
            <w:tcW w:w="80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3.50</w:t>
            </w:r>
          </w:p>
        </w:tc>
        <w:tc>
          <w:tcPr>
            <w:tcW w:w="91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77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7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7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10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1.96</w:t>
            </w:r>
          </w:p>
        </w:tc>
        <w:tc>
          <w:tcPr>
            <w:tcW w:w="68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1.60</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2.29</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3.52</w:t>
            </w:r>
          </w:p>
        </w:tc>
      </w:tr>
      <w:tr>
        <w:tblPrEx>
          <w:tblCellMar>
            <w:top w:w="0" w:type="dxa"/>
            <w:left w:w="108" w:type="dxa"/>
            <w:bottom w:w="0" w:type="dxa"/>
            <w:right w:w="108" w:type="dxa"/>
          </w:tblCellMar>
        </w:tblPrEx>
        <w:trPr>
          <w:trHeight w:val="294" w:hRule="exact"/>
          <w:jc w:val="center"/>
        </w:trPr>
        <w:tc>
          <w:tcPr>
            <w:tcW w:w="810" w:type="dxa"/>
            <w:vMerge w:val="continue"/>
            <w:tcBorders>
              <w:left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81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4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07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2.13</w:t>
            </w:r>
          </w:p>
        </w:tc>
        <w:tc>
          <w:tcPr>
            <w:tcW w:w="65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1.74</w:t>
            </w:r>
          </w:p>
        </w:tc>
        <w:tc>
          <w:tcPr>
            <w:tcW w:w="80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2.48</w:t>
            </w:r>
          </w:p>
        </w:tc>
        <w:tc>
          <w:tcPr>
            <w:tcW w:w="80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3.84</w:t>
            </w:r>
          </w:p>
        </w:tc>
        <w:tc>
          <w:tcPr>
            <w:tcW w:w="91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77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7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7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10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2.15</w:t>
            </w:r>
          </w:p>
        </w:tc>
        <w:tc>
          <w:tcPr>
            <w:tcW w:w="68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1.76</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2.50</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3.86</w:t>
            </w:r>
          </w:p>
        </w:tc>
      </w:tr>
      <w:tr>
        <w:tblPrEx>
          <w:tblCellMar>
            <w:top w:w="0" w:type="dxa"/>
            <w:left w:w="108" w:type="dxa"/>
            <w:bottom w:w="0" w:type="dxa"/>
            <w:right w:w="108" w:type="dxa"/>
          </w:tblCellMar>
        </w:tblPrEx>
        <w:trPr>
          <w:trHeight w:val="294" w:hRule="exact"/>
          <w:jc w:val="center"/>
        </w:trPr>
        <w:tc>
          <w:tcPr>
            <w:tcW w:w="810" w:type="dxa"/>
            <w:vMerge w:val="continue"/>
            <w:tcBorders>
              <w:left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81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4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07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3.34</w:t>
            </w:r>
          </w:p>
        </w:tc>
        <w:tc>
          <w:tcPr>
            <w:tcW w:w="65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2.73</w:t>
            </w:r>
          </w:p>
        </w:tc>
        <w:tc>
          <w:tcPr>
            <w:tcW w:w="80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3.90</w:t>
            </w:r>
          </w:p>
        </w:tc>
        <w:tc>
          <w:tcPr>
            <w:tcW w:w="80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6.02</w:t>
            </w:r>
          </w:p>
        </w:tc>
        <w:tc>
          <w:tcPr>
            <w:tcW w:w="91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77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7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7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0.03</w:t>
            </w:r>
          </w:p>
        </w:tc>
        <w:tc>
          <w:tcPr>
            <w:tcW w:w="10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3.36</w:t>
            </w:r>
          </w:p>
        </w:tc>
        <w:tc>
          <w:tcPr>
            <w:tcW w:w="68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2.75</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3.92</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6.05</w:t>
            </w:r>
          </w:p>
        </w:tc>
      </w:tr>
      <w:tr>
        <w:tblPrEx>
          <w:tblCellMar>
            <w:top w:w="0" w:type="dxa"/>
            <w:left w:w="108" w:type="dxa"/>
            <w:bottom w:w="0" w:type="dxa"/>
            <w:right w:w="108" w:type="dxa"/>
          </w:tblCellMar>
        </w:tblPrEx>
        <w:trPr>
          <w:trHeight w:val="294" w:hRule="exact"/>
          <w:jc w:val="center"/>
        </w:trPr>
        <w:tc>
          <w:tcPr>
            <w:tcW w:w="810" w:type="dxa"/>
            <w:vMerge w:val="continue"/>
            <w:tcBorders>
              <w:left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81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4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07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6.25</w:t>
            </w:r>
          </w:p>
        </w:tc>
        <w:tc>
          <w:tcPr>
            <w:tcW w:w="65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5.12</w:t>
            </w:r>
          </w:p>
        </w:tc>
        <w:tc>
          <w:tcPr>
            <w:tcW w:w="80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7.30</w:t>
            </w:r>
          </w:p>
        </w:tc>
        <w:tc>
          <w:tcPr>
            <w:tcW w:w="80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11.27</w:t>
            </w:r>
          </w:p>
        </w:tc>
        <w:tc>
          <w:tcPr>
            <w:tcW w:w="91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0.00</w:t>
            </w:r>
          </w:p>
        </w:tc>
        <w:tc>
          <w:tcPr>
            <w:tcW w:w="77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0.00</w:t>
            </w:r>
          </w:p>
        </w:tc>
        <w:tc>
          <w:tcPr>
            <w:tcW w:w="7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0.00</w:t>
            </w:r>
          </w:p>
        </w:tc>
        <w:tc>
          <w:tcPr>
            <w:tcW w:w="7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0.00</w:t>
            </w:r>
          </w:p>
        </w:tc>
        <w:tc>
          <w:tcPr>
            <w:tcW w:w="10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6.25</w:t>
            </w:r>
          </w:p>
        </w:tc>
        <w:tc>
          <w:tcPr>
            <w:tcW w:w="68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5.12</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7.30</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11.27</w:t>
            </w:r>
          </w:p>
        </w:tc>
      </w:tr>
      <w:tr>
        <w:tblPrEx>
          <w:tblCellMar>
            <w:top w:w="0" w:type="dxa"/>
            <w:left w:w="108" w:type="dxa"/>
            <w:bottom w:w="0" w:type="dxa"/>
            <w:right w:w="108" w:type="dxa"/>
          </w:tblCellMar>
        </w:tblPrEx>
        <w:trPr>
          <w:trHeight w:val="294" w:hRule="exact"/>
          <w:jc w:val="center"/>
        </w:trPr>
        <w:tc>
          <w:tcPr>
            <w:tcW w:w="810" w:type="dxa"/>
            <w:vMerge w:val="continue"/>
            <w:tcBorders>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81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4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07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13.66</w:t>
            </w:r>
          </w:p>
        </w:tc>
        <w:tc>
          <w:tcPr>
            <w:tcW w:w="65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11.18</w:t>
            </w:r>
          </w:p>
        </w:tc>
        <w:tc>
          <w:tcPr>
            <w:tcW w:w="80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15.95</w:t>
            </w:r>
          </w:p>
        </w:tc>
        <w:tc>
          <w:tcPr>
            <w:tcW w:w="80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24.63</w:t>
            </w:r>
          </w:p>
        </w:tc>
        <w:tc>
          <w:tcPr>
            <w:tcW w:w="91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0.06</w:t>
            </w:r>
          </w:p>
        </w:tc>
        <w:tc>
          <w:tcPr>
            <w:tcW w:w="77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0.05</w:t>
            </w:r>
          </w:p>
        </w:tc>
        <w:tc>
          <w:tcPr>
            <w:tcW w:w="7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0.06</w:t>
            </w:r>
          </w:p>
        </w:tc>
        <w:tc>
          <w:tcPr>
            <w:tcW w:w="7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0.08</w:t>
            </w:r>
          </w:p>
        </w:tc>
        <w:tc>
          <w:tcPr>
            <w:tcW w:w="10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13.72</w:t>
            </w:r>
          </w:p>
        </w:tc>
        <w:tc>
          <w:tcPr>
            <w:tcW w:w="68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11.23</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16.01</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24.71</w:t>
            </w:r>
          </w:p>
        </w:tc>
      </w:tr>
      <w:tr>
        <w:tblPrEx>
          <w:tblCellMar>
            <w:top w:w="0" w:type="dxa"/>
            <w:left w:w="108" w:type="dxa"/>
            <w:bottom w:w="0" w:type="dxa"/>
            <w:right w:w="108" w:type="dxa"/>
          </w:tblCellMar>
        </w:tblPrEx>
        <w:trPr>
          <w:trHeight w:val="294" w:hRule="exact"/>
          <w:jc w:val="center"/>
        </w:trPr>
        <w:tc>
          <w:tcPr>
            <w:tcW w:w="810" w:type="dxa"/>
            <w:vMerge w:val="restart"/>
            <w:tcBorders>
              <w:top w:val="nil"/>
              <w:left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2020</w:t>
            </w:r>
          </w:p>
        </w:tc>
        <w:tc>
          <w:tcPr>
            <w:tcW w:w="81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4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07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5.43</w:t>
            </w:r>
          </w:p>
        </w:tc>
        <w:tc>
          <w:tcPr>
            <w:tcW w:w="65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4.49</w:t>
            </w:r>
          </w:p>
        </w:tc>
        <w:tc>
          <w:tcPr>
            <w:tcW w:w="80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6.46</w:t>
            </w:r>
          </w:p>
        </w:tc>
        <w:tc>
          <w:tcPr>
            <w:tcW w:w="80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10.01</w:t>
            </w:r>
          </w:p>
        </w:tc>
        <w:tc>
          <w:tcPr>
            <w:tcW w:w="91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0.06</w:t>
            </w:r>
          </w:p>
        </w:tc>
        <w:tc>
          <w:tcPr>
            <w:tcW w:w="77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0.05</w:t>
            </w:r>
          </w:p>
        </w:tc>
        <w:tc>
          <w:tcPr>
            <w:tcW w:w="7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0.07</w:t>
            </w:r>
          </w:p>
        </w:tc>
        <w:tc>
          <w:tcPr>
            <w:tcW w:w="7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0.08</w:t>
            </w:r>
          </w:p>
        </w:tc>
        <w:tc>
          <w:tcPr>
            <w:tcW w:w="10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5.49</w:t>
            </w:r>
          </w:p>
        </w:tc>
        <w:tc>
          <w:tcPr>
            <w:tcW w:w="68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4.54</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6.53</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10.09</w:t>
            </w:r>
          </w:p>
        </w:tc>
      </w:tr>
      <w:tr>
        <w:tblPrEx>
          <w:tblCellMar>
            <w:top w:w="0" w:type="dxa"/>
            <w:left w:w="108" w:type="dxa"/>
            <w:bottom w:w="0" w:type="dxa"/>
            <w:right w:w="108" w:type="dxa"/>
          </w:tblCellMar>
        </w:tblPrEx>
        <w:trPr>
          <w:trHeight w:val="294" w:hRule="exact"/>
          <w:jc w:val="center"/>
        </w:trPr>
        <w:tc>
          <w:tcPr>
            <w:tcW w:w="810" w:type="dxa"/>
            <w:vMerge w:val="continue"/>
            <w:tcBorders>
              <w:left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81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4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07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7.98</w:t>
            </w:r>
          </w:p>
        </w:tc>
        <w:tc>
          <w:tcPr>
            <w:tcW w:w="65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6.60</w:t>
            </w:r>
          </w:p>
        </w:tc>
        <w:tc>
          <w:tcPr>
            <w:tcW w:w="80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9.49</w:t>
            </w:r>
          </w:p>
        </w:tc>
        <w:tc>
          <w:tcPr>
            <w:tcW w:w="80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14.71</w:t>
            </w:r>
          </w:p>
        </w:tc>
        <w:tc>
          <w:tcPr>
            <w:tcW w:w="91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77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0.01</w:t>
            </w:r>
          </w:p>
        </w:tc>
        <w:tc>
          <w:tcPr>
            <w:tcW w:w="7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7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10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8.00</w:t>
            </w:r>
          </w:p>
        </w:tc>
        <w:tc>
          <w:tcPr>
            <w:tcW w:w="68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6.61</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9.51</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14.73</w:t>
            </w:r>
          </w:p>
        </w:tc>
      </w:tr>
      <w:tr>
        <w:tblPrEx>
          <w:tblCellMar>
            <w:top w:w="0" w:type="dxa"/>
            <w:left w:w="108" w:type="dxa"/>
            <w:bottom w:w="0" w:type="dxa"/>
            <w:right w:w="108" w:type="dxa"/>
          </w:tblCellMar>
        </w:tblPrEx>
        <w:trPr>
          <w:trHeight w:val="294" w:hRule="exact"/>
          <w:jc w:val="center"/>
        </w:trPr>
        <w:tc>
          <w:tcPr>
            <w:tcW w:w="810" w:type="dxa"/>
            <w:vMerge w:val="continue"/>
            <w:tcBorders>
              <w:left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81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4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合计</w:t>
            </w:r>
          </w:p>
        </w:tc>
        <w:tc>
          <w:tcPr>
            <w:tcW w:w="107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13.41</w:t>
            </w:r>
          </w:p>
        </w:tc>
        <w:tc>
          <w:tcPr>
            <w:tcW w:w="65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11.09</w:t>
            </w:r>
          </w:p>
        </w:tc>
        <w:tc>
          <w:tcPr>
            <w:tcW w:w="80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15.95</w:t>
            </w:r>
          </w:p>
        </w:tc>
        <w:tc>
          <w:tcPr>
            <w:tcW w:w="80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24.72</w:t>
            </w:r>
          </w:p>
        </w:tc>
        <w:tc>
          <w:tcPr>
            <w:tcW w:w="91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0.08</w:t>
            </w:r>
          </w:p>
        </w:tc>
        <w:tc>
          <w:tcPr>
            <w:tcW w:w="77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0.06</w:t>
            </w:r>
          </w:p>
        </w:tc>
        <w:tc>
          <w:tcPr>
            <w:tcW w:w="7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0.09</w:t>
            </w:r>
          </w:p>
        </w:tc>
        <w:tc>
          <w:tcPr>
            <w:tcW w:w="7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0.10</w:t>
            </w:r>
          </w:p>
        </w:tc>
        <w:tc>
          <w:tcPr>
            <w:tcW w:w="10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13.49</w:t>
            </w:r>
          </w:p>
        </w:tc>
        <w:tc>
          <w:tcPr>
            <w:tcW w:w="68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11.15</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16.04</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24.82</w:t>
            </w:r>
          </w:p>
        </w:tc>
      </w:tr>
      <w:tr>
        <w:tblPrEx>
          <w:tblCellMar>
            <w:top w:w="0" w:type="dxa"/>
            <w:left w:w="108" w:type="dxa"/>
            <w:bottom w:w="0" w:type="dxa"/>
            <w:right w:w="108" w:type="dxa"/>
          </w:tblCellMar>
        </w:tblPrEx>
        <w:trPr>
          <w:trHeight w:val="294" w:hRule="exact"/>
          <w:jc w:val="center"/>
        </w:trPr>
        <w:tc>
          <w:tcPr>
            <w:tcW w:w="810" w:type="dxa"/>
            <w:vMerge w:val="continue"/>
            <w:tcBorders>
              <w:left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1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4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07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1.91</w:t>
            </w:r>
          </w:p>
        </w:tc>
        <w:tc>
          <w:tcPr>
            <w:tcW w:w="65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1.58</w:t>
            </w:r>
          </w:p>
        </w:tc>
        <w:tc>
          <w:tcPr>
            <w:tcW w:w="80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2.28</w:t>
            </w:r>
          </w:p>
        </w:tc>
        <w:tc>
          <w:tcPr>
            <w:tcW w:w="80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3.53</w:t>
            </w:r>
          </w:p>
        </w:tc>
        <w:tc>
          <w:tcPr>
            <w:tcW w:w="91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77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0.01</w:t>
            </w:r>
          </w:p>
        </w:tc>
        <w:tc>
          <w:tcPr>
            <w:tcW w:w="7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7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10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1.93</w:t>
            </w:r>
          </w:p>
        </w:tc>
        <w:tc>
          <w:tcPr>
            <w:tcW w:w="68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1.60</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2.29</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3.55</w:t>
            </w:r>
          </w:p>
        </w:tc>
      </w:tr>
      <w:tr>
        <w:tblPrEx>
          <w:tblCellMar>
            <w:top w:w="0" w:type="dxa"/>
            <w:left w:w="108" w:type="dxa"/>
            <w:bottom w:w="0" w:type="dxa"/>
            <w:right w:w="108" w:type="dxa"/>
          </w:tblCellMar>
        </w:tblPrEx>
        <w:trPr>
          <w:trHeight w:val="294" w:hRule="exact"/>
          <w:jc w:val="center"/>
        </w:trPr>
        <w:tc>
          <w:tcPr>
            <w:tcW w:w="810" w:type="dxa"/>
            <w:vMerge w:val="continue"/>
            <w:tcBorders>
              <w:left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81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4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07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2.13</w:t>
            </w:r>
          </w:p>
        </w:tc>
        <w:tc>
          <w:tcPr>
            <w:tcW w:w="65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1.76</w:t>
            </w:r>
          </w:p>
        </w:tc>
        <w:tc>
          <w:tcPr>
            <w:tcW w:w="80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2.54</w:t>
            </w:r>
          </w:p>
        </w:tc>
        <w:tc>
          <w:tcPr>
            <w:tcW w:w="80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3.93</w:t>
            </w:r>
          </w:p>
        </w:tc>
        <w:tc>
          <w:tcPr>
            <w:tcW w:w="91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77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0.01</w:t>
            </w:r>
          </w:p>
        </w:tc>
        <w:tc>
          <w:tcPr>
            <w:tcW w:w="7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7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10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2.15</w:t>
            </w:r>
          </w:p>
        </w:tc>
        <w:tc>
          <w:tcPr>
            <w:tcW w:w="68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1.78</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2.56</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3.96</w:t>
            </w:r>
          </w:p>
        </w:tc>
      </w:tr>
      <w:tr>
        <w:tblPrEx>
          <w:tblCellMar>
            <w:top w:w="0" w:type="dxa"/>
            <w:left w:w="108" w:type="dxa"/>
            <w:bottom w:w="0" w:type="dxa"/>
            <w:right w:w="108" w:type="dxa"/>
          </w:tblCellMar>
        </w:tblPrEx>
        <w:trPr>
          <w:trHeight w:val="294" w:hRule="exact"/>
          <w:jc w:val="center"/>
        </w:trPr>
        <w:tc>
          <w:tcPr>
            <w:tcW w:w="810" w:type="dxa"/>
            <w:vMerge w:val="continue"/>
            <w:tcBorders>
              <w:left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81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4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07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3.30</w:t>
            </w:r>
          </w:p>
        </w:tc>
        <w:tc>
          <w:tcPr>
            <w:tcW w:w="65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2.73</w:t>
            </w:r>
          </w:p>
        </w:tc>
        <w:tc>
          <w:tcPr>
            <w:tcW w:w="80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3.92</w:t>
            </w:r>
          </w:p>
        </w:tc>
        <w:tc>
          <w:tcPr>
            <w:tcW w:w="80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6.08</w:t>
            </w:r>
          </w:p>
        </w:tc>
        <w:tc>
          <w:tcPr>
            <w:tcW w:w="91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0.04</w:t>
            </w:r>
          </w:p>
        </w:tc>
        <w:tc>
          <w:tcPr>
            <w:tcW w:w="77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0.04</w:t>
            </w:r>
          </w:p>
        </w:tc>
        <w:tc>
          <w:tcPr>
            <w:tcW w:w="7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0.05</w:t>
            </w:r>
          </w:p>
        </w:tc>
        <w:tc>
          <w:tcPr>
            <w:tcW w:w="7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0.06</w:t>
            </w:r>
          </w:p>
        </w:tc>
        <w:tc>
          <w:tcPr>
            <w:tcW w:w="10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3.34</w:t>
            </w:r>
          </w:p>
        </w:tc>
        <w:tc>
          <w:tcPr>
            <w:tcW w:w="68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2.76</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3.97</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6.13</w:t>
            </w:r>
          </w:p>
        </w:tc>
      </w:tr>
      <w:tr>
        <w:tblPrEx>
          <w:tblCellMar>
            <w:top w:w="0" w:type="dxa"/>
            <w:left w:w="108" w:type="dxa"/>
            <w:bottom w:w="0" w:type="dxa"/>
            <w:right w:w="108" w:type="dxa"/>
          </w:tblCellMar>
        </w:tblPrEx>
        <w:trPr>
          <w:trHeight w:val="294" w:hRule="exact"/>
          <w:jc w:val="center"/>
        </w:trPr>
        <w:tc>
          <w:tcPr>
            <w:tcW w:w="810" w:type="dxa"/>
            <w:vMerge w:val="continue"/>
            <w:tcBorders>
              <w:left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81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4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07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6.07</w:t>
            </w:r>
          </w:p>
        </w:tc>
        <w:tc>
          <w:tcPr>
            <w:tcW w:w="65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5.02</w:t>
            </w:r>
          </w:p>
        </w:tc>
        <w:tc>
          <w:tcPr>
            <w:tcW w:w="80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7.22</w:t>
            </w:r>
          </w:p>
        </w:tc>
        <w:tc>
          <w:tcPr>
            <w:tcW w:w="80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11.18</w:t>
            </w:r>
          </w:p>
        </w:tc>
        <w:tc>
          <w:tcPr>
            <w:tcW w:w="91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0.00</w:t>
            </w:r>
          </w:p>
        </w:tc>
        <w:tc>
          <w:tcPr>
            <w:tcW w:w="77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0.00</w:t>
            </w:r>
          </w:p>
        </w:tc>
        <w:tc>
          <w:tcPr>
            <w:tcW w:w="7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0.00</w:t>
            </w:r>
          </w:p>
        </w:tc>
        <w:tc>
          <w:tcPr>
            <w:tcW w:w="7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0.00</w:t>
            </w:r>
          </w:p>
        </w:tc>
        <w:tc>
          <w:tcPr>
            <w:tcW w:w="10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6.07</w:t>
            </w:r>
          </w:p>
        </w:tc>
        <w:tc>
          <w:tcPr>
            <w:tcW w:w="68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5.02</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7.22</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11.18</w:t>
            </w:r>
          </w:p>
        </w:tc>
      </w:tr>
      <w:tr>
        <w:tblPrEx>
          <w:tblCellMar>
            <w:top w:w="0" w:type="dxa"/>
            <w:left w:w="108" w:type="dxa"/>
            <w:bottom w:w="0" w:type="dxa"/>
            <w:right w:w="108" w:type="dxa"/>
          </w:tblCellMar>
        </w:tblPrEx>
        <w:trPr>
          <w:trHeight w:val="294" w:hRule="exact"/>
          <w:jc w:val="center"/>
        </w:trPr>
        <w:tc>
          <w:tcPr>
            <w:tcW w:w="810" w:type="dxa"/>
            <w:vMerge w:val="continue"/>
            <w:tcBorders>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81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4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07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13.41</w:t>
            </w:r>
          </w:p>
        </w:tc>
        <w:tc>
          <w:tcPr>
            <w:tcW w:w="65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11.09</w:t>
            </w:r>
          </w:p>
        </w:tc>
        <w:tc>
          <w:tcPr>
            <w:tcW w:w="80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15.95</w:t>
            </w:r>
          </w:p>
        </w:tc>
        <w:tc>
          <w:tcPr>
            <w:tcW w:w="80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24.72</w:t>
            </w:r>
          </w:p>
        </w:tc>
        <w:tc>
          <w:tcPr>
            <w:tcW w:w="91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0.08</w:t>
            </w:r>
          </w:p>
        </w:tc>
        <w:tc>
          <w:tcPr>
            <w:tcW w:w="77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0.06</w:t>
            </w:r>
          </w:p>
        </w:tc>
        <w:tc>
          <w:tcPr>
            <w:tcW w:w="7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0.09</w:t>
            </w:r>
          </w:p>
        </w:tc>
        <w:tc>
          <w:tcPr>
            <w:tcW w:w="7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0.10</w:t>
            </w:r>
          </w:p>
        </w:tc>
        <w:tc>
          <w:tcPr>
            <w:tcW w:w="10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13.49</w:t>
            </w:r>
          </w:p>
        </w:tc>
        <w:tc>
          <w:tcPr>
            <w:tcW w:w="68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11.15</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16.04</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24.82</w:t>
            </w:r>
          </w:p>
        </w:tc>
      </w:tr>
      <w:tr>
        <w:tblPrEx>
          <w:tblCellMar>
            <w:top w:w="0" w:type="dxa"/>
            <w:left w:w="108" w:type="dxa"/>
            <w:bottom w:w="0" w:type="dxa"/>
            <w:right w:w="108" w:type="dxa"/>
          </w:tblCellMar>
        </w:tblPrEx>
        <w:trPr>
          <w:trHeight w:val="294" w:hRule="exact"/>
          <w:jc w:val="center"/>
        </w:trPr>
        <w:tc>
          <w:tcPr>
            <w:tcW w:w="810" w:type="dxa"/>
            <w:vMerge w:val="restart"/>
            <w:tcBorders>
              <w:top w:val="nil"/>
              <w:left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2030</w:t>
            </w:r>
          </w:p>
        </w:tc>
        <w:tc>
          <w:tcPr>
            <w:tcW w:w="81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4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07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5.30</w:t>
            </w:r>
          </w:p>
        </w:tc>
        <w:tc>
          <w:tcPr>
            <w:tcW w:w="65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4.42</w:t>
            </w:r>
          </w:p>
        </w:tc>
        <w:tc>
          <w:tcPr>
            <w:tcW w:w="80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6.32</w:t>
            </w:r>
          </w:p>
        </w:tc>
        <w:tc>
          <w:tcPr>
            <w:tcW w:w="80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9.83</w:t>
            </w:r>
          </w:p>
        </w:tc>
        <w:tc>
          <w:tcPr>
            <w:tcW w:w="91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0.08</w:t>
            </w:r>
          </w:p>
        </w:tc>
        <w:tc>
          <w:tcPr>
            <w:tcW w:w="77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0.06</w:t>
            </w:r>
          </w:p>
        </w:tc>
        <w:tc>
          <w:tcPr>
            <w:tcW w:w="7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0.09</w:t>
            </w:r>
          </w:p>
        </w:tc>
        <w:tc>
          <w:tcPr>
            <w:tcW w:w="7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0.11</w:t>
            </w:r>
          </w:p>
        </w:tc>
        <w:tc>
          <w:tcPr>
            <w:tcW w:w="10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5.38</w:t>
            </w:r>
          </w:p>
        </w:tc>
        <w:tc>
          <w:tcPr>
            <w:tcW w:w="68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4.48</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6.42</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9.94</w:t>
            </w:r>
          </w:p>
        </w:tc>
      </w:tr>
      <w:tr>
        <w:tblPrEx>
          <w:tblCellMar>
            <w:top w:w="0" w:type="dxa"/>
            <w:left w:w="108" w:type="dxa"/>
            <w:bottom w:w="0" w:type="dxa"/>
            <w:right w:w="108" w:type="dxa"/>
          </w:tblCellMar>
        </w:tblPrEx>
        <w:trPr>
          <w:trHeight w:val="294" w:hRule="exact"/>
          <w:jc w:val="center"/>
        </w:trPr>
        <w:tc>
          <w:tcPr>
            <w:tcW w:w="810" w:type="dxa"/>
            <w:vMerge w:val="continue"/>
            <w:tcBorders>
              <w:left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81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4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07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7.65</w:t>
            </w:r>
          </w:p>
        </w:tc>
        <w:tc>
          <w:tcPr>
            <w:tcW w:w="65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6.39</w:t>
            </w:r>
          </w:p>
        </w:tc>
        <w:tc>
          <w:tcPr>
            <w:tcW w:w="80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9.13</w:t>
            </w:r>
          </w:p>
        </w:tc>
        <w:tc>
          <w:tcPr>
            <w:tcW w:w="80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14.19</w:t>
            </w:r>
          </w:p>
        </w:tc>
        <w:tc>
          <w:tcPr>
            <w:tcW w:w="91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0.01</w:t>
            </w:r>
          </w:p>
        </w:tc>
        <w:tc>
          <w:tcPr>
            <w:tcW w:w="77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0.01</w:t>
            </w:r>
          </w:p>
        </w:tc>
        <w:tc>
          <w:tcPr>
            <w:tcW w:w="7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7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10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7.66</w:t>
            </w:r>
          </w:p>
        </w:tc>
        <w:tc>
          <w:tcPr>
            <w:tcW w:w="68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6.40</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9.15</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14.21</w:t>
            </w:r>
          </w:p>
        </w:tc>
      </w:tr>
      <w:tr>
        <w:tblPrEx>
          <w:tblCellMar>
            <w:top w:w="0" w:type="dxa"/>
            <w:left w:w="108" w:type="dxa"/>
            <w:bottom w:w="0" w:type="dxa"/>
            <w:right w:w="108" w:type="dxa"/>
          </w:tblCellMar>
        </w:tblPrEx>
        <w:trPr>
          <w:trHeight w:val="294" w:hRule="exact"/>
          <w:jc w:val="center"/>
        </w:trPr>
        <w:tc>
          <w:tcPr>
            <w:tcW w:w="810" w:type="dxa"/>
            <w:vMerge w:val="continue"/>
            <w:tcBorders>
              <w:left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81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4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合计</w:t>
            </w:r>
          </w:p>
        </w:tc>
        <w:tc>
          <w:tcPr>
            <w:tcW w:w="107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12.95</w:t>
            </w:r>
          </w:p>
        </w:tc>
        <w:tc>
          <w:tcPr>
            <w:tcW w:w="65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10.81</w:t>
            </w:r>
          </w:p>
        </w:tc>
        <w:tc>
          <w:tcPr>
            <w:tcW w:w="80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15.46</w:t>
            </w:r>
          </w:p>
        </w:tc>
        <w:tc>
          <w:tcPr>
            <w:tcW w:w="80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24.01</w:t>
            </w:r>
          </w:p>
        </w:tc>
        <w:tc>
          <w:tcPr>
            <w:tcW w:w="91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0.09</w:t>
            </w:r>
          </w:p>
        </w:tc>
        <w:tc>
          <w:tcPr>
            <w:tcW w:w="77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0.07</w:t>
            </w:r>
          </w:p>
        </w:tc>
        <w:tc>
          <w:tcPr>
            <w:tcW w:w="7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0.11</w:t>
            </w:r>
          </w:p>
        </w:tc>
        <w:tc>
          <w:tcPr>
            <w:tcW w:w="7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0.13</w:t>
            </w:r>
          </w:p>
        </w:tc>
        <w:tc>
          <w:tcPr>
            <w:tcW w:w="10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13.04</w:t>
            </w:r>
          </w:p>
        </w:tc>
        <w:tc>
          <w:tcPr>
            <w:tcW w:w="68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10.88</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15.57</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24.14</w:t>
            </w:r>
          </w:p>
        </w:tc>
      </w:tr>
      <w:tr>
        <w:tblPrEx>
          <w:tblCellMar>
            <w:top w:w="0" w:type="dxa"/>
            <w:left w:w="108" w:type="dxa"/>
            <w:bottom w:w="0" w:type="dxa"/>
            <w:right w:w="108" w:type="dxa"/>
          </w:tblCellMar>
        </w:tblPrEx>
        <w:trPr>
          <w:trHeight w:val="294" w:hRule="exact"/>
          <w:jc w:val="center"/>
        </w:trPr>
        <w:tc>
          <w:tcPr>
            <w:tcW w:w="810" w:type="dxa"/>
            <w:vMerge w:val="continue"/>
            <w:tcBorders>
              <w:left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1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4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07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1.74</w:t>
            </w:r>
          </w:p>
        </w:tc>
        <w:tc>
          <w:tcPr>
            <w:tcW w:w="65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1.45</w:t>
            </w:r>
          </w:p>
        </w:tc>
        <w:tc>
          <w:tcPr>
            <w:tcW w:w="80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2.07</w:t>
            </w:r>
          </w:p>
        </w:tc>
        <w:tc>
          <w:tcPr>
            <w:tcW w:w="80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3.22</w:t>
            </w:r>
          </w:p>
        </w:tc>
        <w:tc>
          <w:tcPr>
            <w:tcW w:w="91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0.01</w:t>
            </w:r>
          </w:p>
        </w:tc>
        <w:tc>
          <w:tcPr>
            <w:tcW w:w="77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0.01</w:t>
            </w:r>
          </w:p>
        </w:tc>
        <w:tc>
          <w:tcPr>
            <w:tcW w:w="7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7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10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1.75</w:t>
            </w:r>
          </w:p>
        </w:tc>
        <w:tc>
          <w:tcPr>
            <w:tcW w:w="68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1.46</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2.09</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3.24</w:t>
            </w:r>
          </w:p>
        </w:tc>
      </w:tr>
      <w:tr>
        <w:tblPrEx>
          <w:tblCellMar>
            <w:top w:w="0" w:type="dxa"/>
            <w:left w:w="108" w:type="dxa"/>
            <w:bottom w:w="0" w:type="dxa"/>
            <w:right w:w="108" w:type="dxa"/>
          </w:tblCellMar>
        </w:tblPrEx>
        <w:trPr>
          <w:trHeight w:val="294" w:hRule="exact"/>
          <w:jc w:val="center"/>
        </w:trPr>
        <w:tc>
          <w:tcPr>
            <w:tcW w:w="810" w:type="dxa"/>
            <w:vMerge w:val="continue"/>
            <w:tcBorders>
              <w:left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81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4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07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2.08</w:t>
            </w:r>
          </w:p>
        </w:tc>
        <w:tc>
          <w:tcPr>
            <w:tcW w:w="65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1.74</w:t>
            </w:r>
          </w:p>
        </w:tc>
        <w:tc>
          <w:tcPr>
            <w:tcW w:w="80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2.49</w:t>
            </w:r>
          </w:p>
        </w:tc>
        <w:tc>
          <w:tcPr>
            <w:tcW w:w="80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3.86</w:t>
            </w:r>
          </w:p>
        </w:tc>
        <w:tc>
          <w:tcPr>
            <w:tcW w:w="91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0.01</w:t>
            </w:r>
          </w:p>
        </w:tc>
        <w:tc>
          <w:tcPr>
            <w:tcW w:w="77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0.01</w:t>
            </w:r>
          </w:p>
        </w:tc>
        <w:tc>
          <w:tcPr>
            <w:tcW w:w="7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0.01</w:t>
            </w:r>
          </w:p>
        </w:tc>
        <w:tc>
          <w:tcPr>
            <w:tcW w:w="7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0.02</w:t>
            </w:r>
          </w:p>
        </w:tc>
        <w:tc>
          <w:tcPr>
            <w:tcW w:w="10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2.10</w:t>
            </w:r>
          </w:p>
        </w:tc>
        <w:tc>
          <w:tcPr>
            <w:tcW w:w="68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1.75</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2.50</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3.88</w:t>
            </w:r>
          </w:p>
        </w:tc>
      </w:tr>
      <w:tr>
        <w:tblPrEx>
          <w:tblCellMar>
            <w:top w:w="0" w:type="dxa"/>
            <w:left w:w="108" w:type="dxa"/>
            <w:bottom w:w="0" w:type="dxa"/>
            <w:right w:w="108" w:type="dxa"/>
          </w:tblCellMar>
        </w:tblPrEx>
        <w:trPr>
          <w:trHeight w:val="294" w:hRule="exact"/>
          <w:jc w:val="center"/>
        </w:trPr>
        <w:tc>
          <w:tcPr>
            <w:tcW w:w="810" w:type="dxa"/>
            <w:vMerge w:val="continue"/>
            <w:tcBorders>
              <w:left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81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4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07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3.21</w:t>
            </w:r>
          </w:p>
        </w:tc>
        <w:tc>
          <w:tcPr>
            <w:tcW w:w="65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2.68</w:t>
            </w:r>
          </w:p>
        </w:tc>
        <w:tc>
          <w:tcPr>
            <w:tcW w:w="80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3.84</w:t>
            </w:r>
          </w:p>
        </w:tc>
        <w:tc>
          <w:tcPr>
            <w:tcW w:w="80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5.96</w:t>
            </w:r>
          </w:p>
        </w:tc>
        <w:tc>
          <w:tcPr>
            <w:tcW w:w="91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0.07</w:t>
            </w:r>
          </w:p>
        </w:tc>
        <w:tc>
          <w:tcPr>
            <w:tcW w:w="77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0.05</w:t>
            </w:r>
          </w:p>
        </w:tc>
        <w:tc>
          <w:tcPr>
            <w:tcW w:w="7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0.08</w:t>
            </w:r>
          </w:p>
        </w:tc>
        <w:tc>
          <w:tcPr>
            <w:tcW w:w="7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0.09</w:t>
            </w:r>
          </w:p>
        </w:tc>
        <w:tc>
          <w:tcPr>
            <w:tcW w:w="10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3.28</w:t>
            </w:r>
          </w:p>
        </w:tc>
        <w:tc>
          <w:tcPr>
            <w:tcW w:w="68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2.74</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3.92</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6.05</w:t>
            </w:r>
          </w:p>
        </w:tc>
      </w:tr>
      <w:tr>
        <w:tblPrEx>
          <w:tblCellMar>
            <w:top w:w="0" w:type="dxa"/>
            <w:left w:w="108" w:type="dxa"/>
            <w:bottom w:w="0" w:type="dxa"/>
            <w:right w:w="108" w:type="dxa"/>
          </w:tblCellMar>
        </w:tblPrEx>
        <w:trPr>
          <w:trHeight w:val="294" w:hRule="exact"/>
          <w:jc w:val="center"/>
        </w:trPr>
        <w:tc>
          <w:tcPr>
            <w:tcW w:w="810" w:type="dxa"/>
            <w:vMerge w:val="continue"/>
            <w:tcBorders>
              <w:left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81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4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07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5.91</w:t>
            </w:r>
          </w:p>
        </w:tc>
        <w:tc>
          <w:tcPr>
            <w:tcW w:w="65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4.94</w:t>
            </w:r>
          </w:p>
        </w:tc>
        <w:tc>
          <w:tcPr>
            <w:tcW w:w="80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7.06</w:t>
            </w:r>
          </w:p>
        </w:tc>
        <w:tc>
          <w:tcPr>
            <w:tcW w:w="80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10.97</w:t>
            </w:r>
          </w:p>
        </w:tc>
        <w:tc>
          <w:tcPr>
            <w:tcW w:w="91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0.00</w:t>
            </w:r>
          </w:p>
        </w:tc>
        <w:tc>
          <w:tcPr>
            <w:tcW w:w="77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0.00</w:t>
            </w:r>
          </w:p>
        </w:tc>
        <w:tc>
          <w:tcPr>
            <w:tcW w:w="7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0.00</w:t>
            </w:r>
          </w:p>
        </w:tc>
        <w:tc>
          <w:tcPr>
            <w:tcW w:w="7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0.00</w:t>
            </w:r>
          </w:p>
        </w:tc>
        <w:tc>
          <w:tcPr>
            <w:tcW w:w="10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5.91</w:t>
            </w:r>
          </w:p>
        </w:tc>
        <w:tc>
          <w:tcPr>
            <w:tcW w:w="68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4.94</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7.06</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10.97</w:t>
            </w:r>
          </w:p>
        </w:tc>
      </w:tr>
      <w:tr>
        <w:tblPrEx>
          <w:tblCellMar>
            <w:top w:w="0" w:type="dxa"/>
            <w:left w:w="108" w:type="dxa"/>
            <w:bottom w:w="0" w:type="dxa"/>
            <w:right w:w="108" w:type="dxa"/>
          </w:tblCellMar>
        </w:tblPrEx>
        <w:trPr>
          <w:trHeight w:val="305" w:hRule="exact"/>
          <w:jc w:val="center"/>
        </w:trPr>
        <w:tc>
          <w:tcPr>
            <w:tcW w:w="810" w:type="dxa"/>
            <w:vMerge w:val="continue"/>
            <w:tcBorders>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81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47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07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12.95</w:t>
            </w:r>
          </w:p>
        </w:tc>
        <w:tc>
          <w:tcPr>
            <w:tcW w:w="65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10.81</w:t>
            </w:r>
          </w:p>
        </w:tc>
        <w:tc>
          <w:tcPr>
            <w:tcW w:w="80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15.46</w:t>
            </w:r>
          </w:p>
        </w:tc>
        <w:tc>
          <w:tcPr>
            <w:tcW w:w="80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24.01</w:t>
            </w:r>
          </w:p>
        </w:tc>
        <w:tc>
          <w:tcPr>
            <w:tcW w:w="91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0.09</w:t>
            </w:r>
          </w:p>
        </w:tc>
        <w:tc>
          <w:tcPr>
            <w:tcW w:w="77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0.07</w:t>
            </w:r>
          </w:p>
        </w:tc>
        <w:tc>
          <w:tcPr>
            <w:tcW w:w="776"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0.11</w:t>
            </w:r>
          </w:p>
        </w:tc>
        <w:tc>
          <w:tcPr>
            <w:tcW w:w="7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0.13</w:t>
            </w:r>
          </w:p>
        </w:tc>
        <w:tc>
          <w:tcPr>
            <w:tcW w:w="1021"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13.04</w:t>
            </w:r>
          </w:p>
        </w:tc>
        <w:tc>
          <w:tcPr>
            <w:tcW w:w="68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10.88</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15.57</w:t>
            </w:r>
          </w:p>
        </w:tc>
        <w:tc>
          <w:tcPr>
            <w:tcW w:w="83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 w:val="20"/>
                <w:szCs w:val="20"/>
              </w:rPr>
            </w:pPr>
            <w:r>
              <w:rPr>
                <w:rFonts w:hint="default" w:ascii="Times New Roman" w:hAnsi="Times New Roman" w:eastAsia="方正仿宋_GBK" w:cs="Times New Roman"/>
                <w:b/>
                <w:bCs/>
                <w:color w:val="000000"/>
                <w:sz w:val="20"/>
                <w:szCs w:val="20"/>
              </w:rPr>
              <w:t>24.14</w:t>
            </w:r>
          </w:p>
        </w:tc>
      </w:tr>
    </w:tbl>
    <w:p>
      <w:pPr>
        <w:pStyle w:val="2"/>
        <w:jc w:val="left"/>
        <w:rPr>
          <w:rFonts w:hint="default" w:ascii="Times New Roman" w:hAnsi="Times New Roman" w:eastAsia="方正仿宋_GBK" w:cs="Times New Roman"/>
          <w:sz w:val="32"/>
          <w:szCs w:val="32"/>
          <w:lang w:val="en-US" w:eastAsia="zh-CN"/>
        </w:rPr>
        <w:sectPr>
          <w:headerReference r:id="rId16" w:type="default"/>
          <w:footerReference r:id="rId17" w:type="default"/>
          <w:pgSz w:w="16838" w:h="11906" w:orient="landscape"/>
          <w:pgMar w:top="1587" w:right="1962" w:bottom="1474" w:left="1848" w:header="851" w:footer="992" w:gutter="0"/>
          <w:pgNumType w:fmt="numberInDash"/>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（2）林牧渔畜需水预测</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林果需水预测：2015年淮南市林果有效灌溉面积16.7万亩，预测至2020年为20.0万亩，2030年为20.4万亩水平。2015年林果地灌溉需水量为0.15亿</w:t>
      </w:r>
      <w:r>
        <w:rPr>
          <w:rFonts w:hint="default" w:ascii="Times New Roman" w:hAnsi="Times New Roman" w:eastAsia="方正仿宋_GBK" w:cs="Times New Roman"/>
          <w:b w:val="0"/>
          <w:bCs/>
          <w:sz w:val="32"/>
          <w:szCs w:val="32"/>
          <w:lang w:eastAsia="zh-CN"/>
        </w:rPr>
        <w:t>m³</w:t>
      </w:r>
      <w:r>
        <w:rPr>
          <w:rFonts w:hint="default" w:ascii="Times New Roman" w:hAnsi="Times New Roman" w:eastAsia="方正仿宋_GBK" w:cs="Times New Roman"/>
          <w:b w:val="0"/>
          <w:bCs/>
          <w:sz w:val="32"/>
          <w:szCs w:val="32"/>
        </w:rPr>
        <w:t>，采用定额法预测至2020年林果地灌溉需水量为0.17亿</w:t>
      </w:r>
      <w:r>
        <w:rPr>
          <w:rFonts w:hint="default" w:ascii="Times New Roman" w:hAnsi="Times New Roman" w:eastAsia="方正仿宋_GBK" w:cs="Times New Roman"/>
          <w:b w:val="0"/>
          <w:bCs/>
          <w:sz w:val="32"/>
          <w:szCs w:val="32"/>
          <w:lang w:eastAsia="zh-CN"/>
        </w:rPr>
        <w:t>m³</w:t>
      </w:r>
      <w:r>
        <w:rPr>
          <w:rFonts w:hint="default" w:ascii="Times New Roman" w:hAnsi="Times New Roman" w:eastAsia="方正仿宋_GBK" w:cs="Times New Roman"/>
          <w:b w:val="0"/>
          <w:bCs/>
          <w:sz w:val="32"/>
          <w:szCs w:val="32"/>
        </w:rPr>
        <w:t>，2030年林果地灌溉为0.15亿</w:t>
      </w:r>
      <w:r>
        <w:rPr>
          <w:rFonts w:hint="default" w:ascii="Times New Roman" w:hAnsi="Times New Roman" w:eastAsia="方正仿宋_GBK" w:cs="Times New Roman"/>
          <w:b w:val="0"/>
          <w:bCs/>
          <w:sz w:val="32"/>
          <w:szCs w:val="32"/>
          <w:lang w:eastAsia="zh-CN"/>
        </w:rPr>
        <w:t>m³</w:t>
      </w:r>
      <w:r>
        <w:rPr>
          <w:rFonts w:hint="default" w:ascii="Times New Roman" w:hAnsi="Times New Roman" w:eastAsia="方正仿宋_GBK" w:cs="Times New Roman"/>
          <w:b w:val="0"/>
          <w:bCs/>
          <w:sz w:val="32"/>
          <w:szCs w:val="32"/>
        </w:rPr>
        <w:t>。</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鱼塘补水需水预测：2015年淮南市鱼塘补水面积为20.1万亩，预测至2020年为20.2万亩，至2030年为21.2万亩。2015年全市鱼塘补水需水量为0.34亿</w:t>
      </w:r>
      <w:r>
        <w:rPr>
          <w:rFonts w:hint="default" w:ascii="Times New Roman" w:hAnsi="Times New Roman" w:eastAsia="方正仿宋_GBK" w:cs="Times New Roman"/>
          <w:b w:val="0"/>
          <w:bCs/>
          <w:sz w:val="32"/>
          <w:szCs w:val="32"/>
          <w:lang w:eastAsia="zh-CN"/>
        </w:rPr>
        <w:t>m³</w:t>
      </w:r>
      <w:r>
        <w:rPr>
          <w:rFonts w:hint="default" w:ascii="Times New Roman" w:hAnsi="Times New Roman" w:eastAsia="方正仿宋_GBK" w:cs="Times New Roman"/>
          <w:b w:val="0"/>
          <w:bCs/>
          <w:sz w:val="32"/>
          <w:szCs w:val="32"/>
        </w:rPr>
        <w:t>，采用定额法预测至2020年全市鱼塘补水需水量为0.34亿</w:t>
      </w:r>
      <w:r>
        <w:rPr>
          <w:rFonts w:hint="default" w:ascii="Times New Roman" w:hAnsi="Times New Roman" w:eastAsia="方正仿宋_GBK" w:cs="Times New Roman"/>
          <w:b w:val="0"/>
          <w:bCs/>
          <w:sz w:val="32"/>
          <w:szCs w:val="32"/>
          <w:lang w:eastAsia="zh-CN"/>
        </w:rPr>
        <w:t>m³</w:t>
      </w:r>
      <w:r>
        <w:rPr>
          <w:rFonts w:hint="default" w:ascii="Times New Roman" w:hAnsi="Times New Roman" w:eastAsia="方正仿宋_GBK" w:cs="Times New Roman"/>
          <w:b w:val="0"/>
          <w:bCs/>
          <w:sz w:val="32"/>
          <w:szCs w:val="32"/>
        </w:rPr>
        <w:t>，至2030年鱼塘补水量为0.36亿</w:t>
      </w:r>
      <w:r>
        <w:rPr>
          <w:rFonts w:hint="default" w:ascii="Times New Roman" w:hAnsi="Times New Roman" w:eastAsia="方正仿宋_GBK" w:cs="Times New Roman"/>
          <w:b w:val="0"/>
          <w:bCs/>
          <w:sz w:val="32"/>
          <w:szCs w:val="32"/>
          <w:lang w:eastAsia="zh-CN"/>
        </w:rPr>
        <w:t>m³</w:t>
      </w:r>
      <w:r>
        <w:rPr>
          <w:rFonts w:hint="default" w:ascii="Times New Roman" w:hAnsi="Times New Roman" w:eastAsia="方正仿宋_GBK" w:cs="Times New Roman"/>
          <w:b w:val="0"/>
          <w:bCs/>
          <w:sz w:val="32"/>
          <w:szCs w:val="32"/>
        </w:rPr>
        <w:t>。</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牲畜需水预测：2015年全市牲畜总量为297.8万头（只），其中大牲畜为21.9万头，小牲畜为275.9万只。预测至2020年全市牲畜总量为318.3万头（只），其中大牲畜为23.4万头，小牲畜为294.9万只；至2030年全市牲畜总量为341.2万头（只），其中大牲畜为25.1万头，小牲畜为316.1万只。2015年全市牲畜需水量为0.05亿</w:t>
      </w:r>
      <w:r>
        <w:rPr>
          <w:rFonts w:hint="default" w:ascii="Times New Roman" w:hAnsi="Times New Roman" w:eastAsia="方正仿宋_GBK" w:cs="Times New Roman"/>
          <w:b w:val="0"/>
          <w:bCs/>
          <w:sz w:val="32"/>
          <w:szCs w:val="32"/>
          <w:lang w:eastAsia="zh-CN"/>
        </w:rPr>
        <w:t>m³</w:t>
      </w:r>
      <w:r>
        <w:rPr>
          <w:rFonts w:hint="default" w:ascii="Times New Roman" w:hAnsi="Times New Roman" w:eastAsia="方正仿宋_GBK" w:cs="Times New Roman"/>
          <w:b w:val="0"/>
          <w:bCs/>
          <w:sz w:val="32"/>
          <w:szCs w:val="32"/>
        </w:rPr>
        <w:t>，牲畜需水量采用定额法预测，至2020年全市牲畜需水量为0.06亿</w:t>
      </w:r>
      <w:r>
        <w:rPr>
          <w:rFonts w:hint="default" w:ascii="Times New Roman" w:hAnsi="Times New Roman" w:eastAsia="方正仿宋_GBK" w:cs="Times New Roman"/>
          <w:b w:val="0"/>
          <w:bCs/>
          <w:sz w:val="32"/>
          <w:szCs w:val="32"/>
          <w:lang w:eastAsia="zh-CN"/>
        </w:rPr>
        <w:t>m³</w:t>
      </w:r>
      <w:r>
        <w:rPr>
          <w:rFonts w:hint="default" w:ascii="Times New Roman" w:hAnsi="Times New Roman" w:eastAsia="方正仿宋_GBK" w:cs="Times New Roman"/>
          <w:b w:val="0"/>
          <w:bCs/>
          <w:sz w:val="32"/>
          <w:szCs w:val="32"/>
        </w:rPr>
        <w:t>，至2030年全市牲畜需水量为0.06亿</w:t>
      </w:r>
      <w:r>
        <w:rPr>
          <w:rFonts w:hint="default" w:ascii="Times New Roman" w:hAnsi="Times New Roman" w:eastAsia="方正仿宋_GBK" w:cs="Times New Roman"/>
          <w:b w:val="0"/>
          <w:bCs/>
          <w:sz w:val="32"/>
          <w:szCs w:val="32"/>
          <w:lang w:eastAsia="zh-CN"/>
        </w:rPr>
        <w:t>m³</w:t>
      </w:r>
      <w:r>
        <w:rPr>
          <w:rFonts w:hint="default" w:ascii="Times New Roman" w:hAnsi="Times New Roman" w:eastAsia="方正仿宋_GBK" w:cs="Times New Roman"/>
          <w:b w:val="0"/>
          <w:bCs/>
          <w:sz w:val="32"/>
          <w:szCs w:val="32"/>
        </w:rPr>
        <w:t>。</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不同水平年淮南市林牧渔畜需水量见表4.3-11。</w:t>
      </w:r>
    </w:p>
    <w:p>
      <w:pPr>
        <w:adjustRightInd w:val="0"/>
        <w:snapToGrid w:val="0"/>
        <w:spacing w:line="520" w:lineRule="exact"/>
        <w:jc w:val="center"/>
        <w:rPr>
          <w:rFonts w:hint="eastAsia" w:ascii="方正黑体_GBK" w:hAnsi="方正黑体_GBK" w:eastAsia="方正黑体_GBK" w:cs="方正黑体_GBK"/>
          <w:b/>
          <w:bCs/>
          <w:sz w:val="24"/>
        </w:rPr>
      </w:pPr>
    </w:p>
    <w:p>
      <w:pPr>
        <w:adjustRightInd w:val="0"/>
        <w:snapToGrid w:val="0"/>
        <w:spacing w:line="520" w:lineRule="exact"/>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表4.3-11  淮南市林牧渔畜需水量预测成果  单位：亿m³</w:t>
      </w:r>
    </w:p>
    <w:tbl>
      <w:tblPr>
        <w:tblStyle w:val="12"/>
        <w:tblW w:w="0" w:type="auto"/>
        <w:jc w:val="center"/>
        <w:tblLayout w:type="fixed"/>
        <w:tblCellMar>
          <w:top w:w="0" w:type="dxa"/>
          <w:left w:w="108" w:type="dxa"/>
          <w:bottom w:w="0" w:type="dxa"/>
          <w:right w:w="108" w:type="dxa"/>
        </w:tblCellMar>
      </w:tblPr>
      <w:tblGrid>
        <w:gridCol w:w="1684"/>
        <w:gridCol w:w="1683"/>
        <w:gridCol w:w="1685"/>
        <w:gridCol w:w="1683"/>
        <w:gridCol w:w="1685"/>
      </w:tblGrid>
      <w:tr>
        <w:tblPrEx>
          <w:tblCellMar>
            <w:top w:w="0" w:type="dxa"/>
            <w:left w:w="108" w:type="dxa"/>
            <w:bottom w:w="0" w:type="dxa"/>
            <w:right w:w="108" w:type="dxa"/>
          </w:tblCellMar>
        </w:tblPrEx>
        <w:trPr>
          <w:trHeight w:val="500" w:hRule="atLeast"/>
          <w:jc w:val="center"/>
        </w:trPr>
        <w:tc>
          <w:tcPr>
            <w:tcW w:w="168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水平年</w:t>
            </w:r>
          </w:p>
        </w:tc>
        <w:tc>
          <w:tcPr>
            <w:tcW w:w="1683"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林果</w:t>
            </w:r>
          </w:p>
        </w:tc>
        <w:tc>
          <w:tcPr>
            <w:tcW w:w="1685"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鱼塘补水</w:t>
            </w:r>
          </w:p>
        </w:tc>
        <w:tc>
          <w:tcPr>
            <w:tcW w:w="1683"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牲畜</w:t>
            </w:r>
          </w:p>
        </w:tc>
        <w:tc>
          <w:tcPr>
            <w:tcW w:w="1685"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合计</w:t>
            </w:r>
          </w:p>
        </w:tc>
      </w:tr>
      <w:tr>
        <w:tblPrEx>
          <w:tblCellMar>
            <w:top w:w="0" w:type="dxa"/>
            <w:left w:w="108" w:type="dxa"/>
            <w:bottom w:w="0" w:type="dxa"/>
            <w:right w:w="108" w:type="dxa"/>
          </w:tblCellMar>
        </w:tblPrEx>
        <w:trPr>
          <w:trHeight w:val="500" w:hRule="atLeast"/>
          <w:jc w:val="center"/>
        </w:trPr>
        <w:tc>
          <w:tcPr>
            <w:tcW w:w="168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2015</w:t>
            </w:r>
          </w:p>
        </w:tc>
        <w:tc>
          <w:tcPr>
            <w:tcW w:w="16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0.15</w:t>
            </w:r>
          </w:p>
        </w:tc>
        <w:tc>
          <w:tcPr>
            <w:tcW w:w="168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0.34</w:t>
            </w:r>
          </w:p>
        </w:tc>
        <w:tc>
          <w:tcPr>
            <w:tcW w:w="16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0.05</w:t>
            </w:r>
          </w:p>
        </w:tc>
        <w:tc>
          <w:tcPr>
            <w:tcW w:w="168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0.54</w:t>
            </w:r>
          </w:p>
        </w:tc>
      </w:tr>
      <w:tr>
        <w:tblPrEx>
          <w:tblCellMar>
            <w:top w:w="0" w:type="dxa"/>
            <w:left w:w="108" w:type="dxa"/>
            <w:bottom w:w="0" w:type="dxa"/>
            <w:right w:w="108" w:type="dxa"/>
          </w:tblCellMar>
        </w:tblPrEx>
        <w:trPr>
          <w:trHeight w:val="500" w:hRule="atLeast"/>
          <w:jc w:val="center"/>
        </w:trPr>
        <w:tc>
          <w:tcPr>
            <w:tcW w:w="168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2020</w:t>
            </w:r>
          </w:p>
        </w:tc>
        <w:tc>
          <w:tcPr>
            <w:tcW w:w="16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0.17</w:t>
            </w:r>
          </w:p>
        </w:tc>
        <w:tc>
          <w:tcPr>
            <w:tcW w:w="168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0.34</w:t>
            </w:r>
          </w:p>
        </w:tc>
        <w:tc>
          <w:tcPr>
            <w:tcW w:w="16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0.06</w:t>
            </w:r>
          </w:p>
        </w:tc>
        <w:tc>
          <w:tcPr>
            <w:tcW w:w="168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0.56</w:t>
            </w:r>
          </w:p>
        </w:tc>
      </w:tr>
      <w:tr>
        <w:tblPrEx>
          <w:tblCellMar>
            <w:top w:w="0" w:type="dxa"/>
            <w:left w:w="108" w:type="dxa"/>
            <w:bottom w:w="0" w:type="dxa"/>
            <w:right w:w="108" w:type="dxa"/>
          </w:tblCellMar>
        </w:tblPrEx>
        <w:trPr>
          <w:trHeight w:val="512" w:hRule="atLeast"/>
          <w:jc w:val="center"/>
        </w:trPr>
        <w:tc>
          <w:tcPr>
            <w:tcW w:w="1684"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2030</w:t>
            </w:r>
          </w:p>
        </w:tc>
        <w:tc>
          <w:tcPr>
            <w:tcW w:w="16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0.15</w:t>
            </w:r>
          </w:p>
        </w:tc>
        <w:tc>
          <w:tcPr>
            <w:tcW w:w="168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0.36</w:t>
            </w:r>
          </w:p>
        </w:tc>
        <w:tc>
          <w:tcPr>
            <w:tcW w:w="16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0.06</w:t>
            </w:r>
          </w:p>
        </w:tc>
        <w:tc>
          <w:tcPr>
            <w:tcW w:w="1685"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0.57</w:t>
            </w:r>
          </w:p>
        </w:tc>
      </w:tr>
    </w:tbl>
    <w:p>
      <w:pPr>
        <w:keepNext w:val="0"/>
        <w:keepLines w:val="0"/>
        <w:pageBreakBefore w:val="0"/>
        <w:widowControl w:val="0"/>
        <w:kinsoku/>
        <w:wordWrap/>
        <w:overflowPunct/>
        <w:topLinePunct w:val="0"/>
        <w:autoSpaceDE/>
        <w:autoSpaceDN/>
        <w:bidi w:val="0"/>
        <w:adjustRightInd w:val="0"/>
        <w:snapToGrid w:val="0"/>
        <w:spacing w:line="590" w:lineRule="exact"/>
        <w:ind w:firstLine="320" w:firstLineChars="100"/>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（五）河道外生态需水预测</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sz w:val="24"/>
        </w:rPr>
      </w:pPr>
      <w:r>
        <w:rPr>
          <w:rFonts w:hint="default" w:ascii="Times New Roman" w:hAnsi="Times New Roman" w:eastAsia="方正仿宋_GBK" w:cs="Times New Roman"/>
          <w:sz w:val="32"/>
          <w:szCs w:val="32"/>
        </w:rPr>
        <w:t>2015年生态需水量0.35亿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，预测至2020年为0.66亿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，至2030年0.87亿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。淮南市规划水平年城镇生态环境需水预测见表4.3-12。</w:t>
      </w:r>
    </w:p>
    <w:p>
      <w:pPr>
        <w:adjustRightInd w:val="0"/>
        <w:snapToGrid w:val="0"/>
        <w:spacing w:line="520" w:lineRule="exact"/>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表4.3-12  淮南市城镇生态环境需水预测   单位：万m³</w:t>
      </w:r>
    </w:p>
    <w:tbl>
      <w:tblPr>
        <w:tblStyle w:val="12"/>
        <w:tblW w:w="0" w:type="auto"/>
        <w:jc w:val="center"/>
        <w:tblLayout w:type="fixed"/>
        <w:tblCellMar>
          <w:top w:w="0" w:type="dxa"/>
          <w:left w:w="108" w:type="dxa"/>
          <w:bottom w:w="0" w:type="dxa"/>
          <w:right w:w="108" w:type="dxa"/>
        </w:tblCellMar>
      </w:tblPr>
      <w:tblGrid>
        <w:gridCol w:w="960"/>
        <w:gridCol w:w="1000"/>
        <w:gridCol w:w="2445"/>
        <w:gridCol w:w="1284"/>
        <w:gridCol w:w="1282"/>
        <w:gridCol w:w="1283"/>
      </w:tblGrid>
      <w:tr>
        <w:tblPrEx>
          <w:tblCellMar>
            <w:top w:w="0" w:type="dxa"/>
            <w:left w:w="108" w:type="dxa"/>
            <w:bottom w:w="0" w:type="dxa"/>
            <w:right w:w="108" w:type="dxa"/>
          </w:tblCellMar>
        </w:tblPrEx>
        <w:trPr>
          <w:trHeight w:val="317" w:hRule="atLeast"/>
          <w:jc w:val="center"/>
        </w:trPr>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水平年</w:t>
            </w:r>
          </w:p>
        </w:tc>
        <w:tc>
          <w:tcPr>
            <w:tcW w:w="3445"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计算分区</w:t>
            </w:r>
          </w:p>
        </w:tc>
        <w:tc>
          <w:tcPr>
            <w:tcW w:w="1284" w:type="dxa"/>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河湖补水</w:t>
            </w:r>
          </w:p>
        </w:tc>
        <w:tc>
          <w:tcPr>
            <w:tcW w:w="1282" w:type="dxa"/>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城市绿化</w:t>
            </w:r>
          </w:p>
        </w:tc>
        <w:tc>
          <w:tcPr>
            <w:tcW w:w="1283" w:type="dxa"/>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合计</w:t>
            </w:r>
          </w:p>
        </w:tc>
      </w:tr>
      <w:tr>
        <w:tblPrEx>
          <w:tblCellMar>
            <w:top w:w="0" w:type="dxa"/>
            <w:left w:w="108" w:type="dxa"/>
            <w:bottom w:w="0" w:type="dxa"/>
            <w:right w:w="108" w:type="dxa"/>
          </w:tblCellMar>
        </w:tblPrEx>
        <w:trPr>
          <w:trHeight w:val="317" w:hRule="atLeast"/>
          <w:jc w:val="center"/>
        </w:trPr>
        <w:tc>
          <w:tcPr>
            <w:tcW w:w="96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2015年</w:t>
            </w:r>
          </w:p>
        </w:tc>
        <w:tc>
          <w:tcPr>
            <w:tcW w:w="100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24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28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54 </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942 </w:t>
            </w:r>
          </w:p>
        </w:tc>
        <w:tc>
          <w:tcPr>
            <w:tcW w:w="12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996 </w:t>
            </w:r>
          </w:p>
        </w:tc>
      </w:tr>
      <w:tr>
        <w:tblPrEx>
          <w:tblCellMar>
            <w:top w:w="0" w:type="dxa"/>
            <w:left w:w="108" w:type="dxa"/>
            <w:bottom w:w="0" w:type="dxa"/>
            <w:right w:w="108" w:type="dxa"/>
          </w:tblCellMar>
        </w:tblPrEx>
        <w:trPr>
          <w:trHeight w:val="317"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24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28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222 </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2299 </w:t>
            </w:r>
          </w:p>
        </w:tc>
        <w:tc>
          <w:tcPr>
            <w:tcW w:w="12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2521 </w:t>
            </w:r>
          </w:p>
        </w:tc>
      </w:tr>
      <w:tr>
        <w:tblPrEx>
          <w:tblCellMar>
            <w:top w:w="0" w:type="dxa"/>
            <w:left w:w="108" w:type="dxa"/>
            <w:bottom w:w="0" w:type="dxa"/>
            <w:right w:w="108" w:type="dxa"/>
          </w:tblCellMar>
        </w:tblPrEx>
        <w:trPr>
          <w:trHeight w:val="317"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24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kern w:val="0"/>
                <w:szCs w:val="21"/>
              </w:rPr>
            </w:pPr>
            <w:r>
              <w:rPr>
                <w:rFonts w:hint="default" w:ascii="Times New Roman" w:hAnsi="Times New Roman" w:eastAsia="方正仿宋_GBK" w:cs="Times New Roman"/>
                <w:b/>
                <w:kern w:val="0"/>
                <w:szCs w:val="21"/>
              </w:rPr>
              <w:t>合计</w:t>
            </w:r>
          </w:p>
        </w:tc>
        <w:tc>
          <w:tcPr>
            <w:tcW w:w="128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276 </w:t>
            </w:r>
          </w:p>
        </w:tc>
        <w:tc>
          <w:tcPr>
            <w:tcW w:w="1282"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3241 </w:t>
            </w:r>
          </w:p>
        </w:tc>
        <w:tc>
          <w:tcPr>
            <w:tcW w:w="1283"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3517 </w:t>
            </w:r>
          </w:p>
        </w:tc>
      </w:tr>
      <w:tr>
        <w:tblPrEx>
          <w:tblCellMar>
            <w:top w:w="0" w:type="dxa"/>
            <w:left w:w="108" w:type="dxa"/>
            <w:bottom w:w="0" w:type="dxa"/>
            <w:right w:w="108" w:type="dxa"/>
          </w:tblCellMar>
        </w:tblPrEx>
        <w:trPr>
          <w:trHeight w:val="317"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00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24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28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143 </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1982 </w:t>
            </w:r>
          </w:p>
        </w:tc>
        <w:tc>
          <w:tcPr>
            <w:tcW w:w="12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2125 </w:t>
            </w:r>
          </w:p>
        </w:tc>
      </w:tr>
      <w:tr>
        <w:tblPrEx>
          <w:tblCellMar>
            <w:top w:w="0" w:type="dxa"/>
            <w:left w:w="108" w:type="dxa"/>
            <w:bottom w:w="0" w:type="dxa"/>
            <w:right w:w="108" w:type="dxa"/>
          </w:tblCellMar>
        </w:tblPrEx>
        <w:trPr>
          <w:trHeight w:val="317"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24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28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24 </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511 </w:t>
            </w:r>
          </w:p>
        </w:tc>
        <w:tc>
          <w:tcPr>
            <w:tcW w:w="12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535 </w:t>
            </w:r>
          </w:p>
        </w:tc>
      </w:tr>
      <w:tr>
        <w:tblPrEx>
          <w:tblCellMar>
            <w:top w:w="0" w:type="dxa"/>
            <w:left w:w="108" w:type="dxa"/>
            <w:bottom w:w="0" w:type="dxa"/>
            <w:right w:w="108" w:type="dxa"/>
          </w:tblCellMar>
        </w:tblPrEx>
        <w:trPr>
          <w:trHeight w:val="317"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24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28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30 </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431 </w:t>
            </w:r>
          </w:p>
        </w:tc>
        <w:tc>
          <w:tcPr>
            <w:tcW w:w="12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461 </w:t>
            </w:r>
          </w:p>
        </w:tc>
      </w:tr>
      <w:tr>
        <w:tblPrEx>
          <w:tblCellMar>
            <w:top w:w="0" w:type="dxa"/>
            <w:left w:w="108" w:type="dxa"/>
            <w:bottom w:w="0" w:type="dxa"/>
            <w:right w:w="108" w:type="dxa"/>
          </w:tblCellMar>
        </w:tblPrEx>
        <w:trPr>
          <w:trHeight w:val="317"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24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28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79 </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317 </w:t>
            </w:r>
          </w:p>
        </w:tc>
        <w:tc>
          <w:tcPr>
            <w:tcW w:w="12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396 </w:t>
            </w:r>
          </w:p>
        </w:tc>
      </w:tr>
      <w:tr>
        <w:tblPrEx>
          <w:tblCellMar>
            <w:top w:w="0" w:type="dxa"/>
            <w:left w:w="108" w:type="dxa"/>
            <w:bottom w:w="0" w:type="dxa"/>
            <w:right w:w="108" w:type="dxa"/>
          </w:tblCellMar>
        </w:tblPrEx>
        <w:trPr>
          <w:trHeight w:val="317"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24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kern w:val="0"/>
                <w:szCs w:val="21"/>
              </w:rPr>
            </w:pPr>
            <w:r>
              <w:rPr>
                <w:rFonts w:hint="default" w:ascii="Times New Roman" w:hAnsi="Times New Roman" w:eastAsia="方正仿宋_GBK" w:cs="Times New Roman"/>
                <w:b/>
                <w:kern w:val="0"/>
                <w:szCs w:val="21"/>
              </w:rPr>
              <w:t>合  计</w:t>
            </w:r>
          </w:p>
        </w:tc>
        <w:tc>
          <w:tcPr>
            <w:tcW w:w="128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276 </w:t>
            </w:r>
          </w:p>
        </w:tc>
        <w:tc>
          <w:tcPr>
            <w:tcW w:w="1282"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3241 </w:t>
            </w:r>
          </w:p>
        </w:tc>
        <w:tc>
          <w:tcPr>
            <w:tcW w:w="1283"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3517 </w:t>
            </w:r>
          </w:p>
        </w:tc>
      </w:tr>
      <w:tr>
        <w:tblPrEx>
          <w:tblCellMar>
            <w:top w:w="0" w:type="dxa"/>
            <w:left w:w="108" w:type="dxa"/>
            <w:bottom w:w="0" w:type="dxa"/>
            <w:right w:w="108" w:type="dxa"/>
          </w:tblCellMar>
        </w:tblPrEx>
        <w:trPr>
          <w:trHeight w:val="317" w:hRule="atLeast"/>
          <w:jc w:val="center"/>
        </w:trPr>
        <w:tc>
          <w:tcPr>
            <w:tcW w:w="96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2020年</w:t>
            </w:r>
          </w:p>
        </w:tc>
        <w:tc>
          <w:tcPr>
            <w:tcW w:w="100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24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28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202 </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1732 </w:t>
            </w:r>
          </w:p>
        </w:tc>
        <w:tc>
          <w:tcPr>
            <w:tcW w:w="12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1934 </w:t>
            </w:r>
          </w:p>
        </w:tc>
      </w:tr>
      <w:tr>
        <w:tblPrEx>
          <w:tblCellMar>
            <w:top w:w="0" w:type="dxa"/>
            <w:left w:w="108" w:type="dxa"/>
            <w:bottom w:w="0" w:type="dxa"/>
            <w:right w:w="108" w:type="dxa"/>
          </w:tblCellMar>
        </w:tblPrEx>
        <w:trPr>
          <w:trHeight w:val="317"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24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28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420 </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4225 </w:t>
            </w:r>
          </w:p>
        </w:tc>
        <w:tc>
          <w:tcPr>
            <w:tcW w:w="12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4644 </w:t>
            </w:r>
          </w:p>
        </w:tc>
      </w:tr>
      <w:tr>
        <w:tblPrEx>
          <w:tblCellMar>
            <w:top w:w="0" w:type="dxa"/>
            <w:left w:w="108" w:type="dxa"/>
            <w:bottom w:w="0" w:type="dxa"/>
            <w:right w:w="108" w:type="dxa"/>
          </w:tblCellMar>
        </w:tblPrEx>
        <w:trPr>
          <w:trHeight w:val="317"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24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kern w:val="0"/>
                <w:szCs w:val="21"/>
              </w:rPr>
            </w:pPr>
            <w:r>
              <w:rPr>
                <w:rFonts w:hint="default" w:ascii="Times New Roman" w:hAnsi="Times New Roman" w:eastAsia="方正仿宋_GBK" w:cs="Times New Roman"/>
                <w:b/>
                <w:kern w:val="0"/>
                <w:szCs w:val="21"/>
              </w:rPr>
              <w:t>合计</w:t>
            </w:r>
          </w:p>
        </w:tc>
        <w:tc>
          <w:tcPr>
            <w:tcW w:w="128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622 </w:t>
            </w:r>
          </w:p>
        </w:tc>
        <w:tc>
          <w:tcPr>
            <w:tcW w:w="1282"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5956 </w:t>
            </w:r>
          </w:p>
        </w:tc>
        <w:tc>
          <w:tcPr>
            <w:tcW w:w="1283"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6578 </w:t>
            </w:r>
          </w:p>
        </w:tc>
      </w:tr>
      <w:tr>
        <w:tblPrEx>
          <w:tblCellMar>
            <w:top w:w="0" w:type="dxa"/>
            <w:left w:w="108" w:type="dxa"/>
            <w:bottom w:w="0" w:type="dxa"/>
            <w:right w:w="108" w:type="dxa"/>
          </w:tblCellMar>
        </w:tblPrEx>
        <w:trPr>
          <w:trHeight w:val="317"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00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24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28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188 </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3642 </w:t>
            </w:r>
          </w:p>
        </w:tc>
        <w:tc>
          <w:tcPr>
            <w:tcW w:w="12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3830 </w:t>
            </w:r>
          </w:p>
        </w:tc>
      </w:tr>
      <w:tr>
        <w:tblPrEx>
          <w:tblCellMar>
            <w:top w:w="0" w:type="dxa"/>
            <w:left w:w="108" w:type="dxa"/>
            <w:bottom w:w="0" w:type="dxa"/>
            <w:right w:w="108" w:type="dxa"/>
          </w:tblCellMar>
        </w:tblPrEx>
        <w:trPr>
          <w:trHeight w:val="317"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24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28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160 </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939 </w:t>
            </w:r>
          </w:p>
        </w:tc>
        <w:tc>
          <w:tcPr>
            <w:tcW w:w="12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1099 </w:t>
            </w:r>
          </w:p>
        </w:tc>
      </w:tr>
      <w:tr>
        <w:tblPrEx>
          <w:tblCellMar>
            <w:top w:w="0" w:type="dxa"/>
            <w:left w:w="108" w:type="dxa"/>
            <w:bottom w:w="0" w:type="dxa"/>
            <w:right w:w="108" w:type="dxa"/>
          </w:tblCellMar>
        </w:tblPrEx>
        <w:trPr>
          <w:trHeight w:val="317"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24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28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42 </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793 </w:t>
            </w:r>
          </w:p>
        </w:tc>
        <w:tc>
          <w:tcPr>
            <w:tcW w:w="12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835 </w:t>
            </w:r>
          </w:p>
        </w:tc>
      </w:tr>
      <w:tr>
        <w:tblPrEx>
          <w:tblCellMar>
            <w:top w:w="0" w:type="dxa"/>
            <w:left w:w="108" w:type="dxa"/>
            <w:bottom w:w="0" w:type="dxa"/>
            <w:right w:w="108" w:type="dxa"/>
          </w:tblCellMar>
        </w:tblPrEx>
        <w:trPr>
          <w:trHeight w:val="317"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24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28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231 </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583 </w:t>
            </w:r>
          </w:p>
        </w:tc>
        <w:tc>
          <w:tcPr>
            <w:tcW w:w="12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814 </w:t>
            </w:r>
          </w:p>
        </w:tc>
      </w:tr>
      <w:tr>
        <w:tblPrEx>
          <w:tblCellMar>
            <w:top w:w="0" w:type="dxa"/>
            <w:left w:w="108" w:type="dxa"/>
            <w:bottom w:w="0" w:type="dxa"/>
            <w:right w:w="108" w:type="dxa"/>
          </w:tblCellMar>
        </w:tblPrEx>
        <w:trPr>
          <w:trHeight w:val="317"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24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kern w:val="0"/>
                <w:szCs w:val="21"/>
              </w:rPr>
            </w:pPr>
            <w:r>
              <w:rPr>
                <w:rFonts w:hint="default" w:ascii="Times New Roman" w:hAnsi="Times New Roman" w:eastAsia="方正仿宋_GBK" w:cs="Times New Roman"/>
                <w:b/>
                <w:kern w:val="0"/>
                <w:szCs w:val="21"/>
              </w:rPr>
              <w:t>合  计</w:t>
            </w:r>
          </w:p>
        </w:tc>
        <w:tc>
          <w:tcPr>
            <w:tcW w:w="128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622 </w:t>
            </w:r>
          </w:p>
        </w:tc>
        <w:tc>
          <w:tcPr>
            <w:tcW w:w="1282"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5956 </w:t>
            </w:r>
          </w:p>
        </w:tc>
        <w:tc>
          <w:tcPr>
            <w:tcW w:w="1283"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6578 </w:t>
            </w:r>
          </w:p>
        </w:tc>
      </w:tr>
      <w:tr>
        <w:tblPrEx>
          <w:tblCellMar>
            <w:top w:w="0" w:type="dxa"/>
            <w:left w:w="108" w:type="dxa"/>
            <w:bottom w:w="0" w:type="dxa"/>
            <w:right w:w="108" w:type="dxa"/>
          </w:tblCellMar>
        </w:tblPrEx>
        <w:trPr>
          <w:trHeight w:val="317" w:hRule="atLeast"/>
          <w:jc w:val="center"/>
        </w:trPr>
        <w:tc>
          <w:tcPr>
            <w:tcW w:w="96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2030年</w:t>
            </w:r>
          </w:p>
        </w:tc>
        <w:tc>
          <w:tcPr>
            <w:tcW w:w="100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24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28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233 </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2322 </w:t>
            </w:r>
          </w:p>
        </w:tc>
        <w:tc>
          <w:tcPr>
            <w:tcW w:w="12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2555 </w:t>
            </w:r>
          </w:p>
        </w:tc>
      </w:tr>
      <w:tr>
        <w:tblPrEx>
          <w:tblCellMar>
            <w:top w:w="0" w:type="dxa"/>
            <w:left w:w="108" w:type="dxa"/>
            <w:bottom w:w="0" w:type="dxa"/>
            <w:right w:w="108" w:type="dxa"/>
          </w:tblCellMar>
        </w:tblPrEx>
        <w:trPr>
          <w:trHeight w:val="317"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24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28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503 </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5665 </w:t>
            </w:r>
          </w:p>
        </w:tc>
        <w:tc>
          <w:tcPr>
            <w:tcW w:w="12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6167 </w:t>
            </w:r>
          </w:p>
        </w:tc>
      </w:tr>
      <w:tr>
        <w:tblPrEx>
          <w:tblCellMar>
            <w:top w:w="0" w:type="dxa"/>
            <w:left w:w="108" w:type="dxa"/>
            <w:bottom w:w="0" w:type="dxa"/>
            <w:right w:w="108" w:type="dxa"/>
          </w:tblCellMar>
        </w:tblPrEx>
        <w:trPr>
          <w:trHeight w:val="317"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24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kern w:val="0"/>
                <w:szCs w:val="21"/>
              </w:rPr>
            </w:pPr>
            <w:r>
              <w:rPr>
                <w:rFonts w:hint="default" w:ascii="Times New Roman" w:hAnsi="Times New Roman" w:eastAsia="方正仿宋_GBK" w:cs="Times New Roman"/>
                <w:b/>
                <w:kern w:val="0"/>
                <w:szCs w:val="21"/>
              </w:rPr>
              <w:t>合计</w:t>
            </w:r>
          </w:p>
        </w:tc>
        <w:tc>
          <w:tcPr>
            <w:tcW w:w="128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736 </w:t>
            </w:r>
          </w:p>
        </w:tc>
        <w:tc>
          <w:tcPr>
            <w:tcW w:w="1282"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7987 </w:t>
            </w:r>
          </w:p>
        </w:tc>
        <w:tc>
          <w:tcPr>
            <w:tcW w:w="1283"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8723 </w:t>
            </w:r>
          </w:p>
        </w:tc>
      </w:tr>
      <w:tr>
        <w:tblPrEx>
          <w:tblCellMar>
            <w:top w:w="0" w:type="dxa"/>
            <w:left w:w="108" w:type="dxa"/>
            <w:bottom w:w="0" w:type="dxa"/>
            <w:right w:w="108" w:type="dxa"/>
          </w:tblCellMar>
        </w:tblPrEx>
        <w:trPr>
          <w:trHeight w:val="317"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00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24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28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246 </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4883 </w:t>
            </w:r>
          </w:p>
        </w:tc>
        <w:tc>
          <w:tcPr>
            <w:tcW w:w="12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5129 </w:t>
            </w:r>
          </w:p>
        </w:tc>
      </w:tr>
      <w:tr>
        <w:tblPrEx>
          <w:tblCellMar>
            <w:top w:w="0" w:type="dxa"/>
            <w:left w:w="108" w:type="dxa"/>
            <w:bottom w:w="0" w:type="dxa"/>
            <w:right w:w="108" w:type="dxa"/>
          </w:tblCellMar>
        </w:tblPrEx>
        <w:trPr>
          <w:trHeight w:val="317"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24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28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175 </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1259 </w:t>
            </w:r>
          </w:p>
        </w:tc>
        <w:tc>
          <w:tcPr>
            <w:tcW w:w="12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1434 </w:t>
            </w:r>
          </w:p>
        </w:tc>
      </w:tr>
      <w:tr>
        <w:tblPrEx>
          <w:tblCellMar>
            <w:top w:w="0" w:type="dxa"/>
            <w:left w:w="108" w:type="dxa"/>
            <w:bottom w:w="0" w:type="dxa"/>
            <w:right w:w="108" w:type="dxa"/>
          </w:tblCellMar>
        </w:tblPrEx>
        <w:trPr>
          <w:trHeight w:val="317"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24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28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58 </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1063 </w:t>
            </w:r>
          </w:p>
        </w:tc>
        <w:tc>
          <w:tcPr>
            <w:tcW w:w="12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1121 </w:t>
            </w:r>
          </w:p>
        </w:tc>
      </w:tr>
      <w:tr>
        <w:tblPrEx>
          <w:tblCellMar>
            <w:top w:w="0" w:type="dxa"/>
            <w:left w:w="108" w:type="dxa"/>
            <w:bottom w:w="0" w:type="dxa"/>
            <w:right w:w="108" w:type="dxa"/>
          </w:tblCellMar>
        </w:tblPrEx>
        <w:trPr>
          <w:trHeight w:val="317"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24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28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257 </w:t>
            </w:r>
          </w:p>
        </w:tc>
        <w:tc>
          <w:tcPr>
            <w:tcW w:w="1282"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782 </w:t>
            </w:r>
          </w:p>
        </w:tc>
        <w:tc>
          <w:tcPr>
            <w:tcW w:w="12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1039 </w:t>
            </w:r>
          </w:p>
        </w:tc>
      </w:tr>
      <w:tr>
        <w:tblPrEx>
          <w:tblCellMar>
            <w:top w:w="0" w:type="dxa"/>
            <w:left w:w="108" w:type="dxa"/>
            <w:bottom w:w="0" w:type="dxa"/>
            <w:right w:w="108" w:type="dxa"/>
          </w:tblCellMar>
        </w:tblPrEx>
        <w:trPr>
          <w:trHeight w:val="336" w:hRule="atLeast"/>
          <w:jc w:val="center"/>
        </w:trPr>
        <w:tc>
          <w:tcPr>
            <w:tcW w:w="9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24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kern w:val="0"/>
                <w:szCs w:val="21"/>
              </w:rPr>
            </w:pPr>
            <w:r>
              <w:rPr>
                <w:rFonts w:hint="default" w:ascii="Times New Roman" w:hAnsi="Times New Roman" w:eastAsia="方正仿宋_GBK" w:cs="Times New Roman"/>
                <w:b/>
                <w:kern w:val="0"/>
                <w:szCs w:val="21"/>
              </w:rPr>
              <w:t>合  计</w:t>
            </w:r>
          </w:p>
        </w:tc>
        <w:tc>
          <w:tcPr>
            <w:tcW w:w="1284"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736 </w:t>
            </w:r>
          </w:p>
        </w:tc>
        <w:tc>
          <w:tcPr>
            <w:tcW w:w="1282"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7987 </w:t>
            </w:r>
          </w:p>
        </w:tc>
        <w:tc>
          <w:tcPr>
            <w:tcW w:w="1283" w:type="dxa"/>
            <w:tcBorders>
              <w:top w:val="nil"/>
              <w:left w:val="nil"/>
              <w:bottom w:val="single" w:color="auto" w:sz="4" w:space="0"/>
              <w:right w:val="single" w:color="auto" w:sz="4" w:space="0"/>
            </w:tcBorders>
            <w:noWrap w:val="0"/>
            <w:vAlign w:val="bottom"/>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8723 </w:t>
            </w:r>
          </w:p>
        </w:tc>
      </w:tr>
    </w:tbl>
    <w:p>
      <w:pPr>
        <w:keepNext w:val="0"/>
        <w:keepLines w:val="0"/>
        <w:pageBreakBefore w:val="0"/>
        <w:widowControl w:val="0"/>
        <w:kinsoku/>
        <w:wordWrap/>
        <w:overflowPunct/>
        <w:topLinePunct w:val="0"/>
        <w:autoSpaceDE/>
        <w:autoSpaceDN/>
        <w:bidi w:val="0"/>
        <w:adjustRightInd w:val="0"/>
        <w:snapToGrid w:val="0"/>
        <w:spacing w:line="590" w:lineRule="exact"/>
        <w:ind w:firstLine="320" w:firstLineChars="100"/>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（六）需水总量</w:t>
      </w:r>
    </w:p>
    <w:p>
      <w:pPr>
        <w:pStyle w:val="2"/>
        <w:jc w:val="left"/>
        <w:rPr>
          <w:rFonts w:hint="default" w:ascii="Times New Roman" w:hAnsi="Times New Roman" w:eastAsia="方正仿宋_GBK" w:cs="Times New Roman"/>
          <w:sz w:val="32"/>
          <w:szCs w:val="32"/>
        </w:rPr>
        <w:sectPr>
          <w:headerReference r:id="rId18" w:type="default"/>
          <w:footerReference r:id="rId19" w:type="default"/>
          <w:pgSz w:w="11906" w:h="16838"/>
          <w:pgMar w:top="1962" w:right="1474" w:bottom="1848" w:left="1587" w:header="851" w:footer="992" w:gutter="0"/>
          <w:pgNumType w:fmt="numberInDash"/>
          <w:cols w:space="0" w:num="1"/>
          <w:rtlGutter w:val="0"/>
          <w:docGrid w:type="lines" w:linePitch="312" w:charSpace="0"/>
        </w:sectPr>
      </w:pPr>
      <w:r>
        <w:rPr>
          <w:rFonts w:hint="default" w:ascii="Times New Roman" w:hAnsi="Times New Roman" w:eastAsia="方正仿宋_GBK" w:cs="Times New Roman"/>
          <w:sz w:val="32"/>
          <w:szCs w:val="32"/>
        </w:rPr>
        <w:t>规划2020年，淮南市多年平均及50％、75％、95％保证率总需水量分别为20.97亿m³、18.64亿m³、23.52亿m³和32.30亿m³。2030年，淮南市多年平均及50％、75％、95％保证率总需水量分别为21.91亿m³、19.75亿m³、24.44亿m³和33.02亿m³。淮南市规划水平年水资源分区和行政分区需水量成果见表4.3-13。</w:t>
      </w:r>
    </w:p>
    <w:p>
      <w:pPr>
        <w:ind w:firstLine="482"/>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表4.3-13   规划水平年淮南市需水量  单位：亿m³</w:t>
      </w:r>
    </w:p>
    <w:tbl>
      <w:tblPr>
        <w:tblStyle w:val="12"/>
        <w:tblW w:w="0" w:type="auto"/>
        <w:jc w:val="center"/>
        <w:tblLayout w:type="fixed"/>
        <w:tblCellMar>
          <w:top w:w="0" w:type="dxa"/>
          <w:left w:w="108" w:type="dxa"/>
          <w:bottom w:w="0" w:type="dxa"/>
          <w:right w:w="108" w:type="dxa"/>
        </w:tblCellMar>
      </w:tblPr>
      <w:tblGrid>
        <w:gridCol w:w="907"/>
        <w:gridCol w:w="743"/>
        <w:gridCol w:w="1434"/>
        <w:gridCol w:w="790"/>
        <w:gridCol w:w="742"/>
        <w:gridCol w:w="767"/>
        <w:gridCol w:w="743"/>
        <w:gridCol w:w="703"/>
        <w:gridCol w:w="774"/>
        <w:gridCol w:w="609"/>
        <w:gridCol w:w="834"/>
        <w:gridCol w:w="625"/>
        <w:gridCol w:w="704"/>
        <w:gridCol w:w="781"/>
        <w:gridCol w:w="745"/>
        <w:gridCol w:w="813"/>
        <w:gridCol w:w="841"/>
        <w:gridCol w:w="657"/>
        <w:gridCol w:w="672"/>
        <w:gridCol w:w="676"/>
      </w:tblGrid>
      <w:tr>
        <w:tblPrEx>
          <w:tblCellMar>
            <w:top w:w="0" w:type="dxa"/>
            <w:left w:w="108" w:type="dxa"/>
            <w:bottom w:w="0" w:type="dxa"/>
            <w:right w:w="108" w:type="dxa"/>
          </w:tblCellMar>
        </w:tblPrEx>
        <w:trPr>
          <w:trHeight w:val="379" w:hRule="atLeast"/>
          <w:jc w:val="center"/>
        </w:trPr>
        <w:tc>
          <w:tcPr>
            <w:tcW w:w="90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水平年</w:t>
            </w:r>
          </w:p>
        </w:tc>
        <w:tc>
          <w:tcPr>
            <w:tcW w:w="217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计算分区</w:t>
            </w:r>
          </w:p>
        </w:tc>
        <w:tc>
          <w:tcPr>
            <w:tcW w:w="2299" w:type="dxa"/>
            <w:gridSpan w:val="3"/>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生活需水</w:t>
            </w:r>
          </w:p>
        </w:tc>
        <w:tc>
          <w:tcPr>
            <w:tcW w:w="2829" w:type="dxa"/>
            <w:gridSpan w:val="4"/>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工业</w:t>
            </w:r>
          </w:p>
        </w:tc>
        <w:tc>
          <w:tcPr>
            <w:tcW w:w="3689" w:type="dxa"/>
            <w:gridSpan w:val="5"/>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农业</w:t>
            </w:r>
          </w:p>
        </w:tc>
        <w:tc>
          <w:tcPr>
            <w:tcW w:w="81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河道外生态</w:t>
            </w:r>
          </w:p>
        </w:tc>
        <w:tc>
          <w:tcPr>
            <w:tcW w:w="2846" w:type="dxa"/>
            <w:gridSpan w:val="4"/>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需水量合计</w:t>
            </w:r>
          </w:p>
        </w:tc>
      </w:tr>
      <w:tr>
        <w:tblPrEx>
          <w:tblCellMar>
            <w:top w:w="0" w:type="dxa"/>
            <w:left w:w="108" w:type="dxa"/>
            <w:bottom w:w="0" w:type="dxa"/>
            <w:right w:w="108" w:type="dxa"/>
          </w:tblCellMar>
        </w:tblPrEx>
        <w:trPr>
          <w:trHeight w:val="379" w:hRule="atLeast"/>
          <w:jc w:val="center"/>
        </w:trPr>
        <w:tc>
          <w:tcPr>
            <w:tcW w:w="9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217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79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城镇</w:t>
            </w:r>
          </w:p>
        </w:tc>
        <w:tc>
          <w:tcPr>
            <w:tcW w:w="742"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农村</w:t>
            </w:r>
          </w:p>
        </w:tc>
        <w:tc>
          <w:tcPr>
            <w:tcW w:w="767"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小计</w:t>
            </w:r>
          </w:p>
        </w:tc>
        <w:tc>
          <w:tcPr>
            <w:tcW w:w="743"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火电</w:t>
            </w:r>
          </w:p>
        </w:tc>
        <w:tc>
          <w:tcPr>
            <w:tcW w:w="703"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煤炭</w:t>
            </w:r>
          </w:p>
        </w:tc>
        <w:tc>
          <w:tcPr>
            <w:tcW w:w="774"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一般工业</w:t>
            </w:r>
          </w:p>
        </w:tc>
        <w:tc>
          <w:tcPr>
            <w:tcW w:w="609"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小计</w:t>
            </w:r>
          </w:p>
        </w:tc>
        <w:tc>
          <w:tcPr>
            <w:tcW w:w="2944" w:type="dxa"/>
            <w:gridSpan w:val="4"/>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农田灌溉</w:t>
            </w:r>
          </w:p>
        </w:tc>
        <w:tc>
          <w:tcPr>
            <w:tcW w:w="745"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林牧鱼畜</w:t>
            </w:r>
          </w:p>
        </w:tc>
        <w:tc>
          <w:tcPr>
            <w:tcW w:w="81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2846" w:type="dxa"/>
            <w:gridSpan w:val="4"/>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r>
      <w:tr>
        <w:tblPrEx>
          <w:tblCellMar>
            <w:top w:w="0" w:type="dxa"/>
            <w:left w:w="108" w:type="dxa"/>
            <w:bottom w:w="0" w:type="dxa"/>
            <w:right w:w="108" w:type="dxa"/>
          </w:tblCellMar>
        </w:tblPrEx>
        <w:trPr>
          <w:trHeight w:val="716" w:hRule="atLeast"/>
          <w:jc w:val="center"/>
        </w:trPr>
        <w:tc>
          <w:tcPr>
            <w:tcW w:w="9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217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79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74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76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74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70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77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60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8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多年平均</w:t>
            </w:r>
          </w:p>
        </w:tc>
        <w:tc>
          <w:tcPr>
            <w:tcW w:w="62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50%</w:t>
            </w:r>
          </w:p>
        </w:tc>
        <w:tc>
          <w:tcPr>
            <w:tcW w:w="70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75%</w:t>
            </w:r>
          </w:p>
        </w:tc>
        <w:tc>
          <w:tcPr>
            <w:tcW w:w="78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95%</w:t>
            </w:r>
          </w:p>
        </w:tc>
        <w:tc>
          <w:tcPr>
            <w:tcW w:w="74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81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84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多年平均</w:t>
            </w:r>
          </w:p>
        </w:tc>
        <w:tc>
          <w:tcPr>
            <w:tcW w:w="657"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50%</w:t>
            </w:r>
          </w:p>
        </w:tc>
        <w:tc>
          <w:tcPr>
            <w:tcW w:w="67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75%</w:t>
            </w:r>
          </w:p>
        </w:tc>
        <w:tc>
          <w:tcPr>
            <w:tcW w:w="67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95%</w:t>
            </w:r>
          </w:p>
        </w:tc>
      </w:tr>
      <w:tr>
        <w:tblPrEx>
          <w:tblCellMar>
            <w:top w:w="0" w:type="dxa"/>
            <w:left w:w="108" w:type="dxa"/>
            <w:bottom w:w="0" w:type="dxa"/>
            <w:right w:w="108" w:type="dxa"/>
          </w:tblCellMar>
        </w:tblPrEx>
        <w:trPr>
          <w:trHeight w:val="379" w:hRule="atLeast"/>
          <w:jc w:val="center"/>
        </w:trPr>
        <w:tc>
          <w:tcPr>
            <w:tcW w:w="907"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2020年</w:t>
            </w:r>
          </w:p>
        </w:tc>
        <w:tc>
          <w:tcPr>
            <w:tcW w:w="743"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水资源分区</w:t>
            </w:r>
          </w:p>
        </w:tc>
        <w:tc>
          <w:tcPr>
            <w:tcW w:w="14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王蚌区间北岸</w:t>
            </w:r>
          </w:p>
        </w:tc>
        <w:tc>
          <w:tcPr>
            <w:tcW w:w="79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0.4</w:t>
            </w:r>
          </w:p>
        </w:tc>
        <w:tc>
          <w:tcPr>
            <w:tcW w:w="742"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0.2</w:t>
            </w:r>
          </w:p>
        </w:tc>
        <w:tc>
          <w:tcPr>
            <w:tcW w:w="76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0.6</w:t>
            </w:r>
          </w:p>
        </w:tc>
        <w:tc>
          <w:tcPr>
            <w:tcW w:w="7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1.53</w:t>
            </w:r>
          </w:p>
        </w:tc>
        <w:tc>
          <w:tcPr>
            <w:tcW w:w="70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0.29</w:t>
            </w:r>
          </w:p>
        </w:tc>
        <w:tc>
          <w:tcPr>
            <w:tcW w:w="77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0.68</w:t>
            </w:r>
          </w:p>
        </w:tc>
        <w:tc>
          <w:tcPr>
            <w:tcW w:w="609"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2.5</w:t>
            </w:r>
          </w:p>
        </w:tc>
        <w:tc>
          <w:tcPr>
            <w:tcW w:w="83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5.49</w:t>
            </w:r>
          </w:p>
        </w:tc>
        <w:tc>
          <w:tcPr>
            <w:tcW w:w="62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4.54</w:t>
            </w:r>
          </w:p>
        </w:tc>
        <w:tc>
          <w:tcPr>
            <w:tcW w:w="70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6.53</w:t>
            </w:r>
          </w:p>
        </w:tc>
        <w:tc>
          <w:tcPr>
            <w:tcW w:w="78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10.09</w:t>
            </w:r>
          </w:p>
        </w:tc>
        <w:tc>
          <w:tcPr>
            <w:tcW w:w="74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0.18</w:t>
            </w:r>
          </w:p>
        </w:tc>
        <w:tc>
          <w:tcPr>
            <w:tcW w:w="81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0.19</w:t>
            </w:r>
          </w:p>
        </w:tc>
        <w:tc>
          <w:tcPr>
            <w:tcW w:w="84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8.96</w:t>
            </w:r>
          </w:p>
        </w:tc>
        <w:tc>
          <w:tcPr>
            <w:tcW w:w="65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8.01</w:t>
            </w:r>
          </w:p>
        </w:tc>
        <w:tc>
          <w:tcPr>
            <w:tcW w:w="672"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10.00</w:t>
            </w:r>
          </w:p>
        </w:tc>
        <w:tc>
          <w:tcPr>
            <w:tcW w:w="676"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13.56</w:t>
            </w:r>
          </w:p>
        </w:tc>
      </w:tr>
      <w:tr>
        <w:tblPrEx>
          <w:tblCellMar>
            <w:top w:w="0" w:type="dxa"/>
            <w:left w:w="108" w:type="dxa"/>
            <w:bottom w:w="0" w:type="dxa"/>
            <w:right w:w="108" w:type="dxa"/>
          </w:tblCellMar>
        </w:tblPrEx>
        <w:trPr>
          <w:trHeight w:val="379" w:hRule="atLeast"/>
          <w:jc w:val="center"/>
        </w:trPr>
        <w:tc>
          <w:tcPr>
            <w:tcW w:w="90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743"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14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王蚌区间南岸</w:t>
            </w:r>
          </w:p>
        </w:tc>
        <w:tc>
          <w:tcPr>
            <w:tcW w:w="790"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1.57</w:t>
            </w:r>
          </w:p>
        </w:tc>
        <w:tc>
          <w:tcPr>
            <w:tcW w:w="742"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0.22</w:t>
            </w:r>
          </w:p>
        </w:tc>
        <w:tc>
          <w:tcPr>
            <w:tcW w:w="76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1.79</w:t>
            </w:r>
          </w:p>
        </w:tc>
        <w:tc>
          <w:tcPr>
            <w:tcW w:w="7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0.42</w:t>
            </w:r>
          </w:p>
        </w:tc>
        <w:tc>
          <w:tcPr>
            <w:tcW w:w="70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0.15</w:t>
            </w:r>
          </w:p>
        </w:tc>
        <w:tc>
          <w:tcPr>
            <w:tcW w:w="77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0.81</w:t>
            </w:r>
          </w:p>
        </w:tc>
        <w:tc>
          <w:tcPr>
            <w:tcW w:w="609"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1.38</w:t>
            </w:r>
          </w:p>
        </w:tc>
        <w:tc>
          <w:tcPr>
            <w:tcW w:w="83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8</w:t>
            </w:r>
          </w:p>
        </w:tc>
        <w:tc>
          <w:tcPr>
            <w:tcW w:w="62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6.61</w:t>
            </w:r>
          </w:p>
        </w:tc>
        <w:tc>
          <w:tcPr>
            <w:tcW w:w="70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9.51</w:t>
            </w:r>
          </w:p>
        </w:tc>
        <w:tc>
          <w:tcPr>
            <w:tcW w:w="78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14.73</w:t>
            </w:r>
          </w:p>
        </w:tc>
        <w:tc>
          <w:tcPr>
            <w:tcW w:w="74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0.39</w:t>
            </w:r>
          </w:p>
        </w:tc>
        <w:tc>
          <w:tcPr>
            <w:tcW w:w="81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0.46</w:t>
            </w:r>
          </w:p>
        </w:tc>
        <w:tc>
          <w:tcPr>
            <w:tcW w:w="84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12.02</w:t>
            </w:r>
          </w:p>
        </w:tc>
        <w:tc>
          <w:tcPr>
            <w:tcW w:w="65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10.63</w:t>
            </w:r>
          </w:p>
        </w:tc>
        <w:tc>
          <w:tcPr>
            <w:tcW w:w="672"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13.53</w:t>
            </w:r>
          </w:p>
        </w:tc>
        <w:tc>
          <w:tcPr>
            <w:tcW w:w="676"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18.75</w:t>
            </w:r>
          </w:p>
        </w:tc>
      </w:tr>
      <w:tr>
        <w:tblPrEx>
          <w:tblCellMar>
            <w:top w:w="0" w:type="dxa"/>
            <w:left w:w="108" w:type="dxa"/>
            <w:bottom w:w="0" w:type="dxa"/>
            <w:right w:w="108" w:type="dxa"/>
          </w:tblCellMar>
        </w:tblPrEx>
        <w:trPr>
          <w:trHeight w:val="379" w:hRule="atLeast"/>
          <w:jc w:val="center"/>
        </w:trPr>
        <w:tc>
          <w:tcPr>
            <w:tcW w:w="90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743"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14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 w:val="18"/>
                <w:szCs w:val="18"/>
              </w:rPr>
            </w:pPr>
            <w:r>
              <w:rPr>
                <w:rFonts w:hint="default" w:ascii="Times New Roman" w:hAnsi="Times New Roman" w:eastAsia="方正仿宋_GBK" w:cs="Times New Roman"/>
                <w:b/>
                <w:bCs/>
                <w:kern w:val="0"/>
                <w:sz w:val="18"/>
                <w:szCs w:val="18"/>
              </w:rPr>
              <w:t>合计</w:t>
            </w:r>
          </w:p>
        </w:tc>
        <w:tc>
          <w:tcPr>
            <w:tcW w:w="790"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1.97</w:t>
            </w:r>
          </w:p>
        </w:tc>
        <w:tc>
          <w:tcPr>
            <w:tcW w:w="742"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0.42</w:t>
            </w:r>
          </w:p>
        </w:tc>
        <w:tc>
          <w:tcPr>
            <w:tcW w:w="76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2.39</w:t>
            </w:r>
          </w:p>
        </w:tc>
        <w:tc>
          <w:tcPr>
            <w:tcW w:w="7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1.94</w:t>
            </w:r>
          </w:p>
        </w:tc>
        <w:tc>
          <w:tcPr>
            <w:tcW w:w="70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0.45</w:t>
            </w:r>
          </w:p>
        </w:tc>
        <w:tc>
          <w:tcPr>
            <w:tcW w:w="77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1.48</w:t>
            </w:r>
          </w:p>
        </w:tc>
        <w:tc>
          <w:tcPr>
            <w:tcW w:w="609"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3.87</w:t>
            </w:r>
          </w:p>
        </w:tc>
        <w:tc>
          <w:tcPr>
            <w:tcW w:w="83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13.49</w:t>
            </w:r>
          </w:p>
        </w:tc>
        <w:tc>
          <w:tcPr>
            <w:tcW w:w="62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11.15</w:t>
            </w:r>
          </w:p>
        </w:tc>
        <w:tc>
          <w:tcPr>
            <w:tcW w:w="70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16.04</w:t>
            </w:r>
          </w:p>
        </w:tc>
        <w:tc>
          <w:tcPr>
            <w:tcW w:w="78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24.82</w:t>
            </w:r>
          </w:p>
        </w:tc>
        <w:tc>
          <w:tcPr>
            <w:tcW w:w="74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0.56</w:t>
            </w:r>
          </w:p>
        </w:tc>
        <w:tc>
          <w:tcPr>
            <w:tcW w:w="81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0.66</w:t>
            </w:r>
          </w:p>
        </w:tc>
        <w:tc>
          <w:tcPr>
            <w:tcW w:w="84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20.97</w:t>
            </w:r>
          </w:p>
        </w:tc>
        <w:tc>
          <w:tcPr>
            <w:tcW w:w="65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18.64</w:t>
            </w:r>
          </w:p>
        </w:tc>
        <w:tc>
          <w:tcPr>
            <w:tcW w:w="672"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23.52</w:t>
            </w:r>
          </w:p>
        </w:tc>
        <w:tc>
          <w:tcPr>
            <w:tcW w:w="676"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32.30</w:t>
            </w:r>
          </w:p>
        </w:tc>
      </w:tr>
      <w:tr>
        <w:tblPrEx>
          <w:tblCellMar>
            <w:top w:w="0" w:type="dxa"/>
            <w:left w:w="108" w:type="dxa"/>
            <w:bottom w:w="0" w:type="dxa"/>
            <w:right w:w="108" w:type="dxa"/>
          </w:tblCellMar>
        </w:tblPrEx>
        <w:trPr>
          <w:trHeight w:val="379" w:hRule="atLeast"/>
          <w:jc w:val="center"/>
        </w:trPr>
        <w:tc>
          <w:tcPr>
            <w:tcW w:w="90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743"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行政分区</w:t>
            </w:r>
          </w:p>
        </w:tc>
        <w:tc>
          <w:tcPr>
            <w:tcW w:w="14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淮南市市区</w:t>
            </w:r>
          </w:p>
        </w:tc>
        <w:tc>
          <w:tcPr>
            <w:tcW w:w="790"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1.14</w:t>
            </w:r>
          </w:p>
        </w:tc>
        <w:tc>
          <w:tcPr>
            <w:tcW w:w="742"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0.04</w:t>
            </w:r>
          </w:p>
        </w:tc>
        <w:tc>
          <w:tcPr>
            <w:tcW w:w="76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1.18</w:t>
            </w:r>
          </w:p>
        </w:tc>
        <w:tc>
          <w:tcPr>
            <w:tcW w:w="7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0.41</w:t>
            </w:r>
          </w:p>
        </w:tc>
        <w:tc>
          <w:tcPr>
            <w:tcW w:w="70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0.15</w:t>
            </w:r>
          </w:p>
        </w:tc>
        <w:tc>
          <w:tcPr>
            <w:tcW w:w="77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0.6</w:t>
            </w:r>
          </w:p>
        </w:tc>
        <w:tc>
          <w:tcPr>
            <w:tcW w:w="609"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1.16</w:t>
            </w:r>
          </w:p>
        </w:tc>
        <w:tc>
          <w:tcPr>
            <w:tcW w:w="83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1.93</w:t>
            </w:r>
          </w:p>
        </w:tc>
        <w:tc>
          <w:tcPr>
            <w:tcW w:w="62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1.6</w:t>
            </w:r>
          </w:p>
        </w:tc>
        <w:tc>
          <w:tcPr>
            <w:tcW w:w="70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2.29</w:t>
            </w:r>
          </w:p>
        </w:tc>
        <w:tc>
          <w:tcPr>
            <w:tcW w:w="78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3.55</w:t>
            </w:r>
          </w:p>
        </w:tc>
        <w:tc>
          <w:tcPr>
            <w:tcW w:w="74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0.12</w:t>
            </w:r>
          </w:p>
        </w:tc>
        <w:tc>
          <w:tcPr>
            <w:tcW w:w="81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0.38</w:t>
            </w:r>
          </w:p>
        </w:tc>
        <w:tc>
          <w:tcPr>
            <w:tcW w:w="84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4.77</w:t>
            </w:r>
          </w:p>
        </w:tc>
        <w:tc>
          <w:tcPr>
            <w:tcW w:w="65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4.44</w:t>
            </w:r>
          </w:p>
        </w:tc>
        <w:tc>
          <w:tcPr>
            <w:tcW w:w="672"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5.13</w:t>
            </w:r>
          </w:p>
        </w:tc>
        <w:tc>
          <w:tcPr>
            <w:tcW w:w="676"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6.39</w:t>
            </w:r>
          </w:p>
        </w:tc>
      </w:tr>
      <w:tr>
        <w:tblPrEx>
          <w:tblCellMar>
            <w:top w:w="0" w:type="dxa"/>
            <w:left w:w="108" w:type="dxa"/>
            <w:bottom w:w="0" w:type="dxa"/>
            <w:right w:w="108" w:type="dxa"/>
          </w:tblCellMar>
        </w:tblPrEx>
        <w:trPr>
          <w:trHeight w:val="379" w:hRule="atLeast"/>
          <w:jc w:val="center"/>
        </w:trPr>
        <w:tc>
          <w:tcPr>
            <w:tcW w:w="90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74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14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潘集区</w:t>
            </w:r>
          </w:p>
        </w:tc>
        <w:tc>
          <w:tcPr>
            <w:tcW w:w="790"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0.16</w:t>
            </w:r>
          </w:p>
        </w:tc>
        <w:tc>
          <w:tcPr>
            <w:tcW w:w="742"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0.08</w:t>
            </w:r>
          </w:p>
        </w:tc>
        <w:tc>
          <w:tcPr>
            <w:tcW w:w="76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0.24</w:t>
            </w:r>
          </w:p>
        </w:tc>
        <w:tc>
          <w:tcPr>
            <w:tcW w:w="7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0.63</w:t>
            </w:r>
          </w:p>
        </w:tc>
        <w:tc>
          <w:tcPr>
            <w:tcW w:w="70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w:t>
            </w:r>
          </w:p>
        </w:tc>
        <w:tc>
          <w:tcPr>
            <w:tcW w:w="77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0.35</w:t>
            </w:r>
          </w:p>
        </w:tc>
        <w:tc>
          <w:tcPr>
            <w:tcW w:w="609"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1.08</w:t>
            </w:r>
          </w:p>
        </w:tc>
        <w:tc>
          <w:tcPr>
            <w:tcW w:w="83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2.15</w:t>
            </w:r>
          </w:p>
        </w:tc>
        <w:tc>
          <w:tcPr>
            <w:tcW w:w="62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1.78</w:t>
            </w:r>
          </w:p>
        </w:tc>
        <w:tc>
          <w:tcPr>
            <w:tcW w:w="70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2.56</w:t>
            </w:r>
          </w:p>
        </w:tc>
        <w:tc>
          <w:tcPr>
            <w:tcW w:w="78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3.96</w:t>
            </w:r>
          </w:p>
        </w:tc>
        <w:tc>
          <w:tcPr>
            <w:tcW w:w="74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0.06</w:t>
            </w:r>
          </w:p>
        </w:tc>
        <w:tc>
          <w:tcPr>
            <w:tcW w:w="81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0.11</w:t>
            </w:r>
          </w:p>
        </w:tc>
        <w:tc>
          <w:tcPr>
            <w:tcW w:w="84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3.64</w:t>
            </w:r>
          </w:p>
        </w:tc>
        <w:tc>
          <w:tcPr>
            <w:tcW w:w="65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3.27</w:t>
            </w:r>
          </w:p>
        </w:tc>
        <w:tc>
          <w:tcPr>
            <w:tcW w:w="672"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4.05</w:t>
            </w:r>
          </w:p>
        </w:tc>
        <w:tc>
          <w:tcPr>
            <w:tcW w:w="676"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5.45</w:t>
            </w:r>
          </w:p>
        </w:tc>
      </w:tr>
      <w:tr>
        <w:tblPrEx>
          <w:tblCellMar>
            <w:top w:w="0" w:type="dxa"/>
            <w:left w:w="108" w:type="dxa"/>
            <w:bottom w:w="0" w:type="dxa"/>
            <w:right w:w="108" w:type="dxa"/>
          </w:tblCellMar>
        </w:tblPrEx>
        <w:trPr>
          <w:trHeight w:val="379" w:hRule="atLeast"/>
          <w:jc w:val="center"/>
        </w:trPr>
        <w:tc>
          <w:tcPr>
            <w:tcW w:w="90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74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14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凤台县、毛集区</w:t>
            </w:r>
          </w:p>
        </w:tc>
        <w:tc>
          <w:tcPr>
            <w:tcW w:w="790"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0.28</w:t>
            </w:r>
          </w:p>
        </w:tc>
        <w:tc>
          <w:tcPr>
            <w:tcW w:w="742"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0.13</w:t>
            </w:r>
          </w:p>
        </w:tc>
        <w:tc>
          <w:tcPr>
            <w:tcW w:w="76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0.41</w:t>
            </w:r>
          </w:p>
        </w:tc>
        <w:tc>
          <w:tcPr>
            <w:tcW w:w="7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0.89</w:t>
            </w:r>
          </w:p>
        </w:tc>
        <w:tc>
          <w:tcPr>
            <w:tcW w:w="70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0.19</w:t>
            </w:r>
          </w:p>
        </w:tc>
        <w:tc>
          <w:tcPr>
            <w:tcW w:w="77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0.33</w:t>
            </w:r>
          </w:p>
        </w:tc>
        <w:tc>
          <w:tcPr>
            <w:tcW w:w="609"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1.41</w:t>
            </w:r>
          </w:p>
        </w:tc>
        <w:tc>
          <w:tcPr>
            <w:tcW w:w="83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3.34</w:t>
            </w:r>
          </w:p>
        </w:tc>
        <w:tc>
          <w:tcPr>
            <w:tcW w:w="62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2.76</w:t>
            </w:r>
          </w:p>
        </w:tc>
        <w:tc>
          <w:tcPr>
            <w:tcW w:w="70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3.97</w:t>
            </w:r>
          </w:p>
        </w:tc>
        <w:tc>
          <w:tcPr>
            <w:tcW w:w="78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6.13</w:t>
            </w:r>
          </w:p>
        </w:tc>
        <w:tc>
          <w:tcPr>
            <w:tcW w:w="74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0.12</w:t>
            </w:r>
          </w:p>
        </w:tc>
        <w:tc>
          <w:tcPr>
            <w:tcW w:w="81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0.08</w:t>
            </w:r>
          </w:p>
        </w:tc>
        <w:tc>
          <w:tcPr>
            <w:tcW w:w="84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5.36</w:t>
            </w:r>
          </w:p>
        </w:tc>
        <w:tc>
          <w:tcPr>
            <w:tcW w:w="65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4.78</w:t>
            </w:r>
          </w:p>
        </w:tc>
        <w:tc>
          <w:tcPr>
            <w:tcW w:w="672"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5.99</w:t>
            </w:r>
          </w:p>
        </w:tc>
        <w:tc>
          <w:tcPr>
            <w:tcW w:w="676"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8.15</w:t>
            </w:r>
          </w:p>
        </w:tc>
      </w:tr>
      <w:tr>
        <w:tblPrEx>
          <w:tblCellMar>
            <w:top w:w="0" w:type="dxa"/>
            <w:left w:w="108" w:type="dxa"/>
            <w:bottom w:w="0" w:type="dxa"/>
            <w:right w:w="108" w:type="dxa"/>
          </w:tblCellMar>
        </w:tblPrEx>
        <w:trPr>
          <w:trHeight w:val="379" w:hRule="atLeast"/>
          <w:jc w:val="center"/>
        </w:trPr>
        <w:tc>
          <w:tcPr>
            <w:tcW w:w="90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74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14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寿县</w:t>
            </w:r>
          </w:p>
        </w:tc>
        <w:tc>
          <w:tcPr>
            <w:tcW w:w="790"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0.39</w:t>
            </w:r>
          </w:p>
        </w:tc>
        <w:tc>
          <w:tcPr>
            <w:tcW w:w="742"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0.18</w:t>
            </w:r>
          </w:p>
        </w:tc>
        <w:tc>
          <w:tcPr>
            <w:tcW w:w="76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0.57</w:t>
            </w:r>
          </w:p>
        </w:tc>
        <w:tc>
          <w:tcPr>
            <w:tcW w:w="7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0.01</w:t>
            </w:r>
          </w:p>
        </w:tc>
        <w:tc>
          <w:tcPr>
            <w:tcW w:w="70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w:t>
            </w:r>
          </w:p>
        </w:tc>
        <w:tc>
          <w:tcPr>
            <w:tcW w:w="77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0.21</w:t>
            </w:r>
          </w:p>
        </w:tc>
        <w:tc>
          <w:tcPr>
            <w:tcW w:w="609"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0.22</w:t>
            </w:r>
          </w:p>
        </w:tc>
        <w:tc>
          <w:tcPr>
            <w:tcW w:w="83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6.07</w:t>
            </w:r>
          </w:p>
        </w:tc>
        <w:tc>
          <w:tcPr>
            <w:tcW w:w="62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5.02</w:t>
            </w:r>
          </w:p>
        </w:tc>
        <w:tc>
          <w:tcPr>
            <w:tcW w:w="70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7.22</w:t>
            </w:r>
          </w:p>
        </w:tc>
        <w:tc>
          <w:tcPr>
            <w:tcW w:w="78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11.18</w:t>
            </w:r>
          </w:p>
        </w:tc>
        <w:tc>
          <w:tcPr>
            <w:tcW w:w="74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0.27</w:t>
            </w:r>
          </w:p>
        </w:tc>
        <w:tc>
          <w:tcPr>
            <w:tcW w:w="81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0.08</w:t>
            </w:r>
          </w:p>
        </w:tc>
        <w:tc>
          <w:tcPr>
            <w:tcW w:w="84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7.21</w:t>
            </w:r>
          </w:p>
        </w:tc>
        <w:tc>
          <w:tcPr>
            <w:tcW w:w="65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6.16</w:t>
            </w:r>
          </w:p>
        </w:tc>
        <w:tc>
          <w:tcPr>
            <w:tcW w:w="672"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8.36</w:t>
            </w:r>
          </w:p>
        </w:tc>
        <w:tc>
          <w:tcPr>
            <w:tcW w:w="676"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12.32</w:t>
            </w:r>
          </w:p>
        </w:tc>
      </w:tr>
      <w:tr>
        <w:tblPrEx>
          <w:tblCellMar>
            <w:top w:w="0" w:type="dxa"/>
            <w:left w:w="108" w:type="dxa"/>
            <w:bottom w:w="0" w:type="dxa"/>
            <w:right w:w="108" w:type="dxa"/>
          </w:tblCellMar>
        </w:tblPrEx>
        <w:trPr>
          <w:trHeight w:val="379" w:hRule="atLeast"/>
          <w:jc w:val="center"/>
        </w:trPr>
        <w:tc>
          <w:tcPr>
            <w:tcW w:w="90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74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14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 w:val="18"/>
                <w:szCs w:val="18"/>
              </w:rPr>
            </w:pPr>
            <w:r>
              <w:rPr>
                <w:rFonts w:hint="default" w:ascii="Times New Roman" w:hAnsi="Times New Roman" w:eastAsia="方正仿宋_GBK" w:cs="Times New Roman"/>
                <w:b/>
                <w:bCs/>
                <w:kern w:val="0"/>
                <w:sz w:val="18"/>
                <w:szCs w:val="18"/>
              </w:rPr>
              <w:t>合  计</w:t>
            </w:r>
          </w:p>
        </w:tc>
        <w:tc>
          <w:tcPr>
            <w:tcW w:w="790"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1.97</w:t>
            </w:r>
          </w:p>
        </w:tc>
        <w:tc>
          <w:tcPr>
            <w:tcW w:w="742"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0.42</w:t>
            </w:r>
          </w:p>
        </w:tc>
        <w:tc>
          <w:tcPr>
            <w:tcW w:w="76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2.39</w:t>
            </w:r>
          </w:p>
        </w:tc>
        <w:tc>
          <w:tcPr>
            <w:tcW w:w="7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1.94</w:t>
            </w:r>
          </w:p>
        </w:tc>
        <w:tc>
          <w:tcPr>
            <w:tcW w:w="70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0.45</w:t>
            </w:r>
          </w:p>
        </w:tc>
        <w:tc>
          <w:tcPr>
            <w:tcW w:w="77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1.48</w:t>
            </w:r>
          </w:p>
        </w:tc>
        <w:tc>
          <w:tcPr>
            <w:tcW w:w="609"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3.87</w:t>
            </w:r>
          </w:p>
        </w:tc>
        <w:tc>
          <w:tcPr>
            <w:tcW w:w="83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13.49</w:t>
            </w:r>
          </w:p>
        </w:tc>
        <w:tc>
          <w:tcPr>
            <w:tcW w:w="62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11.15</w:t>
            </w:r>
          </w:p>
        </w:tc>
        <w:tc>
          <w:tcPr>
            <w:tcW w:w="70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16.04</w:t>
            </w:r>
          </w:p>
        </w:tc>
        <w:tc>
          <w:tcPr>
            <w:tcW w:w="78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24.82</w:t>
            </w:r>
          </w:p>
        </w:tc>
        <w:tc>
          <w:tcPr>
            <w:tcW w:w="74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0.56</w:t>
            </w:r>
          </w:p>
        </w:tc>
        <w:tc>
          <w:tcPr>
            <w:tcW w:w="81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0.66</w:t>
            </w:r>
          </w:p>
        </w:tc>
        <w:tc>
          <w:tcPr>
            <w:tcW w:w="84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20.97</w:t>
            </w:r>
          </w:p>
        </w:tc>
        <w:tc>
          <w:tcPr>
            <w:tcW w:w="65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18.64</w:t>
            </w:r>
          </w:p>
        </w:tc>
        <w:tc>
          <w:tcPr>
            <w:tcW w:w="672"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23.52</w:t>
            </w:r>
          </w:p>
        </w:tc>
        <w:tc>
          <w:tcPr>
            <w:tcW w:w="676"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32.30</w:t>
            </w:r>
          </w:p>
        </w:tc>
      </w:tr>
      <w:tr>
        <w:tblPrEx>
          <w:tblCellMar>
            <w:top w:w="0" w:type="dxa"/>
            <w:left w:w="108" w:type="dxa"/>
            <w:bottom w:w="0" w:type="dxa"/>
            <w:right w:w="108" w:type="dxa"/>
          </w:tblCellMar>
        </w:tblPrEx>
        <w:trPr>
          <w:trHeight w:val="379" w:hRule="atLeast"/>
          <w:jc w:val="center"/>
        </w:trPr>
        <w:tc>
          <w:tcPr>
            <w:tcW w:w="907"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2030年</w:t>
            </w:r>
          </w:p>
        </w:tc>
        <w:tc>
          <w:tcPr>
            <w:tcW w:w="743"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水资源分区</w:t>
            </w:r>
          </w:p>
        </w:tc>
        <w:tc>
          <w:tcPr>
            <w:tcW w:w="14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王蚌区间北岸</w:t>
            </w:r>
          </w:p>
        </w:tc>
        <w:tc>
          <w:tcPr>
            <w:tcW w:w="790"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0.62</w:t>
            </w:r>
          </w:p>
        </w:tc>
        <w:tc>
          <w:tcPr>
            <w:tcW w:w="742"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0.16</w:t>
            </w:r>
          </w:p>
        </w:tc>
        <w:tc>
          <w:tcPr>
            <w:tcW w:w="76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0.78</w:t>
            </w:r>
          </w:p>
        </w:tc>
        <w:tc>
          <w:tcPr>
            <w:tcW w:w="7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1.94</w:t>
            </w:r>
          </w:p>
        </w:tc>
        <w:tc>
          <w:tcPr>
            <w:tcW w:w="70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0.3</w:t>
            </w:r>
          </w:p>
        </w:tc>
        <w:tc>
          <w:tcPr>
            <w:tcW w:w="77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0.76</w:t>
            </w:r>
          </w:p>
        </w:tc>
        <w:tc>
          <w:tcPr>
            <w:tcW w:w="609"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3</w:t>
            </w:r>
          </w:p>
        </w:tc>
        <w:tc>
          <w:tcPr>
            <w:tcW w:w="83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5.38</w:t>
            </w:r>
          </w:p>
        </w:tc>
        <w:tc>
          <w:tcPr>
            <w:tcW w:w="62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4.48</w:t>
            </w:r>
          </w:p>
        </w:tc>
        <w:tc>
          <w:tcPr>
            <w:tcW w:w="70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6.42</w:t>
            </w:r>
          </w:p>
        </w:tc>
        <w:tc>
          <w:tcPr>
            <w:tcW w:w="78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9.94</w:t>
            </w:r>
          </w:p>
        </w:tc>
        <w:tc>
          <w:tcPr>
            <w:tcW w:w="74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0.18</w:t>
            </w:r>
          </w:p>
        </w:tc>
        <w:tc>
          <w:tcPr>
            <w:tcW w:w="81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0.26</w:t>
            </w:r>
          </w:p>
        </w:tc>
        <w:tc>
          <w:tcPr>
            <w:tcW w:w="84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 xml:space="preserve">9.60 </w:t>
            </w:r>
          </w:p>
        </w:tc>
        <w:tc>
          <w:tcPr>
            <w:tcW w:w="65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 xml:space="preserve">8.70 </w:t>
            </w:r>
          </w:p>
        </w:tc>
        <w:tc>
          <w:tcPr>
            <w:tcW w:w="672"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 xml:space="preserve">10.64 </w:t>
            </w:r>
          </w:p>
        </w:tc>
        <w:tc>
          <w:tcPr>
            <w:tcW w:w="676"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 xml:space="preserve">14.16 </w:t>
            </w:r>
          </w:p>
        </w:tc>
      </w:tr>
      <w:tr>
        <w:tblPrEx>
          <w:tblCellMar>
            <w:top w:w="0" w:type="dxa"/>
            <w:left w:w="108" w:type="dxa"/>
            <w:bottom w:w="0" w:type="dxa"/>
            <w:right w:w="108" w:type="dxa"/>
          </w:tblCellMar>
        </w:tblPrEx>
        <w:trPr>
          <w:trHeight w:val="379" w:hRule="atLeast"/>
          <w:jc w:val="center"/>
        </w:trPr>
        <w:tc>
          <w:tcPr>
            <w:tcW w:w="90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743"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14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王蚌区间南岸</w:t>
            </w:r>
          </w:p>
        </w:tc>
        <w:tc>
          <w:tcPr>
            <w:tcW w:w="790"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1.92</w:t>
            </w:r>
          </w:p>
        </w:tc>
        <w:tc>
          <w:tcPr>
            <w:tcW w:w="742"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0.2</w:t>
            </w:r>
          </w:p>
        </w:tc>
        <w:tc>
          <w:tcPr>
            <w:tcW w:w="76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2.12</w:t>
            </w:r>
          </w:p>
        </w:tc>
        <w:tc>
          <w:tcPr>
            <w:tcW w:w="7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0.55</w:t>
            </w:r>
          </w:p>
        </w:tc>
        <w:tc>
          <w:tcPr>
            <w:tcW w:w="70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0.16</w:t>
            </w:r>
          </w:p>
        </w:tc>
        <w:tc>
          <w:tcPr>
            <w:tcW w:w="77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0.82</w:t>
            </w:r>
          </w:p>
        </w:tc>
        <w:tc>
          <w:tcPr>
            <w:tcW w:w="609"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1.53</w:t>
            </w:r>
          </w:p>
        </w:tc>
        <w:tc>
          <w:tcPr>
            <w:tcW w:w="83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7.66</w:t>
            </w:r>
          </w:p>
        </w:tc>
        <w:tc>
          <w:tcPr>
            <w:tcW w:w="62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6.4</w:t>
            </w:r>
          </w:p>
        </w:tc>
        <w:tc>
          <w:tcPr>
            <w:tcW w:w="70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9.15</w:t>
            </w:r>
          </w:p>
        </w:tc>
        <w:tc>
          <w:tcPr>
            <w:tcW w:w="78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14.21</w:t>
            </w:r>
          </w:p>
        </w:tc>
        <w:tc>
          <w:tcPr>
            <w:tcW w:w="74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0.39</w:t>
            </w:r>
          </w:p>
        </w:tc>
        <w:tc>
          <w:tcPr>
            <w:tcW w:w="81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0.62</w:t>
            </w:r>
          </w:p>
        </w:tc>
        <w:tc>
          <w:tcPr>
            <w:tcW w:w="84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 xml:space="preserve">12.32 </w:t>
            </w:r>
          </w:p>
        </w:tc>
        <w:tc>
          <w:tcPr>
            <w:tcW w:w="65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 xml:space="preserve">11.06 </w:t>
            </w:r>
          </w:p>
        </w:tc>
        <w:tc>
          <w:tcPr>
            <w:tcW w:w="672"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 xml:space="preserve">13.81 </w:t>
            </w:r>
          </w:p>
        </w:tc>
        <w:tc>
          <w:tcPr>
            <w:tcW w:w="676"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 xml:space="preserve">18.87 </w:t>
            </w:r>
          </w:p>
        </w:tc>
      </w:tr>
      <w:tr>
        <w:tblPrEx>
          <w:tblCellMar>
            <w:top w:w="0" w:type="dxa"/>
            <w:left w:w="108" w:type="dxa"/>
            <w:bottom w:w="0" w:type="dxa"/>
            <w:right w:w="108" w:type="dxa"/>
          </w:tblCellMar>
        </w:tblPrEx>
        <w:trPr>
          <w:trHeight w:val="343" w:hRule="atLeast"/>
          <w:jc w:val="center"/>
        </w:trPr>
        <w:tc>
          <w:tcPr>
            <w:tcW w:w="90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743"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14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 w:val="18"/>
                <w:szCs w:val="18"/>
              </w:rPr>
            </w:pPr>
            <w:r>
              <w:rPr>
                <w:rFonts w:hint="default" w:ascii="Times New Roman" w:hAnsi="Times New Roman" w:eastAsia="方正仿宋_GBK" w:cs="Times New Roman"/>
                <w:b/>
                <w:bCs/>
                <w:kern w:val="0"/>
                <w:sz w:val="18"/>
                <w:szCs w:val="18"/>
              </w:rPr>
              <w:t>合计</w:t>
            </w:r>
          </w:p>
        </w:tc>
        <w:tc>
          <w:tcPr>
            <w:tcW w:w="790"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2.54</w:t>
            </w:r>
          </w:p>
        </w:tc>
        <w:tc>
          <w:tcPr>
            <w:tcW w:w="742"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0.37</w:t>
            </w:r>
          </w:p>
        </w:tc>
        <w:tc>
          <w:tcPr>
            <w:tcW w:w="76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2.91</w:t>
            </w:r>
          </w:p>
        </w:tc>
        <w:tc>
          <w:tcPr>
            <w:tcW w:w="7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2.49</w:t>
            </w:r>
          </w:p>
        </w:tc>
        <w:tc>
          <w:tcPr>
            <w:tcW w:w="70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0.46</w:t>
            </w:r>
          </w:p>
        </w:tc>
        <w:tc>
          <w:tcPr>
            <w:tcW w:w="77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1.58</w:t>
            </w:r>
          </w:p>
        </w:tc>
        <w:tc>
          <w:tcPr>
            <w:tcW w:w="609"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4.53</w:t>
            </w:r>
          </w:p>
        </w:tc>
        <w:tc>
          <w:tcPr>
            <w:tcW w:w="83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13.04</w:t>
            </w:r>
          </w:p>
        </w:tc>
        <w:tc>
          <w:tcPr>
            <w:tcW w:w="62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10.88</w:t>
            </w:r>
          </w:p>
        </w:tc>
        <w:tc>
          <w:tcPr>
            <w:tcW w:w="70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15.57</w:t>
            </w:r>
          </w:p>
        </w:tc>
        <w:tc>
          <w:tcPr>
            <w:tcW w:w="78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24.14</w:t>
            </w:r>
          </w:p>
        </w:tc>
        <w:tc>
          <w:tcPr>
            <w:tcW w:w="74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0.57</w:t>
            </w:r>
          </w:p>
        </w:tc>
        <w:tc>
          <w:tcPr>
            <w:tcW w:w="81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0.87</w:t>
            </w:r>
          </w:p>
        </w:tc>
        <w:tc>
          <w:tcPr>
            <w:tcW w:w="84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 xml:space="preserve">21.91 </w:t>
            </w:r>
          </w:p>
        </w:tc>
        <w:tc>
          <w:tcPr>
            <w:tcW w:w="65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 xml:space="preserve">19.75 </w:t>
            </w:r>
          </w:p>
        </w:tc>
        <w:tc>
          <w:tcPr>
            <w:tcW w:w="672"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 xml:space="preserve">24.44 </w:t>
            </w:r>
          </w:p>
        </w:tc>
        <w:tc>
          <w:tcPr>
            <w:tcW w:w="676"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 xml:space="preserve">33.02 </w:t>
            </w:r>
          </w:p>
        </w:tc>
      </w:tr>
      <w:tr>
        <w:tblPrEx>
          <w:tblCellMar>
            <w:top w:w="0" w:type="dxa"/>
            <w:left w:w="108" w:type="dxa"/>
            <w:bottom w:w="0" w:type="dxa"/>
            <w:right w:w="108" w:type="dxa"/>
          </w:tblCellMar>
        </w:tblPrEx>
        <w:trPr>
          <w:trHeight w:val="379" w:hRule="atLeast"/>
          <w:jc w:val="center"/>
        </w:trPr>
        <w:tc>
          <w:tcPr>
            <w:tcW w:w="90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743"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行政分区</w:t>
            </w:r>
          </w:p>
        </w:tc>
        <w:tc>
          <w:tcPr>
            <w:tcW w:w="14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淮南市市区</w:t>
            </w:r>
          </w:p>
        </w:tc>
        <w:tc>
          <w:tcPr>
            <w:tcW w:w="790"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1.34</w:t>
            </w:r>
          </w:p>
        </w:tc>
        <w:tc>
          <w:tcPr>
            <w:tcW w:w="742"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0.03</w:t>
            </w:r>
          </w:p>
        </w:tc>
        <w:tc>
          <w:tcPr>
            <w:tcW w:w="76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1.37</w:t>
            </w:r>
          </w:p>
        </w:tc>
        <w:tc>
          <w:tcPr>
            <w:tcW w:w="7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0.54</w:t>
            </w:r>
          </w:p>
        </w:tc>
        <w:tc>
          <w:tcPr>
            <w:tcW w:w="70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0.16</w:t>
            </w:r>
          </w:p>
        </w:tc>
        <w:tc>
          <w:tcPr>
            <w:tcW w:w="77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0.61</w:t>
            </w:r>
          </w:p>
        </w:tc>
        <w:tc>
          <w:tcPr>
            <w:tcW w:w="609"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1.31</w:t>
            </w:r>
          </w:p>
        </w:tc>
        <w:tc>
          <w:tcPr>
            <w:tcW w:w="83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1.75</w:t>
            </w:r>
          </w:p>
        </w:tc>
        <w:tc>
          <w:tcPr>
            <w:tcW w:w="62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1.46</w:t>
            </w:r>
          </w:p>
        </w:tc>
        <w:tc>
          <w:tcPr>
            <w:tcW w:w="70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2.09</w:t>
            </w:r>
          </w:p>
        </w:tc>
        <w:tc>
          <w:tcPr>
            <w:tcW w:w="78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3.24</w:t>
            </w:r>
          </w:p>
        </w:tc>
        <w:tc>
          <w:tcPr>
            <w:tcW w:w="74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0.39</w:t>
            </w:r>
          </w:p>
        </w:tc>
        <w:tc>
          <w:tcPr>
            <w:tcW w:w="81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0.51</w:t>
            </w:r>
          </w:p>
        </w:tc>
        <w:tc>
          <w:tcPr>
            <w:tcW w:w="84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 xml:space="preserve">5.33 </w:t>
            </w:r>
          </w:p>
        </w:tc>
        <w:tc>
          <w:tcPr>
            <w:tcW w:w="65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 xml:space="preserve">5.04 </w:t>
            </w:r>
          </w:p>
        </w:tc>
        <w:tc>
          <w:tcPr>
            <w:tcW w:w="672"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 xml:space="preserve">5.67 </w:t>
            </w:r>
          </w:p>
        </w:tc>
        <w:tc>
          <w:tcPr>
            <w:tcW w:w="676"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 xml:space="preserve">6.82 </w:t>
            </w:r>
          </w:p>
        </w:tc>
      </w:tr>
      <w:tr>
        <w:tblPrEx>
          <w:tblCellMar>
            <w:top w:w="0" w:type="dxa"/>
            <w:left w:w="108" w:type="dxa"/>
            <w:bottom w:w="0" w:type="dxa"/>
            <w:right w:w="108" w:type="dxa"/>
          </w:tblCellMar>
        </w:tblPrEx>
        <w:trPr>
          <w:trHeight w:val="379" w:hRule="atLeast"/>
          <w:jc w:val="center"/>
        </w:trPr>
        <w:tc>
          <w:tcPr>
            <w:tcW w:w="90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74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14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潘集区</w:t>
            </w:r>
          </w:p>
        </w:tc>
        <w:tc>
          <w:tcPr>
            <w:tcW w:w="790"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0.27</w:t>
            </w:r>
          </w:p>
        </w:tc>
        <w:tc>
          <w:tcPr>
            <w:tcW w:w="742"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0.05</w:t>
            </w:r>
          </w:p>
        </w:tc>
        <w:tc>
          <w:tcPr>
            <w:tcW w:w="76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0.32</w:t>
            </w:r>
          </w:p>
        </w:tc>
        <w:tc>
          <w:tcPr>
            <w:tcW w:w="7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1.09</w:t>
            </w:r>
          </w:p>
        </w:tc>
        <w:tc>
          <w:tcPr>
            <w:tcW w:w="70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0.11</w:t>
            </w:r>
          </w:p>
        </w:tc>
        <w:tc>
          <w:tcPr>
            <w:tcW w:w="77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0.33</w:t>
            </w:r>
          </w:p>
        </w:tc>
        <w:tc>
          <w:tcPr>
            <w:tcW w:w="609"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1.53</w:t>
            </w:r>
          </w:p>
        </w:tc>
        <w:tc>
          <w:tcPr>
            <w:tcW w:w="83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2.1</w:t>
            </w:r>
          </w:p>
        </w:tc>
        <w:tc>
          <w:tcPr>
            <w:tcW w:w="62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1.75</w:t>
            </w:r>
          </w:p>
        </w:tc>
        <w:tc>
          <w:tcPr>
            <w:tcW w:w="70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2.5</w:t>
            </w:r>
          </w:p>
        </w:tc>
        <w:tc>
          <w:tcPr>
            <w:tcW w:w="78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3.88</w:t>
            </w:r>
          </w:p>
        </w:tc>
        <w:tc>
          <w:tcPr>
            <w:tcW w:w="74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0.11</w:t>
            </w:r>
          </w:p>
        </w:tc>
        <w:tc>
          <w:tcPr>
            <w:tcW w:w="81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0.14</w:t>
            </w:r>
          </w:p>
        </w:tc>
        <w:tc>
          <w:tcPr>
            <w:tcW w:w="84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 xml:space="preserve">4.20 </w:t>
            </w:r>
          </w:p>
        </w:tc>
        <w:tc>
          <w:tcPr>
            <w:tcW w:w="65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 xml:space="preserve">3.85 </w:t>
            </w:r>
          </w:p>
        </w:tc>
        <w:tc>
          <w:tcPr>
            <w:tcW w:w="672"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 xml:space="preserve">4.60 </w:t>
            </w:r>
          </w:p>
        </w:tc>
        <w:tc>
          <w:tcPr>
            <w:tcW w:w="676"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 xml:space="preserve">5.98 </w:t>
            </w:r>
          </w:p>
        </w:tc>
      </w:tr>
      <w:tr>
        <w:tblPrEx>
          <w:tblCellMar>
            <w:top w:w="0" w:type="dxa"/>
            <w:left w:w="108" w:type="dxa"/>
            <w:bottom w:w="0" w:type="dxa"/>
            <w:right w:w="108" w:type="dxa"/>
          </w:tblCellMar>
        </w:tblPrEx>
        <w:trPr>
          <w:trHeight w:val="379" w:hRule="atLeast"/>
          <w:jc w:val="center"/>
        </w:trPr>
        <w:tc>
          <w:tcPr>
            <w:tcW w:w="90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74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14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凤台县、毛集区</w:t>
            </w:r>
          </w:p>
        </w:tc>
        <w:tc>
          <w:tcPr>
            <w:tcW w:w="790"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0.39</w:t>
            </w:r>
          </w:p>
        </w:tc>
        <w:tc>
          <w:tcPr>
            <w:tcW w:w="742"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0.12</w:t>
            </w:r>
          </w:p>
        </w:tc>
        <w:tc>
          <w:tcPr>
            <w:tcW w:w="76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0.51</w:t>
            </w:r>
          </w:p>
        </w:tc>
        <w:tc>
          <w:tcPr>
            <w:tcW w:w="7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0.85</w:t>
            </w:r>
          </w:p>
        </w:tc>
        <w:tc>
          <w:tcPr>
            <w:tcW w:w="70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0.19</w:t>
            </w:r>
          </w:p>
        </w:tc>
        <w:tc>
          <w:tcPr>
            <w:tcW w:w="77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0.43</w:t>
            </w:r>
          </w:p>
        </w:tc>
        <w:tc>
          <w:tcPr>
            <w:tcW w:w="609"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1.47</w:t>
            </w:r>
          </w:p>
        </w:tc>
        <w:tc>
          <w:tcPr>
            <w:tcW w:w="83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3.28</w:t>
            </w:r>
          </w:p>
        </w:tc>
        <w:tc>
          <w:tcPr>
            <w:tcW w:w="62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2.74</w:t>
            </w:r>
          </w:p>
        </w:tc>
        <w:tc>
          <w:tcPr>
            <w:tcW w:w="70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3.92</w:t>
            </w:r>
          </w:p>
        </w:tc>
        <w:tc>
          <w:tcPr>
            <w:tcW w:w="78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6.05</w:t>
            </w:r>
          </w:p>
        </w:tc>
        <w:tc>
          <w:tcPr>
            <w:tcW w:w="74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0.06</w:t>
            </w:r>
          </w:p>
        </w:tc>
        <w:tc>
          <w:tcPr>
            <w:tcW w:w="81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0.11</w:t>
            </w:r>
          </w:p>
        </w:tc>
        <w:tc>
          <w:tcPr>
            <w:tcW w:w="84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 xml:space="preserve">5.43 </w:t>
            </w:r>
          </w:p>
        </w:tc>
        <w:tc>
          <w:tcPr>
            <w:tcW w:w="65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 xml:space="preserve">4.89 </w:t>
            </w:r>
          </w:p>
        </w:tc>
        <w:tc>
          <w:tcPr>
            <w:tcW w:w="672"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 xml:space="preserve">6.07 </w:t>
            </w:r>
          </w:p>
        </w:tc>
        <w:tc>
          <w:tcPr>
            <w:tcW w:w="676"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 xml:space="preserve">8.20 </w:t>
            </w:r>
          </w:p>
        </w:tc>
      </w:tr>
      <w:tr>
        <w:tblPrEx>
          <w:tblCellMar>
            <w:top w:w="0" w:type="dxa"/>
            <w:left w:w="108" w:type="dxa"/>
            <w:bottom w:w="0" w:type="dxa"/>
            <w:right w:w="108" w:type="dxa"/>
          </w:tblCellMar>
        </w:tblPrEx>
        <w:trPr>
          <w:trHeight w:val="379" w:hRule="atLeast"/>
          <w:jc w:val="center"/>
        </w:trPr>
        <w:tc>
          <w:tcPr>
            <w:tcW w:w="90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74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14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寿县</w:t>
            </w:r>
          </w:p>
        </w:tc>
        <w:tc>
          <w:tcPr>
            <w:tcW w:w="790"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0.54</w:t>
            </w:r>
          </w:p>
        </w:tc>
        <w:tc>
          <w:tcPr>
            <w:tcW w:w="742"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0.16</w:t>
            </w:r>
          </w:p>
        </w:tc>
        <w:tc>
          <w:tcPr>
            <w:tcW w:w="76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0.7</w:t>
            </w:r>
          </w:p>
        </w:tc>
        <w:tc>
          <w:tcPr>
            <w:tcW w:w="7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0.01</w:t>
            </w:r>
          </w:p>
        </w:tc>
        <w:tc>
          <w:tcPr>
            <w:tcW w:w="70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w:t>
            </w:r>
          </w:p>
        </w:tc>
        <w:tc>
          <w:tcPr>
            <w:tcW w:w="77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0.21</w:t>
            </w:r>
          </w:p>
        </w:tc>
        <w:tc>
          <w:tcPr>
            <w:tcW w:w="609"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0.22</w:t>
            </w:r>
          </w:p>
        </w:tc>
        <w:tc>
          <w:tcPr>
            <w:tcW w:w="83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5.91</w:t>
            </w:r>
          </w:p>
        </w:tc>
        <w:tc>
          <w:tcPr>
            <w:tcW w:w="62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4.94</w:t>
            </w:r>
          </w:p>
        </w:tc>
        <w:tc>
          <w:tcPr>
            <w:tcW w:w="70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7.06</w:t>
            </w:r>
          </w:p>
        </w:tc>
        <w:tc>
          <w:tcPr>
            <w:tcW w:w="78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10.97</w:t>
            </w:r>
          </w:p>
        </w:tc>
        <w:tc>
          <w:tcPr>
            <w:tcW w:w="74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0.12</w:t>
            </w:r>
          </w:p>
        </w:tc>
        <w:tc>
          <w:tcPr>
            <w:tcW w:w="81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0.10</w:t>
            </w:r>
          </w:p>
        </w:tc>
        <w:tc>
          <w:tcPr>
            <w:tcW w:w="84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 xml:space="preserve">7.05 </w:t>
            </w:r>
          </w:p>
        </w:tc>
        <w:tc>
          <w:tcPr>
            <w:tcW w:w="65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 xml:space="preserve">6.08 </w:t>
            </w:r>
          </w:p>
        </w:tc>
        <w:tc>
          <w:tcPr>
            <w:tcW w:w="672"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 xml:space="preserve">8.20 </w:t>
            </w:r>
          </w:p>
        </w:tc>
        <w:tc>
          <w:tcPr>
            <w:tcW w:w="676"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 xml:space="preserve">12.11 </w:t>
            </w:r>
          </w:p>
        </w:tc>
      </w:tr>
      <w:tr>
        <w:tblPrEx>
          <w:tblCellMar>
            <w:top w:w="0" w:type="dxa"/>
            <w:left w:w="108" w:type="dxa"/>
            <w:bottom w:w="0" w:type="dxa"/>
            <w:right w:w="108" w:type="dxa"/>
          </w:tblCellMar>
        </w:tblPrEx>
        <w:trPr>
          <w:trHeight w:val="420" w:hRule="atLeast"/>
          <w:jc w:val="center"/>
        </w:trPr>
        <w:tc>
          <w:tcPr>
            <w:tcW w:w="90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74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 w:val="18"/>
                <w:szCs w:val="18"/>
              </w:rPr>
            </w:pPr>
          </w:p>
        </w:tc>
        <w:tc>
          <w:tcPr>
            <w:tcW w:w="14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 w:val="18"/>
                <w:szCs w:val="18"/>
              </w:rPr>
            </w:pPr>
            <w:r>
              <w:rPr>
                <w:rFonts w:hint="default" w:ascii="Times New Roman" w:hAnsi="Times New Roman" w:eastAsia="方正仿宋_GBK" w:cs="Times New Roman"/>
                <w:b/>
                <w:bCs/>
                <w:kern w:val="0"/>
                <w:sz w:val="18"/>
                <w:szCs w:val="18"/>
              </w:rPr>
              <w:t>合  计</w:t>
            </w:r>
          </w:p>
        </w:tc>
        <w:tc>
          <w:tcPr>
            <w:tcW w:w="790"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2.54</w:t>
            </w:r>
          </w:p>
        </w:tc>
        <w:tc>
          <w:tcPr>
            <w:tcW w:w="742" w:type="dxa"/>
            <w:tcBorders>
              <w:top w:val="nil"/>
              <w:left w:val="nil"/>
              <w:bottom w:val="single" w:color="auto" w:sz="4" w:space="0"/>
              <w:right w:val="single" w:color="auto" w:sz="4" w:space="0"/>
            </w:tcBorders>
            <w:noWrap w:val="0"/>
            <w:vAlign w:val="center"/>
          </w:tcPr>
          <w:p>
            <w:pPr>
              <w:widowControl/>
              <w:jc w:val="center"/>
              <w:textAlignment w:val="bottom"/>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0.37</w:t>
            </w:r>
          </w:p>
        </w:tc>
        <w:tc>
          <w:tcPr>
            <w:tcW w:w="76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2.91</w:t>
            </w:r>
          </w:p>
        </w:tc>
        <w:tc>
          <w:tcPr>
            <w:tcW w:w="74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2.49</w:t>
            </w:r>
          </w:p>
        </w:tc>
        <w:tc>
          <w:tcPr>
            <w:tcW w:w="70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0.46</w:t>
            </w:r>
          </w:p>
        </w:tc>
        <w:tc>
          <w:tcPr>
            <w:tcW w:w="77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1.58</w:t>
            </w:r>
          </w:p>
        </w:tc>
        <w:tc>
          <w:tcPr>
            <w:tcW w:w="609"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4.53</w:t>
            </w:r>
          </w:p>
        </w:tc>
        <w:tc>
          <w:tcPr>
            <w:tcW w:w="83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13.04</w:t>
            </w:r>
          </w:p>
        </w:tc>
        <w:tc>
          <w:tcPr>
            <w:tcW w:w="62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10.88</w:t>
            </w:r>
          </w:p>
        </w:tc>
        <w:tc>
          <w:tcPr>
            <w:tcW w:w="70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15.57</w:t>
            </w:r>
          </w:p>
        </w:tc>
        <w:tc>
          <w:tcPr>
            <w:tcW w:w="78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24.14</w:t>
            </w:r>
          </w:p>
        </w:tc>
        <w:tc>
          <w:tcPr>
            <w:tcW w:w="745"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0.57</w:t>
            </w:r>
          </w:p>
        </w:tc>
        <w:tc>
          <w:tcPr>
            <w:tcW w:w="81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0.87</w:t>
            </w:r>
          </w:p>
        </w:tc>
        <w:tc>
          <w:tcPr>
            <w:tcW w:w="841"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 xml:space="preserve">21.91 </w:t>
            </w:r>
          </w:p>
        </w:tc>
        <w:tc>
          <w:tcPr>
            <w:tcW w:w="657"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 xml:space="preserve">19.75 </w:t>
            </w:r>
          </w:p>
        </w:tc>
        <w:tc>
          <w:tcPr>
            <w:tcW w:w="672"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 xml:space="preserve">24.44 </w:t>
            </w:r>
          </w:p>
        </w:tc>
        <w:tc>
          <w:tcPr>
            <w:tcW w:w="676"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b/>
                <w:bCs/>
                <w:color w:val="000000"/>
                <w:sz w:val="18"/>
                <w:szCs w:val="18"/>
              </w:rPr>
            </w:pPr>
            <w:r>
              <w:rPr>
                <w:rFonts w:hint="default" w:ascii="Times New Roman" w:hAnsi="Times New Roman" w:eastAsia="方正仿宋_GBK" w:cs="Times New Roman"/>
                <w:b/>
                <w:color w:val="000000"/>
                <w:kern w:val="0"/>
                <w:sz w:val="18"/>
                <w:szCs w:val="18"/>
                <w:lang w:bidi="ar"/>
              </w:rPr>
              <w:t xml:space="preserve">33.02 </w:t>
            </w:r>
          </w:p>
        </w:tc>
      </w:tr>
    </w:tbl>
    <w:p>
      <w:pPr>
        <w:pStyle w:val="2"/>
        <w:jc w:val="left"/>
        <w:rPr>
          <w:rFonts w:hint="default" w:ascii="Times New Roman" w:hAnsi="Times New Roman" w:eastAsia="方正仿宋_GBK" w:cs="Times New Roman"/>
          <w:sz w:val="32"/>
          <w:szCs w:val="32"/>
          <w:lang w:val="en-US" w:eastAsia="zh-CN"/>
        </w:rPr>
        <w:sectPr>
          <w:headerReference r:id="rId20" w:type="default"/>
          <w:footerReference r:id="rId21" w:type="default"/>
          <w:pgSz w:w="16838" w:h="11906" w:orient="landscape"/>
          <w:pgMar w:top="1587" w:right="1962" w:bottom="1474" w:left="1848" w:header="851" w:footer="992" w:gutter="0"/>
          <w:pgNumType w:fmt="numberInDash"/>
          <w:cols w:space="0" w:num="1"/>
          <w:rtlGutter w:val="0"/>
          <w:docGrid w:type="lines" w:linePitch="312" w:charSpace="0"/>
        </w:sectPr>
      </w:pPr>
    </w:p>
    <w:p>
      <w:pPr>
        <w:pStyle w:val="3"/>
        <w:pageBreakBefore w:val="0"/>
        <w:widowControl w:val="0"/>
        <w:kinsoku/>
        <w:wordWrap/>
        <w:overflowPunct/>
        <w:autoSpaceDE/>
        <w:autoSpaceDN/>
        <w:bidi w:val="0"/>
        <w:spacing w:before="0" w:beforeAutospacing="0" w:after="0" w:afterAutospacing="0" w:line="590" w:lineRule="exact"/>
        <w:jc w:val="center"/>
        <w:rPr>
          <w:rStyle w:val="16"/>
          <w:rFonts w:hint="default" w:ascii="Times New Roman" w:hAnsi="Times New Roman" w:eastAsia="方正小标宋_GBK" w:cs="Times New Roman"/>
          <w:b w:val="0"/>
          <w:bCs w:val="0"/>
          <w:sz w:val="44"/>
          <w:szCs w:val="44"/>
        </w:rPr>
      </w:pPr>
      <w:bookmarkStart w:id="169" w:name="_Toc19350"/>
      <w:r>
        <w:rPr>
          <w:rStyle w:val="16"/>
          <w:rFonts w:hint="default" w:ascii="Times New Roman" w:hAnsi="Times New Roman" w:eastAsia="方正小标宋_GBK" w:cs="Times New Roman"/>
          <w:b w:val="0"/>
          <w:bCs w:val="0"/>
          <w:sz w:val="44"/>
          <w:szCs w:val="44"/>
        </w:rPr>
        <w:t>第五章  节约用水规划</w:t>
      </w:r>
      <w:bookmarkEnd w:id="169"/>
    </w:p>
    <w:p>
      <w:pPr>
        <w:pStyle w:val="4"/>
        <w:pageBreakBefore w:val="0"/>
        <w:widowControl w:val="0"/>
        <w:kinsoku/>
        <w:wordWrap/>
        <w:overflowPunct/>
        <w:autoSpaceDE/>
        <w:autoSpaceDN/>
        <w:bidi w:val="0"/>
        <w:spacing w:beforeAutospacing="0" w:afterAutospacing="0" w:line="590" w:lineRule="exact"/>
        <w:rPr>
          <w:rFonts w:hint="default" w:ascii="Times New Roman" w:hAnsi="Times New Roman" w:eastAsia="方正黑体_GBK" w:cs="Times New Roman"/>
          <w:b w:val="0"/>
          <w:bCs w:val="0"/>
          <w:sz w:val="32"/>
          <w:szCs w:val="32"/>
        </w:rPr>
      </w:pPr>
      <w:bookmarkStart w:id="170" w:name="_Toc16420"/>
      <w:bookmarkStart w:id="171" w:name="_Toc312309886"/>
      <w:r>
        <w:rPr>
          <w:rFonts w:hint="default" w:ascii="Times New Roman" w:hAnsi="Times New Roman" w:eastAsia="方正黑体_GBK" w:cs="Times New Roman"/>
          <w:b w:val="0"/>
          <w:bCs w:val="0"/>
          <w:sz w:val="32"/>
          <w:szCs w:val="36"/>
        </w:rPr>
        <w:t>第</w:t>
      </w:r>
      <w:r>
        <w:rPr>
          <w:rFonts w:hint="default" w:ascii="Times New Roman" w:hAnsi="Times New Roman" w:eastAsia="方正黑体_GBK" w:cs="Times New Roman"/>
          <w:b w:val="0"/>
          <w:bCs w:val="0"/>
          <w:sz w:val="32"/>
          <w:szCs w:val="36"/>
          <w:lang w:eastAsia="zh-CN"/>
        </w:rPr>
        <w:t>一</w:t>
      </w:r>
      <w:r>
        <w:rPr>
          <w:rFonts w:hint="default" w:ascii="Times New Roman" w:hAnsi="Times New Roman" w:eastAsia="方正黑体_GBK" w:cs="Times New Roman"/>
          <w:b w:val="0"/>
          <w:bCs w:val="0"/>
          <w:sz w:val="32"/>
          <w:szCs w:val="36"/>
        </w:rPr>
        <w:t>节  节水潜力分析</w:t>
      </w:r>
      <w:bookmarkEnd w:id="170"/>
      <w:bookmarkEnd w:id="171"/>
    </w:p>
    <w:p>
      <w:pPr>
        <w:pStyle w:val="5"/>
        <w:pageBreakBefore w:val="0"/>
        <w:widowControl w:val="0"/>
        <w:kinsoku/>
        <w:wordWrap/>
        <w:overflowPunct/>
        <w:autoSpaceDE/>
        <w:autoSpaceDN/>
        <w:bidi w:val="0"/>
        <w:spacing w:beforeAutospacing="0" w:afterAutospacing="0" w:line="590" w:lineRule="exact"/>
        <w:ind w:firstLine="568"/>
        <w:rPr>
          <w:rFonts w:hint="eastAsia" w:ascii="方正楷体_GBK" w:hAnsi="方正楷体_GBK" w:eastAsia="方正楷体_GBK" w:cs="方正楷体_GBK"/>
          <w:b w:val="0"/>
          <w:bCs/>
          <w:sz w:val="32"/>
          <w:szCs w:val="32"/>
        </w:rPr>
      </w:pPr>
      <w:bookmarkStart w:id="172" w:name="_Toc27544"/>
      <w:bookmarkStart w:id="173" w:name="_Toc312309887"/>
      <w:r>
        <w:rPr>
          <w:rFonts w:hint="eastAsia" w:ascii="方正楷体_GBK" w:hAnsi="方正楷体_GBK" w:eastAsia="方正楷体_GBK" w:cs="方正楷体_GBK"/>
          <w:b w:val="0"/>
          <w:bCs/>
          <w:sz w:val="32"/>
          <w:szCs w:val="32"/>
        </w:rPr>
        <w:t>一、生活节水潜力</w:t>
      </w:r>
      <w:bookmarkEnd w:id="172"/>
      <w:bookmarkEnd w:id="173"/>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淮南市2015年常住人口及各水平年人均需水定额，计算现状年的节水潜力。城镇居民生活节水潜力主要包括供水管网节水、节水器具和家庭生活用水重复利用（洗菜、洗衣服、洗澡水用于冲洗卫生间及拖地）节水三个部分，通过计算，得到2020年和2030年生活节水潜力分别为916万</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/a和1350万</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/a。</w:t>
      </w:r>
    </w:p>
    <w:p>
      <w:pPr>
        <w:pStyle w:val="5"/>
        <w:pageBreakBefore w:val="0"/>
        <w:widowControl w:val="0"/>
        <w:kinsoku/>
        <w:wordWrap/>
        <w:overflowPunct/>
        <w:autoSpaceDE/>
        <w:autoSpaceDN/>
        <w:bidi w:val="0"/>
        <w:spacing w:beforeAutospacing="0" w:afterAutospacing="0" w:line="590" w:lineRule="exact"/>
        <w:ind w:firstLine="568"/>
        <w:rPr>
          <w:rFonts w:hint="default" w:ascii="方正楷体_GBK" w:hAnsi="方正楷体_GBK" w:eastAsia="方正楷体_GBK" w:cs="方正楷体_GBK"/>
          <w:b w:val="0"/>
          <w:bCs/>
          <w:sz w:val="32"/>
          <w:szCs w:val="32"/>
        </w:rPr>
      </w:pPr>
      <w:bookmarkStart w:id="174" w:name="_Toc8530"/>
      <w:bookmarkStart w:id="175" w:name="_Toc312309888"/>
      <w:r>
        <w:rPr>
          <w:rFonts w:hint="default" w:ascii="方正楷体_GBK" w:hAnsi="方正楷体_GBK" w:eastAsia="方正楷体_GBK" w:cs="方正楷体_GBK"/>
          <w:b w:val="0"/>
          <w:bCs/>
          <w:sz w:val="32"/>
          <w:szCs w:val="32"/>
        </w:rPr>
        <w:t>二、农业节水潜力</w:t>
      </w:r>
      <w:bookmarkEnd w:id="174"/>
      <w:bookmarkEnd w:id="175"/>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考虑随着节水灌溉技术的推广，井灌区、河灌区作物灌溉定额逐渐减少；同时加大对现有灌溉渠系的硬化与灌区配套建设，至2020年灌溉水利用系数由现状年的0.55提高到0.565，2030年提高至0.60。各类农田灌溉在采用现状灌溉技术，分析计算多年平均及2020年和2030年农业节水潜力分别为3079万</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/a和8901万</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/a。</w:t>
      </w:r>
    </w:p>
    <w:p>
      <w:pPr>
        <w:pStyle w:val="5"/>
        <w:pageBreakBefore w:val="0"/>
        <w:widowControl w:val="0"/>
        <w:kinsoku/>
        <w:wordWrap/>
        <w:overflowPunct/>
        <w:autoSpaceDE/>
        <w:autoSpaceDN/>
        <w:bidi w:val="0"/>
        <w:spacing w:beforeAutospacing="0" w:afterAutospacing="0" w:line="590" w:lineRule="exact"/>
        <w:ind w:firstLine="568"/>
        <w:rPr>
          <w:rFonts w:hint="default" w:ascii="方正楷体_GBK" w:hAnsi="方正楷体_GBK" w:eastAsia="方正楷体_GBK" w:cs="方正楷体_GBK"/>
          <w:b w:val="0"/>
          <w:bCs/>
          <w:sz w:val="32"/>
          <w:szCs w:val="32"/>
        </w:rPr>
      </w:pPr>
      <w:bookmarkStart w:id="176" w:name="_Toc312309889"/>
      <w:bookmarkStart w:id="177" w:name="_Toc7571"/>
      <w:r>
        <w:rPr>
          <w:rFonts w:hint="default" w:ascii="方正楷体_GBK" w:hAnsi="方正楷体_GBK" w:eastAsia="方正楷体_GBK" w:cs="方正楷体_GBK"/>
          <w:b w:val="0"/>
          <w:bCs/>
          <w:sz w:val="32"/>
          <w:szCs w:val="32"/>
        </w:rPr>
        <w:t>三、工业节水潜力</w:t>
      </w:r>
      <w:bookmarkEnd w:id="176"/>
      <w:bookmarkEnd w:id="177"/>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现状年淮南市工业用水重复利用率为90％，2020年达到92%，2030年达到95%。按2015年工业经济指标计算，至2020年和2020年淮南市工业节水潜力分别为7023万m³/a和10473万m³/a。</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综合各项，一般来水条件下，在不考虑非常规水源利用的情况下，淮南市至2020年和2030年多年平均情况下节水潜力分别为11018万</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/a和20724万</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/a。其中，工业和农业节水潜力较大，城镇生活节水潜力较小。不同行业节水潜力见表5.1-1 。</w:t>
      </w:r>
    </w:p>
    <w:p>
      <w:pPr>
        <w:adjustRightInd w:val="0"/>
        <w:snapToGrid w:val="0"/>
        <w:jc w:val="center"/>
        <w:rPr>
          <w:rFonts w:hint="eastAsia" w:ascii="方正黑体_GBK" w:hAnsi="方正黑体_GBK" w:eastAsia="方正黑体_GBK" w:cs="方正黑体_GBK"/>
          <w:b/>
          <w:bCs/>
          <w:sz w:val="24"/>
          <w:lang w:eastAsia="zh-CN"/>
        </w:rPr>
      </w:pPr>
      <w:r>
        <w:rPr>
          <w:rFonts w:hint="eastAsia" w:ascii="方正黑体_GBK" w:hAnsi="方正黑体_GBK" w:eastAsia="方正黑体_GBK" w:cs="方正黑体_GBK"/>
          <w:b/>
          <w:bCs/>
          <w:sz w:val="24"/>
        </w:rPr>
        <w:t xml:space="preserve">表5.1-1 多年平均情况下不同行业节水潜力表   </w:t>
      </w:r>
      <w:r>
        <w:rPr>
          <w:rFonts w:hint="eastAsia" w:ascii="方正黑体_GBK" w:hAnsi="方正黑体_GBK" w:eastAsia="方正黑体_GBK" w:cs="方正黑体_GBK"/>
          <w:b/>
          <w:bCs/>
          <w:sz w:val="18"/>
          <w:szCs w:val="18"/>
        </w:rPr>
        <w:t>单位：万</w:t>
      </w:r>
      <w:r>
        <w:rPr>
          <w:rFonts w:hint="eastAsia" w:ascii="方正黑体_GBK" w:hAnsi="方正黑体_GBK" w:eastAsia="方正黑体_GBK" w:cs="方正黑体_GBK"/>
          <w:b/>
          <w:bCs/>
          <w:sz w:val="18"/>
          <w:szCs w:val="18"/>
          <w:lang w:eastAsia="zh-CN"/>
        </w:rPr>
        <w:t>m³</w:t>
      </w:r>
    </w:p>
    <w:tbl>
      <w:tblPr>
        <w:tblStyle w:val="12"/>
        <w:tblW w:w="0" w:type="auto"/>
        <w:jc w:val="center"/>
        <w:tblLayout w:type="fixed"/>
        <w:tblCellMar>
          <w:top w:w="0" w:type="dxa"/>
          <w:left w:w="108" w:type="dxa"/>
          <w:bottom w:w="0" w:type="dxa"/>
          <w:right w:w="108" w:type="dxa"/>
        </w:tblCellMar>
      </w:tblPr>
      <w:tblGrid>
        <w:gridCol w:w="1721"/>
        <w:gridCol w:w="1384"/>
        <w:gridCol w:w="1382"/>
        <w:gridCol w:w="1383"/>
        <w:gridCol w:w="1450"/>
      </w:tblGrid>
      <w:tr>
        <w:tblPrEx>
          <w:tblCellMar>
            <w:top w:w="0" w:type="dxa"/>
            <w:left w:w="108" w:type="dxa"/>
            <w:bottom w:w="0" w:type="dxa"/>
            <w:right w:w="108" w:type="dxa"/>
          </w:tblCellMar>
        </w:tblPrEx>
        <w:trPr>
          <w:trHeight w:val="317" w:hRule="atLeast"/>
          <w:jc w:val="center"/>
        </w:trPr>
        <w:tc>
          <w:tcPr>
            <w:tcW w:w="172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水平年</w:t>
            </w:r>
          </w:p>
        </w:tc>
        <w:tc>
          <w:tcPr>
            <w:tcW w:w="1384"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生活</w:t>
            </w:r>
          </w:p>
        </w:tc>
        <w:tc>
          <w:tcPr>
            <w:tcW w:w="1382"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农业</w:t>
            </w:r>
          </w:p>
        </w:tc>
        <w:tc>
          <w:tcPr>
            <w:tcW w:w="1383"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工业</w:t>
            </w:r>
          </w:p>
        </w:tc>
        <w:tc>
          <w:tcPr>
            <w:tcW w:w="1450"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合计</w:t>
            </w:r>
          </w:p>
        </w:tc>
      </w:tr>
      <w:tr>
        <w:tblPrEx>
          <w:tblCellMar>
            <w:top w:w="0" w:type="dxa"/>
            <w:left w:w="108" w:type="dxa"/>
            <w:bottom w:w="0" w:type="dxa"/>
            <w:right w:w="108" w:type="dxa"/>
          </w:tblCellMar>
        </w:tblPrEx>
        <w:trPr>
          <w:trHeight w:val="370" w:hRule="atLeast"/>
          <w:jc w:val="center"/>
        </w:trPr>
        <w:tc>
          <w:tcPr>
            <w:tcW w:w="1721" w:type="dxa"/>
            <w:tcBorders>
              <w:top w:val="nil"/>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2020年</w:t>
            </w:r>
          </w:p>
        </w:tc>
        <w:tc>
          <w:tcPr>
            <w:tcW w:w="138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916</w:t>
            </w:r>
          </w:p>
        </w:tc>
        <w:tc>
          <w:tcPr>
            <w:tcW w:w="1382"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3079 </w:t>
            </w:r>
          </w:p>
        </w:tc>
        <w:tc>
          <w:tcPr>
            <w:tcW w:w="138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7023 </w:t>
            </w:r>
          </w:p>
        </w:tc>
        <w:tc>
          <w:tcPr>
            <w:tcW w:w="1450"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11018</w:t>
            </w:r>
          </w:p>
        </w:tc>
      </w:tr>
      <w:tr>
        <w:tblPrEx>
          <w:tblCellMar>
            <w:top w:w="0" w:type="dxa"/>
            <w:left w:w="108" w:type="dxa"/>
            <w:bottom w:w="0" w:type="dxa"/>
            <w:right w:w="108" w:type="dxa"/>
          </w:tblCellMar>
        </w:tblPrEx>
        <w:trPr>
          <w:trHeight w:val="381" w:hRule="atLeast"/>
          <w:jc w:val="center"/>
        </w:trPr>
        <w:tc>
          <w:tcPr>
            <w:tcW w:w="1721" w:type="dxa"/>
            <w:tcBorders>
              <w:top w:val="nil"/>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2030年</w:t>
            </w:r>
          </w:p>
        </w:tc>
        <w:tc>
          <w:tcPr>
            <w:tcW w:w="1384"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1350</w:t>
            </w:r>
          </w:p>
        </w:tc>
        <w:tc>
          <w:tcPr>
            <w:tcW w:w="1382"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8901 </w:t>
            </w:r>
          </w:p>
        </w:tc>
        <w:tc>
          <w:tcPr>
            <w:tcW w:w="1383"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 xml:space="preserve">10473 </w:t>
            </w:r>
          </w:p>
        </w:tc>
        <w:tc>
          <w:tcPr>
            <w:tcW w:w="1450"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20724</w:t>
            </w:r>
          </w:p>
        </w:tc>
      </w:tr>
    </w:tbl>
    <w:p>
      <w:pPr>
        <w:pStyle w:val="4"/>
        <w:pageBreakBefore w:val="0"/>
        <w:widowControl w:val="0"/>
        <w:kinsoku/>
        <w:wordWrap/>
        <w:overflowPunct/>
        <w:autoSpaceDE/>
        <w:autoSpaceDN/>
        <w:bidi w:val="0"/>
        <w:spacing w:line="590" w:lineRule="exact"/>
        <w:rPr>
          <w:rFonts w:hint="eastAsia" w:ascii="方正黑体_GBK" w:hAnsi="方正黑体_GBK" w:eastAsia="方正黑体_GBK" w:cs="方正黑体_GBK"/>
          <w:b w:val="0"/>
          <w:bCs w:val="0"/>
        </w:rPr>
      </w:pPr>
      <w:bookmarkStart w:id="178" w:name="_Toc312309891"/>
      <w:bookmarkStart w:id="179" w:name="_Toc16245"/>
      <w:r>
        <w:rPr>
          <w:rFonts w:hint="eastAsia" w:ascii="方正黑体_GBK" w:hAnsi="方正黑体_GBK" w:eastAsia="方正黑体_GBK" w:cs="方正黑体_GBK"/>
          <w:b w:val="0"/>
          <w:bCs w:val="0"/>
        </w:rPr>
        <w:t>第</w:t>
      </w:r>
      <w:r>
        <w:rPr>
          <w:rFonts w:hint="eastAsia" w:ascii="方正黑体_GBK" w:hAnsi="方正黑体_GBK" w:eastAsia="方正黑体_GBK" w:cs="方正黑体_GBK"/>
          <w:b w:val="0"/>
          <w:bCs w:val="0"/>
          <w:lang w:eastAsia="zh-CN"/>
        </w:rPr>
        <w:t>二</w:t>
      </w:r>
      <w:r>
        <w:rPr>
          <w:rFonts w:hint="eastAsia" w:ascii="方正黑体_GBK" w:hAnsi="方正黑体_GBK" w:eastAsia="方正黑体_GBK" w:cs="方正黑体_GBK"/>
          <w:b w:val="0"/>
          <w:bCs w:val="0"/>
        </w:rPr>
        <w:t>节  节水</w:t>
      </w:r>
      <w:bookmarkEnd w:id="178"/>
      <w:r>
        <w:rPr>
          <w:rFonts w:hint="eastAsia" w:ascii="方正黑体_GBK" w:hAnsi="方正黑体_GBK" w:eastAsia="方正黑体_GBK" w:cs="方正黑体_GBK"/>
          <w:b w:val="0"/>
          <w:bCs w:val="0"/>
        </w:rPr>
        <w:t>目标</w:t>
      </w:r>
      <w:bookmarkEnd w:id="179"/>
    </w:p>
    <w:p>
      <w:pPr>
        <w:pStyle w:val="5"/>
        <w:pageBreakBefore w:val="0"/>
        <w:widowControl w:val="0"/>
        <w:kinsoku/>
        <w:wordWrap/>
        <w:overflowPunct/>
        <w:autoSpaceDE/>
        <w:autoSpaceDN/>
        <w:bidi w:val="0"/>
        <w:spacing w:line="590" w:lineRule="exact"/>
        <w:ind w:firstLine="568"/>
        <w:rPr>
          <w:rFonts w:hint="eastAsia" w:ascii="方正楷体_GBK" w:hAnsi="方正楷体_GBK" w:eastAsia="方正楷体_GBK" w:cs="方正楷体_GBK"/>
          <w:b w:val="0"/>
          <w:bCs/>
          <w:sz w:val="32"/>
          <w:szCs w:val="32"/>
        </w:rPr>
      </w:pPr>
      <w:bookmarkStart w:id="180" w:name="_Toc312309892"/>
      <w:bookmarkStart w:id="181" w:name="_Toc2325"/>
      <w:r>
        <w:rPr>
          <w:rFonts w:hint="eastAsia" w:ascii="方正楷体_GBK" w:hAnsi="方正楷体_GBK" w:eastAsia="方正楷体_GBK" w:cs="方正楷体_GBK"/>
          <w:b w:val="0"/>
          <w:bCs/>
          <w:sz w:val="32"/>
          <w:szCs w:val="32"/>
        </w:rPr>
        <w:t>一、总体目标</w:t>
      </w:r>
      <w:bookmarkEnd w:id="180"/>
      <w:bookmarkEnd w:id="181"/>
    </w:p>
    <w:p>
      <w:pPr>
        <w:pageBreakBefore w:val="0"/>
        <w:widowControl w:val="0"/>
        <w:kinsoku/>
        <w:wordWrap/>
        <w:overflowPunct/>
        <w:autoSpaceDE/>
        <w:autoSpaceDN/>
        <w:bidi w:val="0"/>
        <w:adjustRightInd w:val="0"/>
        <w:snapToGrid w:val="0"/>
        <w:spacing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到2020年，淮南市节水型社会建设取得初步成效，水资源利用效率和效益明显提高。用水结构进一步优化，用水方式得到切实转变，最严格的水资源管理制度体系以及水资源合理配置、高效利用与有效保护体系初步建立。市用水总量控制在20.58亿m³以内，万元GDP用水量降低到140m³以下，较现状下降约35%。主要河湖水功能区水质明显改善，河湖功能区水质总体达标率提高到95%以上，城镇供水水源地水质全面达标。</w:t>
      </w:r>
    </w:p>
    <w:p>
      <w:pPr>
        <w:pageBreakBefore w:val="0"/>
        <w:widowControl w:val="0"/>
        <w:kinsoku/>
        <w:wordWrap/>
        <w:overflowPunct/>
        <w:autoSpaceDE/>
        <w:autoSpaceDN/>
        <w:bidi w:val="0"/>
        <w:adjustRightInd w:val="0"/>
        <w:snapToGrid w:val="0"/>
        <w:spacing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到2030年，淮南市水资源利用效率和效益显著提高，主要节水控制指标与发达地区指标差距进一步缩小。基本建成体系完整、制度完善、设施完备、用水高效、节水自律的节水型社会。全市用水总量控制在21.67亿m³以内，万元GDP用水量降低到88m³以下。水环境质量明显提升，主要污染物入河控制量在水功能区纳污能力范围之内，水功能区水质全部达标。</w:t>
      </w:r>
    </w:p>
    <w:p>
      <w:pPr>
        <w:tabs>
          <w:tab w:val="left" w:pos="525"/>
        </w:tabs>
        <w:adjustRightInd w:val="0"/>
        <w:snapToGrid w:val="0"/>
        <w:spacing w:line="360" w:lineRule="auto"/>
        <w:ind w:firstLine="480"/>
        <w:jc w:val="center"/>
        <w:rPr>
          <w:rFonts w:hint="eastAsia" w:ascii="方正黑体_GBK" w:hAnsi="方正黑体_GBK" w:eastAsia="方正黑体_GBK" w:cs="方正黑体_GBK"/>
          <w:b/>
          <w:bCs/>
          <w:color w:val="000000"/>
          <w:sz w:val="24"/>
        </w:rPr>
      </w:pPr>
      <w:r>
        <w:rPr>
          <w:rFonts w:hint="eastAsia" w:ascii="方正黑体_GBK" w:hAnsi="方正黑体_GBK" w:eastAsia="方正黑体_GBK" w:cs="方正黑体_GBK"/>
          <w:b/>
          <w:bCs/>
          <w:color w:val="000000"/>
          <w:kern w:val="0"/>
          <w:sz w:val="24"/>
        </w:rPr>
        <w:t>表5.3-1   淮南市节水型社会建设规划指标体系</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03"/>
        <w:gridCol w:w="3762"/>
        <w:gridCol w:w="1118"/>
        <w:gridCol w:w="1195"/>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6" w:hRule="atLeast"/>
          <w:jc w:val="center"/>
        </w:trPr>
        <w:tc>
          <w:tcPr>
            <w:tcW w:w="4765" w:type="dxa"/>
            <w:gridSpan w:val="2"/>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指 标</w:t>
            </w:r>
          </w:p>
        </w:tc>
        <w:tc>
          <w:tcPr>
            <w:tcW w:w="1118"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2015年</w:t>
            </w:r>
          </w:p>
        </w:tc>
        <w:tc>
          <w:tcPr>
            <w:tcW w:w="1195"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2020年</w:t>
            </w:r>
          </w:p>
        </w:tc>
        <w:tc>
          <w:tcPr>
            <w:tcW w:w="130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2030年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6" w:hRule="atLeast"/>
          <w:jc w:val="center"/>
        </w:trPr>
        <w:tc>
          <w:tcPr>
            <w:tcW w:w="1003" w:type="dxa"/>
            <w:vMerge w:val="restart"/>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总体目标</w:t>
            </w:r>
          </w:p>
        </w:tc>
        <w:tc>
          <w:tcPr>
            <w:tcW w:w="376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用水总量（亿m³）</w:t>
            </w:r>
          </w:p>
        </w:tc>
        <w:tc>
          <w:tcPr>
            <w:tcW w:w="1118"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w:t>
            </w:r>
          </w:p>
        </w:tc>
        <w:tc>
          <w:tcPr>
            <w:tcW w:w="1195"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20.58</w:t>
            </w:r>
          </w:p>
        </w:tc>
        <w:tc>
          <w:tcPr>
            <w:tcW w:w="130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6" w:hRule="atLeast"/>
          <w:jc w:val="center"/>
        </w:trPr>
        <w:tc>
          <w:tcPr>
            <w:tcW w:w="1003" w:type="dxa"/>
            <w:vMerge w:val="continue"/>
            <w:noWrap w:val="0"/>
            <w:vAlign w:val="center"/>
          </w:tcPr>
          <w:p>
            <w:pPr>
              <w:widowControl/>
              <w:adjustRightInd w:val="0"/>
              <w:snapToGrid w:val="0"/>
              <w:jc w:val="left"/>
              <w:rPr>
                <w:rFonts w:hint="default" w:ascii="Times New Roman" w:hAnsi="Times New Roman" w:eastAsia="方正仿宋_GBK" w:cs="Times New Roman"/>
                <w:color w:val="000000"/>
                <w:kern w:val="0"/>
                <w:szCs w:val="21"/>
              </w:rPr>
            </w:pPr>
          </w:p>
        </w:tc>
        <w:tc>
          <w:tcPr>
            <w:tcW w:w="376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万元GDP用水量（m³/万元）</w:t>
            </w:r>
          </w:p>
        </w:tc>
        <w:tc>
          <w:tcPr>
            <w:tcW w:w="1118"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215</w:t>
            </w:r>
          </w:p>
        </w:tc>
        <w:tc>
          <w:tcPr>
            <w:tcW w:w="1195"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140</w:t>
            </w:r>
          </w:p>
        </w:tc>
        <w:tc>
          <w:tcPr>
            <w:tcW w:w="130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6" w:hRule="atLeast"/>
          <w:jc w:val="center"/>
        </w:trPr>
        <w:tc>
          <w:tcPr>
            <w:tcW w:w="1003" w:type="dxa"/>
            <w:vMerge w:val="continue"/>
            <w:noWrap w:val="0"/>
            <w:vAlign w:val="center"/>
          </w:tcPr>
          <w:p>
            <w:pPr>
              <w:widowControl/>
              <w:adjustRightInd w:val="0"/>
              <w:snapToGrid w:val="0"/>
              <w:jc w:val="left"/>
              <w:rPr>
                <w:rFonts w:hint="default" w:ascii="Times New Roman" w:hAnsi="Times New Roman" w:eastAsia="方正仿宋_GBK" w:cs="Times New Roman"/>
                <w:color w:val="000000"/>
                <w:kern w:val="0"/>
                <w:szCs w:val="21"/>
              </w:rPr>
            </w:pPr>
          </w:p>
        </w:tc>
        <w:tc>
          <w:tcPr>
            <w:tcW w:w="376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江河湖泊水功能区水质达标率（%）</w:t>
            </w:r>
          </w:p>
        </w:tc>
        <w:tc>
          <w:tcPr>
            <w:tcW w:w="1118"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85</w:t>
            </w:r>
          </w:p>
        </w:tc>
        <w:tc>
          <w:tcPr>
            <w:tcW w:w="1195"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bCs/>
                <w:color w:val="000000"/>
                <w:szCs w:val="21"/>
              </w:rPr>
              <w:t>≧95</w:t>
            </w:r>
          </w:p>
        </w:tc>
        <w:tc>
          <w:tcPr>
            <w:tcW w:w="130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003"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农业</w:t>
            </w:r>
          </w:p>
        </w:tc>
        <w:tc>
          <w:tcPr>
            <w:tcW w:w="376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农田灌溉水有效利用系数</w:t>
            </w:r>
          </w:p>
        </w:tc>
        <w:tc>
          <w:tcPr>
            <w:tcW w:w="111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0.55</w:t>
            </w:r>
          </w:p>
        </w:tc>
        <w:tc>
          <w:tcPr>
            <w:tcW w:w="1195"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0.565</w:t>
            </w:r>
          </w:p>
        </w:tc>
        <w:tc>
          <w:tcPr>
            <w:tcW w:w="1302"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6" w:hRule="atLeast"/>
          <w:jc w:val="center"/>
        </w:trPr>
        <w:tc>
          <w:tcPr>
            <w:tcW w:w="1003" w:type="dxa"/>
            <w:vMerge w:val="restart"/>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工业</w:t>
            </w:r>
          </w:p>
        </w:tc>
        <w:tc>
          <w:tcPr>
            <w:tcW w:w="376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万元工业增加值用水量（m³/万元）</w:t>
            </w:r>
          </w:p>
        </w:tc>
        <w:tc>
          <w:tcPr>
            <w:tcW w:w="1118"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77</w:t>
            </w:r>
          </w:p>
        </w:tc>
        <w:tc>
          <w:tcPr>
            <w:tcW w:w="1195"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57</w:t>
            </w:r>
          </w:p>
        </w:tc>
        <w:tc>
          <w:tcPr>
            <w:tcW w:w="130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1003" w:type="dxa"/>
            <w:vMerge w:val="continue"/>
            <w:noWrap w:val="0"/>
            <w:vAlign w:val="center"/>
          </w:tcPr>
          <w:p>
            <w:pPr>
              <w:widowControl/>
              <w:adjustRightInd w:val="0"/>
              <w:snapToGrid w:val="0"/>
              <w:jc w:val="left"/>
              <w:rPr>
                <w:rFonts w:hint="default" w:ascii="Times New Roman" w:hAnsi="Times New Roman" w:eastAsia="方正仿宋_GBK" w:cs="Times New Roman"/>
                <w:color w:val="000000"/>
                <w:kern w:val="0"/>
                <w:szCs w:val="21"/>
              </w:rPr>
            </w:pPr>
          </w:p>
        </w:tc>
        <w:tc>
          <w:tcPr>
            <w:tcW w:w="376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工业用水重复利用率（%）</w:t>
            </w:r>
          </w:p>
        </w:tc>
        <w:tc>
          <w:tcPr>
            <w:tcW w:w="111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90</w:t>
            </w:r>
          </w:p>
        </w:tc>
        <w:tc>
          <w:tcPr>
            <w:tcW w:w="1195"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92</w:t>
            </w:r>
          </w:p>
        </w:tc>
        <w:tc>
          <w:tcPr>
            <w:tcW w:w="1302"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6" w:hRule="atLeast"/>
          <w:jc w:val="center"/>
        </w:trPr>
        <w:tc>
          <w:tcPr>
            <w:tcW w:w="1003" w:type="dxa"/>
            <w:vMerge w:val="restart"/>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城镇生活</w:t>
            </w:r>
          </w:p>
        </w:tc>
        <w:tc>
          <w:tcPr>
            <w:tcW w:w="376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城镇公共供水管网漏损率（%）</w:t>
            </w:r>
          </w:p>
        </w:tc>
        <w:tc>
          <w:tcPr>
            <w:tcW w:w="1118" w:type="dxa"/>
            <w:noWrap w:val="0"/>
            <w:vAlign w:val="center"/>
          </w:tcPr>
          <w:p>
            <w:pPr>
              <w:snapToGrid w:val="0"/>
              <w:jc w:val="center"/>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18</w:t>
            </w:r>
          </w:p>
        </w:tc>
        <w:tc>
          <w:tcPr>
            <w:tcW w:w="1195" w:type="dxa"/>
            <w:noWrap w:val="0"/>
            <w:vAlign w:val="center"/>
          </w:tcPr>
          <w:p>
            <w:pPr>
              <w:snapToGrid w:val="0"/>
              <w:jc w:val="center"/>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12</w:t>
            </w:r>
          </w:p>
        </w:tc>
        <w:tc>
          <w:tcPr>
            <w:tcW w:w="1302" w:type="dxa"/>
            <w:noWrap w:val="0"/>
            <w:vAlign w:val="center"/>
          </w:tcPr>
          <w:p>
            <w:pPr>
              <w:snapToGrid w:val="0"/>
              <w:jc w:val="center"/>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6" w:hRule="atLeast"/>
          <w:jc w:val="center"/>
        </w:trPr>
        <w:tc>
          <w:tcPr>
            <w:tcW w:w="1003" w:type="dxa"/>
            <w:vMerge w:val="continue"/>
            <w:noWrap w:val="0"/>
            <w:vAlign w:val="center"/>
          </w:tcPr>
          <w:p>
            <w:pPr>
              <w:widowControl/>
              <w:adjustRightInd w:val="0"/>
              <w:snapToGrid w:val="0"/>
              <w:jc w:val="left"/>
              <w:rPr>
                <w:rFonts w:hint="default" w:ascii="Times New Roman" w:hAnsi="Times New Roman" w:eastAsia="方正仿宋_GBK" w:cs="Times New Roman"/>
                <w:color w:val="000000"/>
                <w:kern w:val="0"/>
                <w:szCs w:val="21"/>
              </w:rPr>
            </w:pPr>
          </w:p>
        </w:tc>
        <w:tc>
          <w:tcPr>
            <w:tcW w:w="376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城镇节水器具普及率（%）</w:t>
            </w:r>
          </w:p>
        </w:tc>
        <w:tc>
          <w:tcPr>
            <w:tcW w:w="1118" w:type="dxa"/>
            <w:noWrap w:val="0"/>
            <w:vAlign w:val="center"/>
          </w:tcPr>
          <w:p>
            <w:pPr>
              <w:snapToGrid w:val="0"/>
              <w:jc w:val="center"/>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85</w:t>
            </w:r>
          </w:p>
        </w:tc>
        <w:tc>
          <w:tcPr>
            <w:tcW w:w="1195" w:type="dxa"/>
            <w:noWrap w:val="0"/>
            <w:vAlign w:val="center"/>
          </w:tcPr>
          <w:p>
            <w:pPr>
              <w:snapToGrid w:val="0"/>
              <w:jc w:val="center"/>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≧95</w:t>
            </w:r>
          </w:p>
        </w:tc>
        <w:tc>
          <w:tcPr>
            <w:tcW w:w="1302" w:type="dxa"/>
            <w:noWrap w:val="0"/>
            <w:vAlign w:val="center"/>
          </w:tcPr>
          <w:p>
            <w:pPr>
              <w:snapToGrid w:val="0"/>
              <w:jc w:val="center"/>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03"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再生水回用率</w:t>
            </w:r>
          </w:p>
        </w:tc>
        <w:tc>
          <w:tcPr>
            <w:tcW w:w="376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再生水利用率（%）</w:t>
            </w:r>
          </w:p>
        </w:tc>
        <w:tc>
          <w:tcPr>
            <w:tcW w:w="1118" w:type="dxa"/>
            <w:noWrap w:val="0"/>
            <w:vAlign w:val="center"/>
          </w:tcPr>
          <w:p>
            <w:pPr>
              <w:snapToGrid w:val="0"/>
              <w:jc w:val="center"/>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10</w:t>
            </w:r>
          </w:p>
        </w:tc>
        <w:tc>
          <w:tcPr>
            <w:tcW w:w="1195" w:type="dxa"/>
            <w:noWrap w:val="0"/>
            <w:vAlign w:val="center"/>
          </w:tcPr>
          <w:p>
            <w:pPr>
              <w:snapToGrid w:val="0"/>
              <w:jc w:val="center"/>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30</w:t>
            </w:r>
          </w:p>
        </w:tc>
        <w:tc>
          <w:tcPr>
            <w:tcW w:w="1302" w:type="dxa"/>
            <w:noWrap w:val="0"/>
            <w:vAlign w:val="center"/>
          </w:tcPr>
          <w:p>
            <w:pPr>
              <w:snapToGrid w:val="0"/>
              <w:jc w:val="center"/>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6" w:hRule="atLeast"/>
          <w:jc w:val="center"/>
        </w:trPr>
        <w:tc>
          <w:tcPr>
            <w:tcW w:w="1003" w:type="dxa"/>
            <w:vMerge w:val="restart"/>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节水能力建设</w:t>
            </w:r>
          </w:p>
        </w:tc>
        <w:tc>
          <w:tcPr>
            <w:tcW w:w="376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农业用水计量率（%）</w:t>
            </w:r>
          </w:p>
        </w:tc>
        <w:tc>
          <w:tcPr>
            <w:tcW w:w="1118"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w:t>
            </w:r>
          </w:p>
        </w:tc>
        <w:tc>
          <w:tcPr>
            <w:tcW w:w="1195"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bCs/>
                <w:color w:val="000000"/>
                <w:szCs w:val="21"/>
              </w:rPr>
              <w:t>≧</w:t>
            </w:r>
            <w:r>
              <w:rPr>
                <w:rFonts w:hint="default" w:ascii="Times New Roman" w:hAnsi="Times New Roman" w:eastAsia="方正仿宋_GBK" w:cs="Times New Roman"/>
                <w:color w:val="000000"/>
                <w:kern w:val="0"/>
                <w:szCs w:val="21"/>
              </w:rPr>
              <w:t>50</w:t>
            </w:r>
          </w:p>
        </w:tc>
        <w:tc>
          <w:tcPr>
            <w:tcW w:w="130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bCs/>
                <w:color w:val="000000"/>
                <w:szCs w:val="21"/>
              </w:rPr>
              <w:t>≧</w:t>
            </w:r>
            <w:r>
              <w:rPr>
                <w:rFonts w:hint="default" w:ascii="Times New Roman" w:hAnsi="Times New Roman" w:eastAsia="方正仿宋_GBK" w:cs="Times New Roman"/>
                <w:color w:val="000000"/>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6" w:hRule="atLeast"/>
          <w:jc w:val="center"/>
        </w:trPr>
        <w:tc>
          <w:tcPr>
            <w:tcW w:w="1003" w:type="dxa"/>
            <w:vMerge w:val="continue"/>
            <w:noWrap w:val="0"/>
            <w:vAlign w:val="center"/>
          </w:tcPr>
          <w:p>
            <w:pPr>
              <w:widowControl/>
              <w:adjustRightInd w:val="0"/>
              <w:snapToGrid w:val="0"/>
              <w:jc w:val="left"/>
              <w:rPr>
                <w:rFonts w:hint="default" w:ascii="Times New Roman" w:hAnsi="Times New Roman" w:eastAsia="方正仿宋_GBK" w:cs="Times New Roman"/>
                <w:color w:val="000000"/>
                <w:kern w:val="0"/>
                <w:szCs w:val="21"/>
              </w:rPr>
            </w:pPr>
          </w:p>
        </w:tc>
        <w:tc>
          <w:tcPr>
            <w:tcW w:w="376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城镇和工业用水计量率（%）</w:t>
            </w:r>
          </w:p>
        </w:tc>
        <w:tc>
          <w:tcPr>
            <w:tcW w:w="1118"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90</w:t>
            </w:r>
          </w:p>
        </w:tc>
        <w:tc>
          <w:tcPr>
            <w:tcW w:w="1195"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bCs/>
                <w:color w:val="000000"/>
                <w:szCs w:val="21"/>
              </w:rPr>
              <w:t>≧</w:t>
            </w:r>
            <w:r>
              <w:rPr>
                <w:rFonts w:hint="default" w:ascii="Times New Roman" w:hAnsi="Times New Roman" w:eastAsia="方正仿宋_GBK" w:cs="Times New Roman"/>
                <w:color w:val="000000"/>
                <w:kern w:val="0"/>
                <w:szCs w:val="21"/>
              </w:rPr>
              <w:t>95</w:t>
            </w:r>
          </w:p>
        </w:tc>
        <w:tc>
          <w:tcPr>
            <w:tcW w:w="130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bCs/>
                <w:color w:val="000000"/>
                <w:szCs w:val="21"/>
              </w:rPr>
              <w:t>≧</w:t>
            </w:r>
            <w:r>
              <w:rPr>
                <w:rFonts w:hint="default" w:ascii="Times New Roman" w:hAnsi="Times New Roman" w:eastAsia="方正仿宋_GBK" w:cs="Times New Roman"/>
                <w:color w:val="000000"/>
                <w:kern w:val="0"/>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6" w:hRule="atLeast"/>
          <w:jc w:val="center"/>
        </w:trPr>
        <w:tc>
          <w:tcPr>
            <w:tcW w:w="1003" w:type="dxa"/>
            <w:vMerge w:val="continue"/>
            <w:tcBorders>
              <w:bottom w:val="single" w:color="auto" w:sz="4" w:space="0"/>
            </w:tcBorders>
            <w:noWrap w:val="0"/>
            <w:vAlign w:val="center"/>
          </w:tcPr>
          <w:p>
            <w:pPr>
              <w:widowControl/>
              <w:adjustRightInd w:val="0"/>
              <w:snapToGrid w:val="0"/>
              <w:jc w:val="left"/>
              <w:rPr>
                <w:rFonts w:hint="default" w:ascii="Times New Roman" w:hAnsi="Times New Roman" w:eastAsia="方正仿宋_GBK" w:cs="Times New Roman"/>
                <w:color w:val="000000"/>
                <w:kern w:val="0"/>
                <w:szCs w:val="21"/>
              </w:rPr>
            </w:pPr>
          </w:p>
        </w:tc>
        <w:tc>
          <w:tcPr>
            <w:tcW w:w="3762" w:type="dxa"/>
            <w:tcBorders>
              <w:bottom w:val="single" w:color="auto" w:sz="4" w:space="0"/>
            </w:tcBorders>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中小学节水教育基地建成数（个）</w:t>
            </w:r>
          </w:p>
        </w:tc>
        <w:tc>
          <w:tcPr>
            <w:tcW w:w="1118" w:type="dxa"/>
            <w:tcBorders>
              <w:bottom w:val="single" w:color="auto" w:sz="4" w:space="0"/>
            </w:tcBorders>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w:t>
            </w:r>
          </w:p>
        </w:tc>
        <w:tc>
          <w:tcPr>
            <w:tcW w:w="1195" w:type="dxa"/>
            <w:tcBorders>
              <w:bottom w:val="single" w:color="auto" w:sz="4" w:space="0"/>
            </w:tcBorders>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w:t>
            </w:r>
          </w:p>
        </w:tc>
        <w:tc>
          <w:tcPr>
            <w:tcW w:w="1302" w:type="dxa"/>
            <w:tcBorders>
              <w:bottom w:val="single" w:color="auto" w:sz="4" w:space="0"/>
            </w:tcBorders>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6" w:hRule="atLeast"/>
          <w:jc w:val="center"/>
        </w:trPr>
        <w:tc>
          <w:tcPr>
            <w:tcW w:w="1003" w:type="dxa"/>
            <w:vMerge w:val="restart"/>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节水载体建设</w:t>
            </w:r>
          </w:p>
        </w:tc>
        <w:tc>
          <w:tcPr>
            <w:tcW w:w="376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节水型企业建成数（个）</w:t>
            </w:r>
          </w:p>
        </w:tc>
        <w:tc>
          <w:tcPr>
            <w:tcW w:w="1118"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w:t>
            </w:r>
          </w:p>
        </w:tc>
        <w:tc>
          <w:tcPr>
            <w:tcW w:w="1195"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25</w:t>
            </w:r>
          </w:p>
        </w:tc>
        <w:tc>
          <w:tcPr>
            <w:tcW w:w="130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6" w:hRule="atLeast"/>
          <w:jc w:val="center"/>
        </w:trPr>
        <w:tc>
          <w:tcPr>
            <w:tcW w:w="1003" w:type="dxa"/>
            <w:vMerge w:val="continue"/>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p>
        </w:tc>
        <w:tc>
          <w:tcPr>
            <w:tcW w:w="376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节水型园区建成数（个）</w:t>
            </w:r>
          </w:p>
        </w:tc>
        <w:tc>
          <w:tcPr>
            <w:tcW w:w="1118"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w:t>
            </w:r>
          </w:p>
        </w:tc>
        <w:tc>
          <w:tcPr>
            <w:tcW w:w="1195"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w:t>
            </w:r>
          </w:p>
        </w:tc>
        <w:tc>
          <w:tcPr>
            <w:tcW w:w="130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6" w:hRule="atLeast"/>
          <w:jc w:val="center"/>
        </w:trPr>
        <w:tc>
          <w:tcPr>
            <w:tcW w:w="1003" w:type="dxa"/>
            <w:vMerge w:val="continue"/>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p>
        </w:tc>
        <w:tc>
          <w:tcPr>
            <w:tcW w:w="376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节水型社区（个）</w:t>
            </w:r>
          </w:p>
        </w:tc>
        <w:tc>
          <w:tcPr>
            <w:tcW w:w="1118"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w:t>
            </w:r>
          </w:p>
        </w:tc>
        <w:tc>
          <w:tcPr>
            <w:tcW w:w="1195"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15</w:t>
            </w:r>
          </w:p>
        </w:tc>
        <w:tc>
          <w:tcPr>
            <w:tcW w:w="130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30</w:t>
            </w:r>
          </w:p>
        </w:tc>
      </w:tr>
    </w:tbl>
    <w:p>
      <w:pPr>
        <w:pStyle w:val="5"/>
        <w:pageBreakBefore w:val="0"/>
        <w:widowControl w:val="0"/>
        <w:kinsoku/>
        <w:wordWrap/>
        <w:overflowPunct/>
        <w:autoSpaceDE/>
        <w:autoSpaceDN/>
        <w:bidi w:val="0"/>
        <w:spacing w:beforeAutospacing="0" w:afterAutospacing="0" w:line="590" w:lineRule="exact"/>
        <w:ind w:left="0" w:leftChars="0" w:firstLine="640" w:firstLineChars="200"/>
        <w:rPr>
          <w:rFonts w:hint="default" w:ascii="Times New Roman" w:hAnsi="Times New Roman" w:eastAsia="方正黑体_GBK" w:cs="Times New Roman"/>
          <w:b w:val="0"/>
          <w:bCs/>
          <w:sz w:val="32"/>
          <w:szCs w:val="32"/>
        </w:rPr>
      </w:pPr>
      <w:bookmarkStart w:id="182" w:name="_Toc1231"/>
      <w:bookmarkStart w:id="183" w:name="_Toc312309893"/>
    </w:p>
    <w:p>
      <w:pPr>
        <w:pStyle w:val="5"/>
        <w:keepNext w:val="0"/>
        <w:keepLines w:val="0"/>
        <w:pageBreakBefore w:val="0"/>
        <w:widowControl w:val="0"/>
        <w:kinsoku/>
        <w:wordWrap/>
        <w:overflowPunct/>
        <w:autoSpaceDE/>
        <w:autoSpaceDN/>
        <w:bidi w:val="0"/>
        <w:spacing w:beforeAutospacing="0" w:afterAutospacing="0" w:line="590" w:lineRule="exact"/>
        <w:ind w:left="0" w:leftChars="0" w:firstLine="640" w:firstLineChars="200"/>
        <w:rPr>
          <w:rFonts w:hint="eastAsia" w:ascii="方正楷体_GBK" w:hAnsi="方正楷体_GBK" w:eastAsia="方正楷体_GBK" w:cs="方正楷体_GBK"/>
          <w:b w:val="0"/>
          <w:bCs/>
          <w:sz w:val="32"/>
          <w:szCs w:val="32"/>
        </w:rPr>
      </w:pPr>
      <w:r>
        <w:rPr>
          <w:rFonts w:hint="eastAsia" w:ascii="方正楷体_GBK" w:hAnsi="方正楷体_GBK" w:eastAsia="方正楷体_GBK" w:cs="方正楷体_GBK"/>
          <w:b w:val="0"/>
          <w:bCs/>
          <w:sz w:val="32"/>
          <w:szCs w:val="32"/>
        </w:rPr>
        <w:t>二、主要行业节水指标</w:t>
      </w:r>
      <w:bookmarkEnd w:id="182"/>
      <w:bookmarkEnd w:id="183"/>
    </w:p>
    <w:p>
      <w:pPr>
        <w:pStyle w:val="5"/>
        <w:keepNext w:val="0"/>
        <w:keepLines w:val="0"/>
        <w:pageBreakBefore w:val="0"/>
        <w:widowControl w:val="0"/>
        <w:kinsoku/>
        <w:wordWrap/>
        <w:overflowPunct/>
        <w:autoSpaceDE/>
        <w:autoSpaceDN/>
        <w:bidi w:val="0"/>
        <w:spacing w:beforeAutospacing="0" w:afterAutospacing="0" w:line="590" w:lineRule="exact"/>
        <w:ind w:firstLine="568"/>
        <w:rPr>
          <w:rFonts w:hint="default" w:ascii="Times New Roman" w:hAnsi="Times New Roman" w:eastAsia="方正仿宋_GBK" w:cs="Times New Roman"/>
          <w:b/>
          <w:bCs w:val="0"/>
          <w:sz w:val="32"/>
          <w:szCs w:val="22"/>
        </w:rPr>
      </w:pPr>
      <w:r>
        <w:rPr>
          <w:rFonts w:hint="default" w:ascii="Times New Roman" w:hAnsi="Times New Roman" w:eastAsia="方正仿宋_GBK" w:cs="Times New Roman"/>
          <w:b/>
          <w:bCs w:val="0"/>
          <w:sz w:val="32"/>
          <w:szCs w:val="22"/>
        </w:rPr>
        <w:t>（1）农业节水目标</w:t>
      </w:r>
    </w:p>
    <w:p>
      <w:pPr>
        <w:keepNext w:val="0"/>
        <w:keepLines w:val="0"/>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至2020年，全市有效灌溉面积达到405.6万亩，通过对淠河灌区、茨淮新河灌区和永幸河灌区以及重点中小型灌区进行节水改造，新增节水灌溉面积10.85万亩，灌溉水利用系数提高到0.565。农业用水计量率达到50%以上。</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至2030年，全市有效灌溉面积达到416.9万亩，继续对淠河灌区、茨淮新河灌区和永幸河灌区以及重点中小型灌区进行节水改造，新增节水灌溉面积较现状增加20万亩，灌溉水利用系数提高到0.60。农业用水计量率达到90%以上。</w:t>
      </w:r>
    </w:p>
    <w:p>
      <w:pPr>
        <w:pStyle w:val="5"/>
        <w:pageBreakBefore w:val="0"/>
        <w:widowControl w:val="0"/>
        <w:kinsoku/>
        <w:wordWrap/>
        <w:overflowPunct/>
        <w:autoSpaceDE/>
        <w:autoSpaceDN/>
        <w:bidi w:val="0"/>
        <w:spacing w:beforeAutospacing="0" w:afterAutospacing="0" w:line="590" w:lineRule="exact"/>
        <w:ind w:firstLine="568"/>
        <w:rPr>
          <w:rFonts w:hint="eastAsia" w:ascii="Times New Roman" w:hAnsi="Times New Roman" w:eastAsia="方正仿宋_GBK" w:cs="Times New Roman"/>
          <w:b/>
          <w:bCs w:val="0"/>
          <w:sz w:val="32"/>
          <w:szCs w:val="22"/>
        </w:rPr>
      </w:pPr>
      <w:r>
        <w:rPr>
          <w:rFonts w:hint="eastAsia" w:ascii="Times New Roman" w:hAnsi="Times New Roman" w:eastAsia="方正仿宋_GBK" w:cs="Times New Roman"/>
          <w:b/>
          <w:bCs w:val="0"/>
          <w:sz w:val="32"/>
          <w:szCs w:val="22"/>
        </w:rPr>
        <w:t>（2）工业节水目标</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2015年，工业万元增加值用水量为77m³/万元（不含贯流火电，下同），工业用水重复利用率达到90%，至2020年，工业万元增加值用水量控制在57</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，工业用水重复利用率达到92%；2030年，工业万元增加值用水量控制在40</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，工业用水重复利用率达到95%。</w:t>
      </w:r>
    </w:p>
    <w:p>
      <w:pPr>
        <w:pStyle w:val="5"/>
        <w:pageBreakBefore w:val="0"/>
        <w:widowControl w:val="0"/>
        <w:kinsoku/>
        <w:wordWrap/>
        <w:overflowPunct/>
        <w:autoSpaceDE/>
        <w:autoSpaceDN/>
        <w:bidi w:val="0"/>
        <w:spacing w:beforeAutospacing="0" w:afterAutospacing="0" w:line="590" w:lineRule="exact"/>
        <w:ind w:firstLine="568"/>
        <w:rPr>
          <w:rFonts w:hint="default" w:ascii="Times New Roman" w:hAnsi="Times New Roman" w:eastAsia="方正仿宋_GBK" w:cs="Times New Roman"/>
          <w:b/>
          <w:bCs w:val="0"/>
          <w:sz w:val="32"/>
          <w:szCs w:val="22"/>
        </w:rPr>
      </w:pPr>
      <w:r>
        <w:rPr>
          <w:rFonts w:hint="default" w:ascii="Times New Roman" w:hAnsi="Times New Roman" w:eastAsia="方正仿宋_GBK" w:cs="Times New Roman"/>
          <w:b/>
          <w:bCs w:val="0"/>
          <w:sz w:val="32"/>
          <w:szCs w:val="22"/>
        </w:rPr>
        <w:t>（3）生活节水目标</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2015年淮南城市管网漏损率控制在18%，节水器具普及率达到85%，城镇综合生活用水定额207L/人·d，农村生活用水定额为80L/人·d。至2020年淮南城市管网漏损率控制在12%，节水器具普及率达到95%以上，城镇综合生活用水定额221L/人·d农村生活用水定额为90L/人·d；2030年淮南城市管网漏损率控制在8%以下，节水器具普及率达到100，城镇生活用水定额230L/人·d农村生活用水定额为100L/人·d。</w:t>
      </w:r>
    </w:p>
    <w:p>
      <w:pPr>
        <w:pStyle w:val="5"/>
        <w:pageBreakBefore w:val="0"/>
        <w:widowControl w:val="0"/>
        <w:kinsoku/>
        <w:wordWrap/>
        <w:overflowPunct/>
        <w:autoSpaceDE/>
        <w:autoSpaceDN/>
        <w:bidi w:val="0"/>
        <w:spacing w:beforeAutospacing="0" w:afterAutospacing="0" w:line="590" w:lineRule="exact"/>
        <w:ind w:firstLine="568"/>
        <w:rPr>
          <w:rFonts w:hint="default" w:ascii="Times New Roman" w:hAnsi="Times New Roman" w:eastAsia="方正仿宋_GBK" w:cs="Times New Roman"/>
          <w:b/>
          <w:bCs w:val="0"/>
          <w:sz w:val="32"/>
          <w:szCs w:val="22"/>
          <w:lang w:val="en-US" w:eastAsia="zh-CN"/>
        </w:rPr>
      </w:pPr>
      <w:r>
        <w:rPr>
          <w:rFonts w:hint="default" w:ascii="Times New Roman" w:hAnsi="Times New Roman" w:eastAsia="方正仿宋_GBK" w:cs="Times New Roman"/>
          <w:b/>
          <w:bCs w:val="0"/>
          <w:sz w:val="32"/>
          <w:szCs w:val="22"/>
          <w:lang w:val="en-US" w:eastAsia="zh-CN"/>
        </w:rPr>
        <w:t>（4）非常规水资源利用目标</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至2020年全市再生水利用率达到30%以上，2030年达到50%以上。</w:t>
      </w:r>
    </w:p>
    <w:p>
      <w:pPr>
        <w:pStyle w:val="5"/>
        <w:pageBreakBefore w:val="0"/>
        <w:widowControl w:val="0"/>
        <w:kinsoku/>
        <w:wordWrap/>
        <w:overflowPunct/>
        <w:autoSpaceDE/>
        <w:autoSpaceDN/>
        <w:bidi w:val="0"/>
        <w:spacing w:beforeAutospacing="0" w:afterAutospacing="0" w:line="590" w:lineRule="exact"/>
        <w:ind w:firstLine="568"/>
        <w:rPr>
          <w:rFonts w:hint="default" w:ascii="Times New Roman" w:hAnsi="Times New Roman" w:eastAsia="方正仿宋_GBK" w:cs="Times New Roman"/>
          <w:b/>
          <w:bCs w:val="0"/>
          <w:sz w:val="32"/>
          <w:szCs w:val="22"/>
          <w:lang w:val="en-US" w:eastAsia="zh-CN"/>
        </w:rPr>
      </w:pPr>
      <w:r>
        <w:rPr>
          <w:rFonts w:hint="default" w:ascii="Times New Roman" w:hAnsi="Times New Roman" w:eastAsia="方正仿宋_GBK" w:cs="Times New Roman"/>
          <w:b/>
          <w:bCs w:val="0"/>
          <w:sz w:val="32"/>
          <w:szCs w:val="22"/>
          <w:lang w:val="en-US" w:eastAsia="zh-CN"/>
        </w:rPr>
        <w:t>（5）节水载体建设</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至2020年，全部市级机关及50%以上市级事业单位建成节水型单位；至2030年，全部市级机关及事业单位建成节水型单位。</w:t>
      </w:r>
    </w:p>
    <w:p>
      <w:pPr>
        <w:pStyle w:val="4"/>
        <w:pageBreakBefore w:val="0"/>
        <w:widowControl w:val="0"/>
        <w:kinsoku/>
        <w:wordWrap/>
        <w:overflowPunct/>
        <w:autoSpaceDE/>
        <w:autoSpaceDN/>
        <w:bidi w:val="0"/>
        <w:spacing w:beforeAutospacing="0" w:afterAutospacing="0" w:line="590" w:lineRule="exact"/>
        <w:rPr>
          <w:rFonts w:hint="default" w:ascii="Times New Roman" w:hAnsi="Times New Roman" w:eastAsia="方正黑体_GBK" w:cs="Times New Roman"/>
          <w:b w:val="0"/>
          <w:bCs w:val="0"/>
          <w:sz w:val="32"/>
          <w:szCs w:val="36"/>
        </w:rPr>
      </w:pPr>
      <w:bookmarkStart w:id="184" w:name="_Toc312309895"/>
      <w:bookmarkStart w:id="185" w:name="_Toc5248"/>
      <w:r>
        <w:rPr>
          <w:rFonts w:hint="default" w:ascii="Times New Roman" w:hAnsi="Times New Roman" w:eastAsia="方正黑体_GBK" w:cs="Times New Roman"/>
          <w:b w:val="0"/>
          <w:bCs w:val="0"/>
          <w:sz w:val="32"/>
          <w:szCs w:val="36"/>
        </w:rPr>
        <w:t>第</w:t>
      </w:r>
      <w:r>
        <w:rPr>
          <w:rFonts w:hint="default" w:ascii="Times New Roman" w:hAnsi="Times New Roman" w:eastAsia="方正黑体_GBK" w:cs="Times New Roman"/>
          <w:b w:val="0"/>
          <w:bCs w:val="0"/>
          <w:sz w:val="32"/>
          <w:szCs w:val="36"/>
          <w:lang w:eastAsia="zh-CN"/>
        </w:rPr>
        <w:t>三</w:t>
      </w:r>
      <w:r>
        <w:rPr>
          <w:rFonts w:hint="default" w:ascii="Times New Roman" w:hAnsi="Times New Roman" w:eastAsia="方正黑体_GBK" w:cs="Times New Roman"/>
          <w:b w:val="0"/>
          <w:bCs w:val="0"/>
          <w:sz w:val="32"/>
          <w:szCs w:val="36"/>
        </w:rPr>
        <w:t xml:space="preserve">节  </w:t>
      </w:r>
      <w:bookmarkEnd w:id="184"/>
      <w:r>
        <w:rPr>
          <w:rFonts w:hint="default" w:ascii="Times New Roman" w:hAnsi="Times New Roman" w:eastAsia="方正黑体_GBK" w:cs="Times New Roman"/>
          <w:b w:val="0"/>
          <w:bCs w:val="0"/>
          <w:sz w:val="32"/>
          <w:szCs w:val="36"/>
        </w:rPr>
        <w:t>重点领域节水措施</w:t>
      </w:r>
      <w:bookmarkEnd w:id="185"/>
    </w:p>
    <w:p>
      <w:pPr>
        <w:pStyle w:val="5"/>
        <w:pageBreakBefore w:val="0"/>
        <w:widowControl w:val="0"/>
        <w:kinsoku/>
        <w:wordWrap/>
        <w:overflowPunct/>
        <w:autoSpaceDE/>
        <w:autoSpaceDN/>
        <w:bidi w:val="0"/>
        <w:spacing w:beforeAutospacing="0" w:afterAutospacing="0" w:line="590" w:lineRule="exact"/>
        <w:ind w:firstLine="568"/>
        <w:rPr>
          <w:rFonts w:hint="eastAsia" w:ascii="方正楷体_GBK" w:hAnsi="方正楷体_GBK" w:eastAsia="方正楷体_GBK" w:cs="方正楷体_GBK"/>
          <w:b w:val="0"/>
          <w:bCs/>
          <w:sz w:val="32"/>
          <w:szCs w:val="32"/>
        </w:rPr>
      </w:pPr>
      <w:bookmarkStart w:id="186" w:name="_Toc30401"/>
      <w:bookmarkStart w:id="187" w:name="_Toc312309896"/>
      <w:r>
        <w:rPr>
          <w:rFonts w:hint="eastAsia" w:ascii="方正楷体_GBK" w:hAnsi="方正楷体_GBK" w:eastAsia="方正楷体_GBK" w:cs="方正楷体_GBK"/>
          <w:b w:val="0"/>
          <w:bCs/>
          <w:sz w:val="32"/>
          <w:szCs w:val="32"/>
        </w:rPr>
        <w:t>一、农业节水</w:t>
      </w:r>
      <w:bookmarkEnd w:id="186"/>
      <w:bookmarkEnd w:id="187"/>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（1）优化农业用水配置，因地制宜地调整作物种植结构</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在保障淮南市粮食生产和主要特色农业生产基地的用水需求的前提下，与现代农业发展和农业综合开发相结合，统筹规划全市现代农业布局，合理调整农业生产结构和作物种植结构，适度控制灌溉规模，积极发展高效节水农业和生态农业，建立与本市水资源条件相适应的农业发展方式，严格控制农业灌概用水需求的增长。</w:t>
      </w:r>
    </w:p>
    <w:p>
      <w:pPr>
        <w:pStyle w:val="5"/>
        <w:pageBreakBefore w:val="0"/>
        <w:widowControl w:val="0"/>
        <w:kinsoku/>
        <w:wordWrap/>
        <w:overflowPunct/>
        <w:autoSpaceDE/>
        <w:autoSpaceDN/>
        <w:bidi w:val="0"/>
        <w:spacing w:beforeAutospacing="0" w:afterAutospacing="0" w:line="590" w:lineRule="exact"/>
        <w:ind w:firstLine="568"/>
        <w:rPr>
          <w:rFonts w:hint="default" w:ascii="Times New Roman" w:hAnsi="Times New Roman" w:eastAsia="方正仿宋_GBK" w:cs="Times New Roman"/>
          <w:b/>
          <w:bCs w:val="0"/>
          <w:sz w:val="32"/>
          <w:szCs w:val="22"/>
        </w:rPr>
      </w:pPr>
      <w:r>
        <w:rPr>
          <w:rFonts w:hint="default" w:ascii="Times New Roman" w:hAnsi="Times New Roman" w:eastAsia="方正仿宋_GBK" w:cs="Times New Roman"/>
          <w:b/>
          <w:bCs w:val="0"/>
          <w:sz w:val="32"/>
          <w:szCs w:val="22"/>
        </w:rPr>
        <w:t>（2）积极发展林果业和养殖业节水</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以经济林果和花卉节水为重点，推广应用林业耐旱节水品种。积极发展节水防污型养殖技术，提高养殖业用水效率。推广养殖废水处理及重复利用技术，发展畜产品、水产品加工节水技术。提倡家禽集中供水与综合利用，提倡分质供水和多级利用。推广新型绿色畜禽舍、节水型降温技术和饮水设备。</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（3）规模化建设高效节水灌溉示范项目</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大力发展高效节水灌溉。结合灌区建设，采用节水灌溉措施，推广新的节水技术；着重提高灌溉水利用系数，并结合水稻的“薄、浅、湿、晒”节水技术，提高灌溉增产效益；大棚蔬菜主要进行滴灌示范推广。</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（4）积极推广田间节水和农艺节水</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加快推广和普及优化配水、田间灌水、生物节水与农艺节水等先进农业节水技术，减少灌水定额和灌溉定额，提高灌溉水的利用效率和作物水分生产效率。改进地面灌水方法，推行小畦灌概、膜上灌，实施沟灌的，推广细流沟灌、波涌灌等先进技术，避免大水漫灌和长畦串灌。积极实施土地整治、地膜覆盖、秸秆还田、深耕深松、留茬免耕保墒、秸秆覆盖等农艺措施推广示范，加强农艺节水措施与工程节水技术的结合，充分利用天然降水，减少农业对水资源紧缺的压力，在提高灌溉水利用率的同时，注重提离水分生产率，建设节水型的高产、优质、高效农业。</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（5）大力实施节水灌溉工程建设</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大力推广节水灌溉技术，落实节水灌溉的产业支持、技术服务、财政补贴等政策措施。结合农田水利、土地整治、中低产田改造和高标准农田建设，加快修复已损毁的灌溉渠系、电灌站和水闸，继续加快各类灌区节水配套改造，加强渠首工程的配套、维修，适度进行渠系调整，进行渠系建筑物的更新配套和渠道防渗建设，重点解决水源脆弱、输水漏损严重和田间用水效率低的问题。</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（6）发展绿色生态农业</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大力发展绿色生态农业，大力推进农药化肥减量工程、集中养殖废水集中处理工程和粪便沼气化工程建设，进一步推动现代化农业建设，依托科技进步大力发展无公害、绿色、有机农业生产，培育特色无公害农副产品。</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（7）健全农业节水管理措施</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加强全市水资源统一管理，强化农业用水管理和监督，严格控制农业用水量，合理确定灌溉用水定额。明确农业节水工程设施管护主体，落实管护责任。完善农业节水社会化服务体系，加强技术指导和示范培训。积极推行农业节水信息化，有条件的灌区要实行灌溉用水自动化、数字化管理。</w:t>
      </w:r>
    </w:p>
    <w:p>
      <w:pPr>
        <w:pStyle w:val="5"/>
        <w:pageBreakBefore w:val="0"/>
        <w:widowControl w:val="0"/>
        <w:kinsoku/>
        <w:wordWrap/>
        <w:overflowPunct/>
        <w:autoSpaceDE/>
        <w:autoSpaceDN/>
        <w:bidi w:val="0"/>
        <w:spacing w:beforeAutospacing="0" w:afterAutospacing="0" w:line="590" w:lineRule="exact"/>
        <w:ind w:firstLine="568"/>
        <w:rPr>
          <w:rFonts w:hint="eastAsia" w:ascii="方正楷体_GBK" w:hAnsi="方正楷体_GBK" w:eastAsia="方正楷体_GBK" w:cs="方正楷体_GBK"/>
          <w:b w:val="0"/>
          <w:bCs/>
          <w:sz w:val="32"/>
          <w:szCs w:val="32"/>
        </w:rPr>
      </w:pPr>
      <w:bookmarkStart w:id="188" w:name="_Toc3626"/>
      <w:bookmarkStart w:id="189" w:name="_Toc312309897"/>
      <w:r>
        <w:rPr>
          <w:rFonts w:hint="eastAsia" w:ascii="方正楷体_GBK" w:hAnsi="方正楷体_GBK" w:eastAsia="方正楷体_GBK" w:cs="方正楷体_GBK"/>
          <w:b w:val="0"/>
          <w:bCs/>
          <w:sz w:val="32"/>
          <w:szCs w:val="32"/>
        </w:rPr>
        <w:t>二、工业节水</w:t>
      </w:r>
      <w:bookmarkEnd w:id="188"/>
      <w:bookmarkEnd w:id="189"/>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工业节水兼有节水和防污双重任务，淮南工业节水应坚持节流优先，治污为本，高效用水的原则，严格市场准入及限制高消耗、高排放、低效率、产能过剩行业发展；大力发展循环经济，全面推行清洁生产和高效用水，加强循环用水，一水多用，努力提高工业用水重复利用率。切实转变发展方式和用水方式，加强工业节水设施建设与改造，大力推进工业重点行业节水技术改造，加强工业节水工艺改造和循环用水，提高工业用水效率，降低工业单位产品取水量，全面建设节水型工业。</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（1）优化产业结构、推进循环型工业用水体系建设</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加大以节水为重点的产业结构调整力度，将节水指标作为工业发展和布局的约束性指标，作为工业产业结构调整、淘汰、进入的标准和制度。加快转变经济发展方式，按照循环经济的发展理念，加速推进产业发展进程，促进产业转型，使产业结构向节水经济型转变。</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（2）加快重点用水行业节水技术改造</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采取“推广”、“限制”、“淘汰”、“禁止”等措施，引导节水减污技术的发展，大力推广先进的节水型或无水型工艺和技术；大力推广国家、安徽省鼓励的节水技术、工艺和产品；发展和应用工业用水重复利用、冷却节水、热力和工艺系统节水、洗條节水等技术，并配套完善相应设施；开发、生产和推广低耗水的产品，降低水耗，加快淘汰落后的高耗水工艺、设备和产品。</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（3）积极推进工业园区节水</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推进淮南市经济开发区，寿县新桥国际产业园、寿县蜀山现代产业园、寿县工业园区、凤台经济技术开发区、淮南高新技术开发区、现代煤化工产业园区、平圩经济开发区、毛集经济开发区内部的循环用水和节水减排工作，力争实现整个园区废污水的“零排放”，探索循环型、节水型工业园区新路，加快建立节水和废水处理回用专业技术服务支撑体系。</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积极构建基于工业园区水资源循环利用“生态链”与水生命系统，提高水资源终端用水效率，优化园区水资源配置。推广工业园区串联用水与企业中水回用、废污水“零排放”、多元梯级循环利用等节水关键技术并进行工程示范。</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（4）大力推动节水型企业建设</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依据《节水型企业评价导则》和《重点行业用水效率指南》，全面开展节水型企业创建活动。优先选择煤电、煤化工、采煤洗煤等行业为试点，对重点企业进行节水改造、废水处理二次回用，提高高耗水行业用水的重复利用率。抓紧树立一批节水型企业示范典型，充分发挥节水标杆企业和标杆指标的引领作用。随后总结推广节水型企业的成功经验，通过配套鼓励政策、社会监督、舆论引导等措施，全面推动重点行业加快节水型企业建设。</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（5）加强企业用水节水的基础管理</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通过用水计划管理，加强全市各工业企业用水总量控制、严格用水定额管理，逐步建立和实施工业项目用水、节水评估和审核制度。强化工业企业的内部用水管理。定期开展水平衡测试工作，强化对用水和节水的计量管理，建立厂、车间、班级三级用水统计和考核制度，健全节水管理网络和岗位责任，实行内部计划用水、节约用水管理。</w:t>
      </w:r>
    </w:p>
    <w:p>
      <w:pPr>
        <w:pStyle w:val="5"/>
        <w:pageBreakBefore w:val="0"/>
        <w:widowControl w:val="0"/>
        <w:kinsoku/>
        <w:wordWrap/>
        <w:overflowPunct/>
        <w:autoSpaceDE/>
        <w:autoSpaceDN/>
        <w:bidi w:val="0"/>
        <w:spacing w:beforeAutospacing="0" w:afterAutospacing="0" w:line="590" w:lineRule="exact"/>
        <w:ind w:firstLine="568"/>
        <w:rPr>
          <w:rFonts w:hint="eastAsia" w:ascii="方正楷体_GBK" w:hAnsi="方正楷体_GBK" w:eastAsia="方正楷体_GBK" w:cs="方正楷体_GBK"/>
          <w:b w:val="0"/>
          <w:bCs/>
          <w:sz w:val="32"/>
          <w:szCs w:val="32"/>
        </w:rPr>
      </w:pPr>
      <w:bookmarkStart w:id="190" w:name="_Toc312309898"/>
      <w:bookmarkStart w:id="191" w:name="_Toc30429"/>
      <w:r>
        <w:rPr>
          <w:rFonts w:hint="eastAsia" w:ascii="方正楷体_GBK" w:hAnsi="方正楷体_GBK" w:eastAsia="方正楷体_GBK" w:cs="方正楷体_GBK"/>
          <w:b w:val="0"/>
          <w:bCs/>
          <w:sz w:val="32"/>
          <w:szCs w:val="32"/>
        </w:rPr>
        <w:t>三、生活节水</w:t>
      </w:r>
      <w:bookmarkEnd w:id="190"/>
      <w:bookmarkEnd w:id="191"/>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（1）加快城镇供水管网改造</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加大城镇老旧供水管网改造力度，加快对运行使用年限长及老城区漏损严重供水管网的更新改造，加大新型防漏、防爆、防污染管材的更新力度，降低管网漏损率和供水产销差率，限期达标。推广先进检漏技术，提高检测手段，完善管网检漏制度，合理确定管网检漏周期。</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（2）强化公共用水管理</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加强公共用水管理，严格限制城镇公共供水范围内建设自备水源。企业用水统一自来水厂供给，严禁无序开采。市政绿化要推广节水型喷、滴灌器具，减少优质水资源用量，加大中水回用力度。全面加强重点公共用水户管理，在加强宣传教育的同时，逐步扩大计划用水和定额管理的实施范围。</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（3）全面推广普及节水器具</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推广节水型器具是生活节水技术的重要组成部分，对家庭及公共卫生间采取全面改造，更换新式节水马桶及冲便器具。全面组织开展全市节水器具和节水产品推广和普及工作，大幅提高全市节水器具普及率。</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（4）积极推行村镇集中供水和农村生活节水</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针对目前部分村镇居民用水分散、农产品加工工艺简单、村镇供水设施简陋、饮水安全保障程度低、用水效率低等特点，积极推行村镇集中供水和联网供水，保障农村饮水安全。推广家用水表和节水器具。结合新农村建设，推进农村生活垃圾及污水处理，加强农村水环境保护。</w:t>
      </w:r>
    </w:p>
    <w:p>
      <w:pPr>
        <w:pStyle w:val="5"/>
        <w:pageBreakBefore w:val="0"/>
        <w:widowControl w:val="0"/>
        <w:kinsoku/>
        <w:wordWrap/>
        <w:overflowPunct/>
        <w:autoSpaceDE/>
        <w:autoSpaceDN/>
        <w:bidi w:val="0"/>
        <w:spacing w:beforeAutospacing="0" w:afterAutospacing="0" w:line="590" w:lineRule="exact"/>
        <w:ind w:firstLine="568"/>
        <w:rPr>
          <w:rFonts w:hint="eastAsia" w:ascii="方正楷体_GBK" w:hAnsi="方正楷体_GBK" w:eastAsia="方正楷体_GBK" w:cs="方正楷体_GBK"/>
          <w:b w:val="0"/>
          <w:bCs/>
          <w:sz w:val="32"/>
          <w:szCs w:val="32"/>
        </w:rPr>
      </w:pPr>
      <w:bookmarkStart w:id="192" w:name="_Toc13228"/>
      <w:bookmarkStart w:id="193" w:name="_Toc312309899"/>
      <w:r>
        <w:rPr>
          <w:rFonts w:hint="eastAsia" w:ascii="方正楷体_GBK" w:hAnsi="方正楷体_GBK" w:eastAsia="方正楷体_GBK" w:cs="方正楷体_GBK"/>
          <w:b w:val="0"/>
          <w:bCs/>
          <w:sz w:val="32"/>
          <w:szCs w:val="32"/>
        </w:rPr>
        <w:t>四、非常规水资源利用</w:t>
      </w:r>
      <w:bookmarkEnd w:id="192"/>
      <w:bookmarkEnd w:id="193"/>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在科学合理开发利用地表水、地下水的同时，开发利用再生水、雨水等非常规水源，增加可供水量，缓解水资源瓶颈制约。逐步提高区域非常规水源利用水平和水资源的利用效率。</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逐步开展污水处理再生利用。根据再生水水源、潜在用户地理分布、水质水量要求和输配水方式，合理确定污水再生利用的规模、用水途径、布局和建设方式。城市污水再生利用设施的规划建设应遵循统一规划、分期实施，集中利用为主、分散利用为辅，优水优用、分质供水，注重实效、就近利用等原则。优化城市供水系统与配水管网，通过试点，推动建立与城市水系统相协调的城市再生水利用管网系统。完善污水处理再生利用技术标准，在工业、农业、城市绿化、市政环卫、生态景观等行业以及公共建筑生活杂用水等扩大使用再生水。积极研究开发占地面积小、自动化程度高、操作维护方便、高效的污水处理和再生利用技术。</w:t>
      </w:r>
    </w:p>
    <w:p>
      <w:pPr>
        <w:pStyle w:val="5"/>
        <w:pageBreakBefore w:val="0"/>
        <w:widowControl w:val="0"/>
        <w:kinsoku/>
        <w:wordWrap/>
        <w:overflowPunct/>
        <w:autoSpaceDE/>
        <w:autoSpaceDN/>
        <w:bidi w:val="0"/>
        <w:spacing w:beforeAutospacing="0" w:afterAutospacing="0" w:line="590" w:lineRule="exact"/>
        <w:ind w:firstLine="568"/>
        <w:rPr>
          <w:rFonts w:hint="eastAsia" w:ascii="方正楷体_GBK" w:hAnsi="方正楷体_GBK" w:eastAsia="方正楷体_GBK" w:cs="方正楷体_GBK"/>
          <w:b w:val="0"/>
          <w:bCs/>
          <w:sz w:val="32"/>
          <w:szCs w:val="32"/>
        </w:rPr>
      </w:pPr>
      <w:bookmarkStart w:id="194" w:name="_Toc19831"/>
      <w:bookmarkStart w:id="195" w:name="_Toc312309900"/>
      <w:r>
        <w:rPr>
          <w:rFonts w:hint="eastAsia" w:ascii="方正楷体_GBK" w:hAnsi="方正楷体_GBK" w:eastAsia="方正楷体_GBK" w:cs="方正楷体_GBK"/>
          <w:b w:val="0"/>
          <w:bCs/>
          <w:sz w:val="32"/>
          <w:szCs w:val="32"/>
        </w:rPr>
        <w:t>五、水生态与环境的保护与治理</w:t>
      </w:r>
      <w:bookmarkEnd w:id="194"/>
      <w:bookmarkEnd w:id="195"/>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（1）加强水功能区和入河排污口监督管理，严格实行排污总量控制</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加强水功能区管理，制定和完善水功能区管理办法，核定并严格控制主要排污口水质与水量。实行废污水和污染物入河总量控制，提高水功能区达标率，加强水资源的有效保护。</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（2）统筹考虑水资源节约与保护，促进生态环境良性循环</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统筹考虑用水总量控制和排污总量控制，将排污量控制指标作为确定用水总量控制指标的重要参考，对排污大户采取更加严格的用水定额管理，控制不合理的用水需求。</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通过加大污水处理和再生利用的力度，减少废污水排放量和污染物入河量，通过水资源的节约与保护，逐步退还被挤占的生态环境用水，保障基本生态环境用水，促进生态环境良性循环。通过加大污水处理和再生利用的力度，减少废污水排放量和污染物入河量，通过水资源的节约与保护，逐步退还被挤占的生态环境用水，保障基本生态环境用水，促进生态环境良性循环。</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（3）加强水功能区水质监测，完善水环境监测网络</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加强水功能区水质监测，及时掌握水功能区水质动态，完善和建立健全我省的水环境监测网络，实现水功能区水量、水质自动监测，对资料采集、分析和评价进行统一规划，为开展节水型社会建设和水资源保护工作，提供科学可靠的依据。</w:t>
      </w:r>
    </w:p>
    <w:p>
      <w:pPr>
        <w:pStyle w:val="3"/>
        <w:pageBreakBefore w:val="0"/>
        <w:widowControl w:val="0"/>
        <w:kinsoku/>
        <w:wordWrap/>
        <w:overflowPunct/>
        <w:autoSpaceDE/>
        <w:autoSpaceDN/>
        <w:bidi w:val="0"/>
        <w:adjustRightInd w:val="0"/>
        <w:spacing w:before="0" w:beforeAutospacing="0" w:after="0" w:afterAutospacing="0" w:line="590" w:lineRule="exact"/>
        <w:jc w:val="center"/>
        <w:rPr>
          <w:rStyle w:val="16"/>
          <w:rFonts w:hint="default" w:ascii="Times New Roman" w:hAnsi="Times New Roman" w:cs="Times New Roman"/>
          <w:b w:val="0"/>
          <w:bCs w:val="0"/>
          <w:sz w:val="32"/>
        </w:rPr>
      </w:pPr>
      <w:bookmarkStart w:id="196" w:name="_Toc312309901"/>
      <w:r>
        <w:rPr>
          <w:rStyle w:val="16"/>
          <w:rFonts w:hint="default" w:ascii="Times New Roman" w:hAnsi="Times New Roman" w:cs="Times New Roman"/>
          <w:b w:val="0"/>
          <w:bCs w:val="0"/>
          <w:sz w:val="32"/>
        </w:rPr>
        <w:br w:type="page"/>
      </w:r>
      <w:bookmarkStart w:id="197" w:name="_Toc12451"/>
    </w:p>
    <w:p>
      <w:pPr>
        <w:pStyle w:val="3"/>
        <w:pageBreakBefore w:val="0"/>
        <w:widowControl w:val="0"/>
        <w:kinsoku/>
        <w:wordWrap/>
        <w:overflowPunct/>
        <w:autoSpaceDE/>
        <w:autoSpaceDN/>
        <w:bidi w:val="0"/>
        <w:adjustRightInd w:val="0"/>
        <w:spacing w:before="0" w:beforeAutospacing="0" w:after="0" w:afterAutospacing="0" w:line="590" w:lineRule="exact"/>
        <w:jc w:val="center"/>
        <w:rPr>
          <w:rStyle w:val="16"/>
          <w:rFonts w:hint="eastAsia" w:ascii="方正仿宋_GBK" w:hAnsi="方正仿宋_GBK" w:eastAsia="方正仿宋_GBK" w:cs="方正仿宋_GBK"/>
          <w:b w:val="0"/>
          <w:bCs w:val="0"/>
          <w:sz w:val="32"/>
        </w:rPr>
      </w:pPr>
    </w:p>
    <w:p>
      <w:pPr>
        <w:pStyle w:val="3"/>
        <w:pageBreakBefore w:val="0"/>
        <w:widowControl w:val="0"/>
        <w:kinsoku/>
        <w:wordWrap/>
        <w:overflowPunct/>
        <w:autoSpaceDE/>
        <w:autoSpaceDN/>
        <w:bidi w:val="0"/>
        <w:adjustRightInd w:val="0"/>
        <w:spacing w:before="0" w:beforeAutospacing="0" w:after="0" w:afterAutospacing="0" w:line="590" w:lineRule="exact"/>
        <w:jc w:val="center"/>
        <w:rPr>
          <w:rStyle w:val="16"/>
          <w:rFonts w:hint="default" w:ascii="Times New Roman" w:hAnsi="Times New Roman" w:eastAsia="方正黑体_GBK" w:cs="Times New Roman"/>
          <w:b w:val="0"/>
          <w:bCs w:val="0"/>
          <w:sz w:val="44"/>
          <w:szCs w:val="44"/>
        </w:rPr>
      </w:pPr>
      <w:r>
        <w:rPr>
          <w:rStyle w:val="16"/>
          <w:rFonts w:hint="default" w:ascii="Times New Roman" w:hAnsi="Times New Roman" w:eastAsia="方正小标宋_GBK" w:cs="Times New Roman"/>
          <w:b w:val="0"/>
          <w:bCs w:val="0"/>
          <w:sz w:val="44"/>
          <w:szCs w:val="44"/>
        </w:rPr>
        <w:t>第六章  水资源配置及工程规划</w:t>
      </w:r>
      <w:bookmarkEnd w:id="196"/>
      <w:bookmarkEnd w:id="197"/>
    </w:p>
    <w:p>
      <w:pPr>
        <w:pStyle w:val="4"/>
        <w:pageBreakBefore w:val="0"/>
        <w:widowControl w:val="0"/>
        <w:kinsoku/>
        <w:wordWrap/>
        <w:overflowPunct/>
        <w:autoSpaceDE/>
        <w:autoSpaceDN/>
        <w:bidi w:val="0"/>
        <w:spacing w:line="590" w:lineRule="exact"/>
        <w:rPr>
          <w:rFonts w:hint="default" w:ascii="Times New Roman" w:hAnsi="Times New Roman" w:eastAsia="方正黑体_GBK" w:cs="Times New Roman"/>
          <w:b w:val="0"/>
          <w:bCs w:val="0"/>
          <w:sz w:val="32"/>
          <w:szCs w:val="32"/>
        </w:rPr>
      </w:pPr>
      <w:bookmarkStart w:id="198" w:name="_Toc20969"/>
      <w:bookmarkStart w:id="199" w:name="_Toc306734693"/>
      <w:bookmarkStart w:id="200" w:name="_Toc312309902"/>
      <w:r>
        <w:rPr>
          <w:rFonts w:hint="default" w:ascii="Times New Roman" w:hAnsi="Times New Roman" w:eastAsia="方正黑体_GBK" w:cs="Times New Roman"/>
          <w:b w:val="0"/>
          <w:bCs w:val="0"/>
          <w:sz w:val="32"/>
          <w:szCs w:val="36"/>
        </w:rPr>
        <w:t>第一节  水资源供需平衡分析</w:t>
      </w:r>
      <w:bookmarkEnd w:id="198"/>
      <w:bookmarkEnd w:id="199"/>
      <w:bookmarkEnd w:id="200"/>
    </w:p>
    <w:p>
      <w:pPr>
        <w:pStyle w:val="5"/>
        <w:pageBreakBefore w:val="0"/>
        <w:widowControl w:val="0"/>
        <w:kinsoku/>
        <w:wordWrap/>
        <w:overflowPunct/>
        <w:autoSpaceDE/>
        <w:autoSpaceDN/>
        <w:bidi w:val="0"/>
        <w:spacing w:line="590" w:lineRule="exact"/>
        <w:ind w:firstLine="488"/>
        <w:rPr>
          <w:rFonts w:hint="default" w:ascii="Times New Roman" w:hAnsi="Times New Roman" w:eastAsia="方正楷体_GBK" w:cs="Times New Roman"/>
          <w:b w:val="0"/>
          <w:bCs w:val="0"/>
          <w:sz w:val="32"/>
          <w:szCs w:val="32"/>
        </w:rPr>
      </w:pPr>
      <w:bookmarkStart w:id="201" w:name="_Toc312309903"/>
      <w:bookmarkStart w:id="202" w:name="_Toc14439"/>
      <w:bookmarkStart w:id="203" w:name="_Toc306734694"/>
      <w:r>
        <w:rPr>
          <w:rFonts w:hint="default" w:ascii="Times New Roman" w:hAnsi="Times New Roman" w:eastAsia="方正楷体_GBK" w:cs="Times New Roman"/>
          <w:b w:val="0"/>
          <w:bCs w:val="0"/>
          <w:sz w:val="32"/>
          <w:szCs w:val="32"/>
        </w:rPr>
        <w:t>一、供水预测</w:t>
      </w:r>
      <w:bookmarkEnd w:id="201"/>
      <w:bookmarkEnd w:id="202"/>
      <w:bookmarkEnd w:id="203"/>
    </w:p>
    <w:p>
      <w:pPr>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（一）现状可供水量</w:t>
      </w:r>
    </w:p>
    <w:p>
      <w:pPr>
        <w:pageBreakBefore w:val="0"/>
        <w:widowControl w:val="0"/>
        <w:kinsoku/>
        <w:wordWrap/>
        <w:overflowPunct/>
        <w:autoSpaceDE/>
        <w:autoSpaceDN/>
        <w:bidi w:val="0"/>
        <w:adjustRightInd w:val="0"/>
        <w:snapToGrid w:val="0"/>
        <w:spacing w:line="59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淮南现状水平年多年平均可供水量为17.90亿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，50%、75%、95%保证率的可供水量分别为16.50亿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、17.31亿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和16.23亿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。现状年可供水量分析成果见表6.1-1。</w:t>
      </w:r>
    </w:p>
    <w:p>
      <w:pPr>
        <w:adjustRightInd w:val="0"/>
        <w:snapToGrid w:val="0"/>
        <w:ind w:firstLine="482"/>
        <w:jc w:val="center"/>
        <w:rPr>
          <w:rFonts w:hint="eastAsia" w:ascii="方正黑体_GBK" w:hAnsi="方正黑体_GBK" w:eastAsia="方正黑体_GBK" w:cs="方正黑体_GBK"/>
          <w:b/>
          <w:bCs/>
          <w:kern w:val="0"/>
          <w:sz w:val="24"/>
          <w:lang w:eastAsia="zh-CN"/>
        </w:rPr>
      </w:pPr>
      <w:r>
        <w:rPr>
          <w:rFonts w:hint="eastAsia" w:ascii="方正黑体_GBK" w:hAnsi="方正黑体_GBK" w:eastAsia="方正黑体_GBK" w:cs="方正黑体_GBK"/>
          <w:b/>
          <w:bCs/>
          <w:kern w:val="0"/>
          <w:sz w:val="24"/>
        </w:rPr>
        <w:t>表6.1-1  淮南市2015年不同保证率可供水量表  单位：亿</w:t>
      </w:r>
      <w:r>
        <w:rPr>
          <w:rFonts w:hint="eastAsia" w:ascii="方正黑体_GBK" w:hAnsi="方正黑体_GBK" w:eastAsia="方正黑体_GBK" w:cs="方正黑体_GBK"/>
          <w:b/>
          <w:bCs/>
          <w:kern w:val="0"/>
          <w:sz w:val="24"/>
          <w:lang w:eastAsia="zh-CN"/>
        </w:rPr>
        <w:t>m³</w:t>
      </w:r>
    </w:p>
    <w:tbl>
      <w:tblPr>
        <w:tblStyle w:val="12"/>
        <w:tblW w:w="0" w:type="auto"/>
        <w:tblInd w:w="93" w:type="dxa"/>
        <w:tblLayout w:type="fixed"/>
        <w:tblCellMar>
          <w:top w:w="0" w:type="dxa"/>
          <w:left w:w="108" w:type="dxa"/>
          <w:bottom w:w="0" w:type="dxa"/>
          <w:right w:w="108" w:type="dxa"/>
        </w:tblCellMar>
      </w:tblPr>
      <w:tblGrid>
        <w:gridCol w:w="1080"/>
        <w:gridCol w:w="1770"/>
        <w:gridCol w:w="1960"/>
        <w:gridCol w:w="1300"/>
        <w:gridCol w:w="1300"/>
        <w:gridCol w:w="1300"/>
      </w:tblGrid>
      <w:tr>
        <w:tblPrEx>
          <w:tblCellMar>
            <w:top w:w="0" w:type="dxa"/>
            <w:left w:w="108" w:type="dxa"/>
            <w:bottom w:w="0" w:type="dxa"/>
            <w:right w:w="108" w:type="dxa"/>
          </w:tblCellMar>
        </w:tblPrEx>
        <w:trPr>
          <w:trHeight w:val="340" w:hRule="exact"/>
        </w:trPr>
        <w:tc>
          <w:tcPr>
            <w:tcW w:w="2850"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计算分区</w:t>
            </w:r>
          </w:p>
        </w:tc>
        <w:tc>
          <w:tcPr>
            <w:tcW w:w="5860" w:type="dxa"/>
            <w:gridSpan w:val="4"/>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可供水量</w:t>
            </w:r>
          </w:p>
        </w:tc>
      </w:tr>
      <w:tr>
        <w:tblPrEx>
          <w:tblCellMar>
            <w:top w:w="0" w:type="dxa"/>
            <w:left w:w="108" w:type="dxa"/>
            <w:bottom w:w="0" w:type="dxa"/>
            <w:right w:w="108" w:type="dxa"/>
          </w:tblCellMar>
        </w:tblPrEx>
        <w:trPr>
          <w:trHeight w:val="340" w:hRule="exact"/>
        </w:trPr>
        <w:tc>
          <w:tcPr>
            <w:tcW w:w="285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96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多年平均</w:t>
            </w:r>
          </w:p>
        </w:tc>
        <w:tc>
          <w:tcPr>
            <w:tcW w:w="130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50%</w:t>
            </w:r>
          </w:p>
        </w:tc>
        <w:tc>
          <w:tcPr>
            <w:tcW w:w="130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75%</w:t>
            </w:r>
          </w:p>
        </w:tc>
        <w:tc>
          <w:tcPr>
            <w:tcW w:w="130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95%</w:t>
            </w:r>
          </w:p>
        </w:tc>
      </w:tr>
      <w:tr>
        <w:tblPrEx>
          <w:tblCellMar>
            <w:top w:w="0" w:type="dxa"/>
            <w:left w:w="108" w:type="dxa"/>
            <w:bottom w:w="0" w:type="dxa"/>
            <w:right w:w="108" w:type="dxa"/>
          </w:tblCellMar>
        </w:tblPrEx>
        <w:trPr>
          <w:trHeight w:val="340" w:hRule="exact"/>
        </w:trPr>
        <w:tc>
          <w:tcPr>
            <w:tcW w:w="108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7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96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7.36</w:t>
            </w:r>
          </w:p>
        </w:tc>
        <w:tc>
          <w:tcPr>
            <w:tcW w:w="130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6.86</w:t>
            </w:r>
          </w:p>
        </w:tc>
        <w:tc>
          <w:tcPr>
            <w:tcW w:w="130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7.10</w:t>
            </w:r>
          </w:p>
        </w:tc>
        <w:tc>
          <w:tcPr>
            <w:tcW w:w="130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6.70</w:t>
            </w:r>
          </w:p>
        </w:tc>
      </w:tr>
      <w:tr>
        <w:tblPrEx>
          <w:tblCellMar>
            <w:top w:w="0" w:type="dxa"/>
            <w:left w:w="108" w:type="dxa"/>
            <w:bottom w:w="0" w:type="dxa"/>
            <w:right w:w="108" w:type="dxa"/>
          </w:tblCellMar>
        </w:tblPrEx>
        <w:trPr>
          <w:trHeight w:val="340" w:hRule="exact"/>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7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96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10.54</w:t>
            </w:r>
          </w:p>
        </w:tc>
        <w:tc>
          <w:tcPr>
            <w:tcW w:w="130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9.63</w:t>
            </w:r>
          </w:p>
        </w:tc>
        <w:tc>
          <w:tcPr>
            <w:tcW w:w="130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10.21</w:t>
            </w:r>
          </w:p>
        </w:tc>
        <w:tc>
          <w:tcPr>
            <w:tcW w:w="130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9.54</w:t>
            </w:r>
          </w:p>
        </w:tc>
      </w:tr>
      <w:tr>
        <w:tblPrEx>
          <w:tblCellMar>
            <w:top w:w="0" w:type="dxa"/>
            <w:left w:w="108" w:type="dxa"/>
            <w:bottom w:w="0" w:type="dxa"/>
            <w:right w:w="108" w:type="dxa"/>
          </w:tblCellMar>
        </w:tblPrEx>
        <w:trPr>
          <w:trHeight w:val="340" w:hRule="exact"/>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770" w:type="dxa"/>
            <w:tcBorders>
              <w:top w:val="nil"/>
              <w:left w:val="nil"/>
              <w:bottom w:val="single" w:color="auto" w:sz="4" w:space="0"/>
              <w:right w:val="nil"/>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960"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17.90</w:t>
            </w:r>
          </w:p>
        </w:tc>
        <w:tc>
          <w:tcPr>
            <w:tcW w:w="130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16.50</w:t>
            </w:r>
          </w:p>
        </w:tc>
        <w:tc>
          <w:tcPr>
            <w:tcW w:w="130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17.31</w:t>
            </w:r>
          </w:p>
        </w:tc>
        <w:tc>
          <w:tcPr>
            <w:tcW w:w="130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16.23</w:t>
            </w:r>
          </w:p>
        </w:tc>
      </w:tr>
      <w:tr>
        <w:tblPrEx>
          <w:tblCellMar>
            <w:top w:w="0" w:type="dxa"/>
            <w:left w:w="108" w:type="dxa"/>
            <w:bottom w:w="0" w:type="dxa"/>
            <w:right w:w="108" w:type="dxa"/>
          </w:tblCellMar>
        </w:tblPrEx>
        <w:trPr>
          <w:trHeight w:val="340" w:hRule="exact"/>
        </w:trPr>
        <w:tc>
          <w:tcPr>
            <w:tcW w:w="108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7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96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3.85</w:t>
            </w:r>
          </w:p>
        </w:tc>
        <w:tc>
          <w:tcPr>
            <w:tcW w:w="130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3.68</w:t>
            </w:r>
          </w:p>
        </w:tc>
        <w:tc>
          <w:tcPr>
            <w:tcW w:w="130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3.68</w:t>
            </w:r>
          </w:p>
        </w:tc>
        <w:tc>
          <w:tcPr>
            <w:tcW w:w="130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3.51</w:t>
            </w:r>
          </w:p>
        </w:tc>
      </w:tr>
      <w:tr>
        <w:tblPrEx>
          <w:tblCellMar>
            <w:top w:w="0" w:type="dxa"/>
            <w:left w:w="108" w:type="dxa"/>
            <w:bottom w:w="0" w:type="dxa"/>
            <w:right w:w="108" w:type="dxa"/>
          </w:tblCellMar>
        </w:tblPrEx>
        <w:trPr>
          <w:trHeight w:val="340" w:hRule="exact"/>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7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96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2.96</w:t>
            </w:r>
          </w:p>
        </w:tc>
        <w:tc>
          <w:tcPr>
            <w:tcW w:w="130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2.76</w:t>
            </w:r>
          </w:p>
        </w:tc>
        <w:tc>
          <w:tcPr>
            <w:tcW w:w="130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2.84</w:t>
            </w:r>
          </w:p>
        </w:tc>
        <w:tc>
          <w:tcPr>
            <w:tcW w:w="130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2.67</w:t>
            </w:r>
          </w:p>
        </w:tc>
      </w:tr>
      <w:tr>
        <w:tblPrEx>
          <w:tblCellMar>
            <w:top w:w="0" w:type="dxa"/>
            <w:left w:w="108" w:type="dxa"/>
            <w:bottom w:w="0" w:type="dxa"/>
            <w:right w:w="108" w:type="dxa"/>
          </w:tblCellMar>
        </w:tblPrEx>
        <w:trPr>
          <w:trHeight w:val="340" w:hRule="exact"/>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7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96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4.41</w:t>
            </w:r>
          </w:p>
        </w:tc>
        <w:tc>
          <w:tcPr>
            <w:tcW w:w="130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4.12</w:t>
            </w:r>
          </w:p>
        </w:tc>
        <w:tc>
          <w:tcPr>
            <w:tcW w:w="130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4.27</w:t>
            </w:r>
          </w:p>
        </w:tc>
        <w:tc>
          <w:tcPr>
            <w:tcW w:w="130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4.03</w:t>
            </w:r>
          </w:p>
        </w:tc>
      </w:tr>
      <w:tr>
        <w:tblPrEx>
          <w:tblCellMar>
            <w:top w:w="0" w:type="dxa"/>
            <w:left w:w="108" w:type="dxa"/>
            <w:bottom w:w="0" w:type="dxa"/>
            <w:right w:w="108" w:type="dxa"/>
          </w:tblCellMar>
        </w:tblPrEx>
        <w:trPr>
          <w:trHeight w:val="340" w:hRule="exact"/>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77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96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6.68</w:t>
            </w:r>
          </w:p>
        </w:tc>
        <w:tc>
          <w:tcPr>
            <w:tcW w:w="130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5.94</w:t>
            </w:r>
          </w:p>
        </w:tc>
        <w:tc>
          <w:tcPr>
            <w:tcW w:w="130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6.52</w:t>
            </w:r>
          </w:p>
        </w:tc>
        <w:tc>
          <w:tcPr>
            <w:tcW w:w="130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6.01</w:t>
            </w:r>
          </w:p>
        </w:tc>
      </w:tr>
      <w:tr>
        <w:tblPrEx>
          <w:tblCellMar>
            <w:top w:w="0" w:type="dxa"/>
            <w:left w:w="108" w:type="dxa"/>
            <w:bottom w:w="0" w:type="dxa"/>
            <w:right w:w="108" w:type="dxa"/>
          </w:tblCellMar>
        </w:tblPrEx>
        <w:trPr>
          <w:trHeight w:val="340" w:hRule="exact"/>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p>
        </w:tc>
        <w:tc>
          <w:tcPr>
            <w:tcW w:w="1770" w:type="dxa"/>
            <w:tcBorders>
              <w:top w:val="nil"/>
              <w:left w:val="nil"/>
              <w:bottom w:val="single" w:color="auto" w:sz="4" w:space="0"/>
              <w:right w:val="nil"/>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960" w:type="dxa"/>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17.90 </w:t>
            </w:r>
          </w:p>
        </w:tc>
        <w:tc>
          <w:tcPr>
            <w:tcW w:w="130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16.50 </w:t>
            </w:r>
          </w:p>
        </w:tc>
        <w:tc>
          <w:tcPr>
            <w:tcW w:w="130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17.31 </w:t>
            </w:r>
          </w:p>
        </w:tc>
        <w:tc>
          <w:tcPr>
            <w:tcW w:w="130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16.23 </w:t>
            </w:r>
          </w:p>
        </w:tc>
      </w:tr>
    </w:tbl>
    <w:p>
      <w:pPr>
        <w:keepNext w:val="0"/>
        <w:keepLines w:val="0"/>
        <w:pageBreakBefore w:val="0"/>
        <w:widowControl w:val="0"/>
        <w:kinsoku/>
        <w:wordWrap/>
        <w:overflowPunct/>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（二）水资源开发利用潜力</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1、蓄水工程</w:t>
      </w:r>
    </w:p>
    <w:p>
      <w:pPr>
        <w:keepNext w:val="0"/>
        <w:keepLines w:val="0"/>
        <w:pageBreakBefore w:val="0"/>
        <w:widowControl w:val="0"/>
        <w:kinsoku/>
        <w:wordWrap/>
        <w:overflowPunct/>
        <w:topLinePunct w:val="0"/>
        <w:autoSpaceDE/>
        <w:autoSpaceDN/>
        <w:bidi w:val="0"/>
        <w:adjustRightInd w:val="0"/>
        <w:snapToGrid w:val="0"/>
        <w:spacing w:line="590" w:lineRule="exact"/>
        <w:ind w:firstLine="320" w:firstLineChars="100"/>
        <w:textAlignment w:val="auto"/>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（1）水库除险加固</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现状共有中小型水库184座，总库容21378万m³，总汇水面积1037km²。其中：中型水库3座，总库容14000万m³，总汇水面积429.8km²，分别为寿县境内的安丰塘水库（总库容8400万m³，汇水面积390.0km²）、大井水库（总库容4660万m³，汇水面积33.6km²）、花果水库（总库容940万m³，汇水面积6.2km²）；小（一）型水库20座，总库容3392万m³；小（二）型水库161座，总库容3986万m³。近年来随着国家和全省水利投资力度不断加大，已经完成了部分水库除险加固工程，但就目前仍有部分病险水库有待除险加固。规划2020年对寿县境内的65座小型病险水库除险加固，全面完成市域内中小型水库除险加固工作。</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（2）新建小型水库工程</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规划2020年新建新桥水库，新增总库容601万</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，同时在寿县境内新建扩建小水库49座，新增库容580万</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i w:val="0"/>
          <w:iCs w:val="0"/>
          <w:sz w:val="32"/>
          <w:szCs w:val="32"/>
        </w:rPr>
      </w:pPr>
      <w:r>
        <w:rPr>
          <w:rFonts w:hint="default" w:ascii="Times New Roman" w:hAnsi="Times New Roman" w:eastAsia="方正仿宋_GBK" w:cs="Times New Roman"/>
          <w:b w:val="0"/>
          <w:bCs/>
          <w:i w:val="0"/>
          <w:iCs w:val="0"/>
          <w:sz w:val="32"/>
          <w:szCs w:val="32"/>
        </w:rPr>
        <w:t>2、灌溉泵站技改工程</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全市现有机电泵站1723处（含企业自备泵站），总装机容量19.67万kw。其中：大（2）型泵站（装机流量200～50、装机功率3～1万）5座，装机54650kw，分别为西淝河泵站（装机6台14400kw，排涝流量180m³/s、引水流量85m³/s）、高塘湖排涝站（装机5台11000kw，流量150m³/s）、泥河枢纽泵站（装机4台12000kw，流量120m³/s）、城北湖排涝站（装机4台11000kw，流量100m³/s）、永幸河排灌站（装机5台6250kw，排涝流量80m³/s、灌溉流量40m³/s）；中型泵站（装机流量50～10、装机功率1～0.1万）24座，装机39200kw；小型泵站（装机流量小于10、装机功率小于0.1万）1514座，装机102856kw。</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3、灌区续建配套工程</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fldChar w:fldCharType="begin"/>
      </w:r>
      <w:r>
        <w:rPr>
          <w:rFonts w:hint="default" w:ascii="Times New Roman" w:hAnsi="Times New Roman" w:eastAsia="方正仿宋_GBK" w:cs="Times New Roman"/>
          <w:b w:val="0"/>
          <w:bCs/>
          <w:sz w:val="32"/>
          <w:szCs w:val="32"/>
        </w:rPr>
        <w:instrText xml:space="preserve"> = 1 \* GB3 </w:instrText>
      </w:r>
      <w:r>
        <w:rPr>
          <w:rFonts w:hint="default" w:ascii="Times New Roman" w:hAnsi="Times New Roman" w:eastAsia="方正仿宋_GBK" w:cs="Times New Roman"/>
          <w:b w:val="0"/>
          <w:bCs/>
          <w:sz w:val="32"/>
          <w:szCs w:val="32"/>
        </w:rPr>
        <w:fldChar w:fldCharType="separate"/>
      </w:r>
      <w:r>
        <w:rPr>
          <w:rFonts w:hint="default" w:ascii="Times New Roman" w:hAnsi="Times New Roman" w:eastAsia="方正仿宋_GBK" w:cs="Times New Roman"/>
          <w:b w:val="0"/>
          <w:bCs/>
          <w:sz w:val="32"/>
          <w:szCs w:val="32"/>
        </w:rPr>
        <w:t>①</w:t>
      </w:r>
      <w:r>
        <w:rPr>
          <w:rFonts w:hint="default" w:ascii="Times New Roman" w:hAnsi="Times New Roman" w:eastAsia="方正仿宋_GBK" w:cs="Times New Roman"/>
          <w:b w:val="0"/>
          <w:bCs/>
          <w:sz w:val="32"/>
          <w:szCs w:val="32"/>
        </w:rPr>
        <w:fldChar w:fldCharType="end"/>
      </w:r>
      <w:r>
        <w:rPr>
          <w:rFonts w:hint="default" w:ascii="Times New Roman" w:hAnsi="Times New Roman" w:eastAsia="方正仿宋_GBK" w:cs="Times New Roman"/>
          <w:b w:val="0"/>
          <w:bCs/>
          <w:sz w:val="32"/>
          <w:szCs w:val="32"/>
        </w:rPr>
        <w:t xml:space="preserve"> 永幸河灌区</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灌区南部主要通过永幸河枢纽和菱角湖排灌站灌溉，总装机5115kW，流量39.6</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/s。现状2015年继续加大对永幸河灌区续建配套与节水改造，至2020年完成对全灌区续建配套与节水改造工程，可新增年节水能力约0.3亿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fldChar w:fldCharType="begin"/>
      </w:r>
      <w:r>
        <w:rPr>
          <w:rFonts w:hint="default" w:ascii="Times New Roman" w:hAnsi="Times New Roman" w:eastAsia="方正仿宋_GBK" w:cs="Times New Roman"/>
          <w:b w:val="0"/>
          <w:bCs/>
          <w:sz w:val="32"/>
          <w:szCs w:val="32"/>
        </w:rPr>
        <w:instrText xml:space="preserve"> = 2 \* GB3 </w:instrText>
      </w:r>
      <w:r>
        <w:rPr>
          <w:rFonts w:hint="default" w:ascii="Times New Roman" w:hAnsi="Times New Roman" w:eastAsia="方正仿宋_GBK" w:cs="Times New Roman"/>
          <w:b w:val="0"/>
          <w:bCs/>
          <w:sz w:val="32"/>
          <w:szCs w:val="32"/>
        </w:rPr>
        <w:fldChar w:fldCharType="separate"/>
      </w:r>
      <w:r>
        <w:rPr>
          <w:rFonts w:hint="default" w:ascii="Times New Roman" w:hAnsi="Times New Roman" w:eastAsia="方正仿宋_GBK" w:cs="Times New Roman"/>
          <w:b w:val="0"/>
          <w:bCs/>
          <w:sz w:val="32"/>
          <w:szCs w:val="32"/>
        </w:rPr>
        <w:t>②</w:t>
      </w:r>
      <w:r>
        <w:rPr>
          <w:rFonts w:hint="default" w:ascii="Times New Roman" w:hAnsi="Times New Roman" w:eastAsia="方正仿宋_GBK" w:cs="Times New Roman"/>
          <w:b w:val="0"/>
          <w:bCs/>
          <w:sz w:val="32"/>
          <w:szCs w:val="32"/>
        </w:rPr>
        <w:fldChar w:fldCharType="end"/>
      </w:r>
      <w:r>
        <w:rPr>
          <w:rFonts w:hint="default" w:ascii="Times New Roman" w:hAnsi="Times New Roman" w:eastAsia="方正仿宋_GBK" w:cs="Times New Roman"/>
          <w:b w:val="0"/>
          <w:bCs/>
          <w:sz w:val="32"/>
          <w:szCs w:val="32"/>
        </w:rPr>
        <w:t xml:space="preserve"> 茨淮新河灌区</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茨淮新河灌区利用河道节制闸蓄水及抽水站抽引河水在沿河两岸发展灌溉，灌区范围涉及怀远、凤台、潘集、蒙城、利幸、颖泉、颖东等7个县。灌区现状涉及灌溉面积201万亩，其中淮南市36.5万亩。规划至2020年完成淮南市茨淮新河灌区节水改造与续建配套。</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fldChar w:fldCharType="begin"/>
      </w:r>
      <w:r>
        <w:rPr>
          <w:rFonts w:hint="default" w:ascii="Times New Roman" w:hAnsi="Times New Roman" w:eastAsia="方正仿宋_GBK" w:cs="Times New Roman"/>
          <w:b w:val="0"/>
          <w:bCs/>
          <w:sz w:val="32"/>
          <w:szCs w:val="32"/>
        </w:rPr>
        <w:instrText xml:space="preserve"> = 3 \* GB3 </w:instrText>
      </w:r>
      <w:r>
        <w:rPr>
          <w:rFonts w:hint="default" w:ascii="Times New Roman" w:hAnsi="Times New Roman" w:eastAsia="方正仿宋_GBK" w:cs="Times New Roman"/>
          <w:b w:val="0"/>
          <w:bCs/>
          <w:sz w:val="32"/>
          <w:szCs w:val="32"/>
        </w:rPr>
        <w:fldChar w:fldCharType="separate"/>
      </w:r>
      <w:r>
        <w:rPr>
          <w:rFonts w:hint="default" w:ascii="Times New Roman" w:hAnsi="Times New Roman" w:eastAsia="方正仿宋_GBK" w:cs="Times New Roman"/>
          <w:b w:val="0"/>
          <w:bCs/>
          <w:sz w:val="32"/>
          <w:szCs w:val="32"/>
        </w:rPr>
        <w:t>③</w:t>
      </w:r>
      <w:r>
        <w:rPr>
          <w:rFonts w:hint="default" w:ascii="Times New Roman" w:hAnsi="Times New Roman" w:eastAsia="方正仿宋_GBK" w:cs="Times New Roman"/>
          <w:b w:val="0"/>
          <w:bCs/>
          <w:sz w:val="32"/>
          <w:szCs w:val="32"/>
        </w:rPr>
        <w:fldChar w:fldCharType="end"/>
      </w:r>
      <w:r>
        <w:rPr>
          <w:rFonts w:hint="default" w:ascii="Times New Roman" w:hAnsi="Times New Roman" w:eastAsia="方正仿宋_GBK" w:cs="Times New Roman"/>
          <w:b w:val="0"/>
          <w:bCs/>
          <w:sz w:val="32"/>
          <w:szCs w:val="32"/>
        </w:rPr>
        <w:t xml:space="preserve"> 淠史杭灌区续建配套工程</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加强淠史杭灌区续建配套与节水改造，以提高防旱抗旱能力为重点，以解决灌区末梢农田灌溉为突破口，通过骨干工程的除险加固和田间工程的配套，对淠史杭灌区2条总干渠及9条干渠实施节水改造工程，主要建设内容是清淤渠道、加固渠堤、硬化渠道、涵闸建设和维修、量水、排水工程建设、灌区信息化建设等。至2020年完成淠史杭灌区续建配套与节水改造工程。</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（2）其他中小型灌区</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根据淮南市各行政分区农田水利建设规划报告，规划至2020年完成对区内朱集灌区、董锋湖灌区、架河灌区、祁集灌区、古路岗灌区等重要中小型灌区节水改造与续建配套。</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4、跨流域调水工程</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（1）淮南市山南新区引水工程</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根据《安徽省中西部重点区域及淠史杭灌区水量分配方案》多年平均向淮南市山南新区供水0.8亿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（2）引江济淮工程</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根据《引江济淮可行性研究报告》（发改农经[2016]2632号），规划2030年工程多年平均向淮南市供水3.86亿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5、非常规水利用</w:t>
      </w:r>
    </w:p>
    <w:p>
      <w:pPr>
        <w:keepNext w:val="0"/>
        <w:keepLines w:val="0"/>
        <w:pageBreakBefore w:val="0"/>
        <w:widowControl w:val="0"/>
        <w:kinsoku/>
        <w:wordWrap/>
        <w:overflowPunct/>
        <w:topLinePunct w:val="0"/>
        <w:autoSpaceDE/>
        <w:autoSpaceDN/>
        <w:bidi w:val="0"/>
        <w:adjustRightInd w:val="0"/>
        <w:snapToGrid w:val="0"/>
        <w:spacing w:line="590" w:lineRule="exact"/>
        <w:ind w:firstLine="482"/>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随着淮南市城镇化进程的加快，城镇污水量不断增加，不仅成为导致江河湖泊等地表水体污染的重要原因，也是制约城镇可持续发展的主要原因之一，城镇污水收集系统、城镇污水处理设施和污水再生利用等设施的建设不仅是完善城镇重要的基础设施，同时也是防治水污染、改善水环境的重要手段。</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根据淮南市产业结构，淮南市规划水平年有较好利用再生的条件，区域内的煤电、煤化工以及市政杂用水均可以再生水为水源，根据淮南市《矿区总体开发规划》，预测到2020年以后，生产规模将达到1.0亿吨，规划2020年原煤开采8919万t，规划2030年原煤开采10557万t，考虑到煤炭开采过程中产生的矿坑涌水的不稳定性（开采初期较大，后期逐渐减小至稳定），本次根据规划水平年煤炭开采量，规划2020年矿坑涌水利用量在0.4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，2030年煤炭开采量与2020年基本一致，则矿坑涌水利用量也在0.4亿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左右。</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根据淮南用水结构中，存在的大量的煤电和煤炭相关产业，该部分工业用水量较大，水量集中，同时对水质要求不高，有很好的利用再生水的外部条件，同时根据规划总体要求，淮南市也存在节水减排的内在需求，故本次规划中2020年和2030年淮南市根据用水结构中对再生水的外在需求和节水减排中对再生水利用的内在需求，综合确定再生水利率分别为30%和50%，再生水利用量分别为0.82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和1.32亿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6、洪水资源利用</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考虑到淮河干流过境水量的丰枯变化，规划利用瓦埠湖、西淝河采煤沉陷区拦蓄当地洪水，加大对淮河干流洪水资源的利用。</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7、浅层地下水</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淮南市规划水平年浅层地下水供水对象主要为市域内的井灌区和井渠混合灌区，规划2020年和2030年多年平均浅层地下水可供水量分别为0.84亿</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和0.85亿</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w:t>
      </w:r>
    </w:p>
    <w:p>
      <w:pPr>
        <w:keepNext w:val="0"/>
        <w:keepLines w:val="0"/>
        <w:pageBreakBefore w:val="0"/>
        <w:widowControl w:val="0"/>
        <w:kinsoku/>
        <w:wordWrap/>
        <w:overflowPunct/>
        <w:topLinePunct w:val="0"/>
        <w:autoSpaceDE/>
        <w:autoSpaceDN/>
        <w:bidi w:val="0"/>
        <w:adjustRightInd w:val="0"/>
        <w:snapToGrid w:val="0"/>
        <w:spacing w:line="590" w:lineRule="exact"/>
        <w:ind w:firstLine="643" w:firstLineChars="200"/>
        <w:textAlignment w:val="auto"/>
        <w:rPr>
          <w:rFonts w:hint="eastAsia" w:ascii="方正仿宋_GBK" w:hAnsi="方正仿宋_GBK" w:eastAsia="方正仿宋_GBK" w:cs="方正仿宋_GBK"/>
          <w:b/>
          <w:bCs w:val="0"/>
          <w:kern w:val="21"/>
          <w:sz w:val="32"/>
          <w:szCs w:val="22"/>
          <w:lang w:val="en-US" w:eastAsia="zh-CN" w:bidi="ar-SA"/>
        </w:rPr>
      </w:pPr>
      <w:r>
        <w:rPr>
          <w:rFonts w:hint="eastAsia" w:ascii="方正仿宋_GBK" w:hAnsi="方正仿宋_GBK" w:eastAsia="方正仿宋_GBK" w:cs="方正仿宋_GBK"/>
          <w:b/>
          <w:bCs w:val="0"/>
          <w:kern w:val="21"/>
          <w:sz w:val="32"/>
          <w:szCs w:val="22"/>
          <w:lang w:val="en-US" w:eastAsia="zh-CN" w:bidi="ar-SA"/>
        </w:rPr>
        <w:t>（三）可供水量预测</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根据以上分析可知，淮南市基准年多年平均可供水量为17.90亿</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，50%、75%和95%保证率下可供水量分别为16.50亿</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，17.31亿</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和16.23亿</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；规划2020年多年平均可供水量为20.58亿</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，50%、75%和95%保证率下可供水量分别为18.64亿</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，19.99亿</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和18.53亿</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；规划2030年多年平均可供水量为21.67亿</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，50%、75%和95%保证率下可供水量分别为19.75亿</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，24.44亿</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和28.16亿</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w:t>
      </w:r>
    </w:p>
    <w:p>
      <w:pPr>
        <w:adjustRightInd w:val="0"/>
        <w:snapToGrid w:val="0"/>
        <w:spacing w:line="360" w:lineRule="auto"/>
        <w:ind w:firstLine="482" w:firstLineChars="200"/>
        <w:jc w:val="center"/>
        <w:rPr>
          <w:b/>
          <w:bCs/>
          <w:kern w:val="0"/>
          <w:sz w:val="24"/>
        </w:rPr>
      </w:pPr>
    </w:p>
    <w:p>
      <w:pPr>
        <w:adjustRightInd w:val="0"/>
        <w:snapToGrid w:val="0"/>
        <w:spacing w:line="360" w:lineRule="auto"/>
        <w:ind w:firstLine="482" w:firstLineChars="200"/>
        <w:jc w:val="center"/>
        <w:rPr>
          <w:b/>
          <w:bCs/>
          <w:kern w:val="0"/>
          <w:sz w:val="24"/>
        </w:rPr>
      </w:pPr>
    </w:p>
    <w:p>
      <w:pPr>
        <w:pStyle w:val="2"/>
        <w:ind w:firstLine="486"/>
        <w:rPr>
          <w:rFonts w:ascii="Times New Roman" w:hAnsi="Times New Roman"/>
        </w:rPr>
      </w:pPr>
    </w:p>
    <w:p>
      <w:pPr>
        <w:adjustRightInd w:val="0"/>
        <w:snapToGrid w:val="0"/>
        <w:spacing w:line="360" w:lineRule="auto"/>
        <w:ind w:firstLine="482" w:firstLineChars="200"/>
        <w:jc w:val="center"/>
        <w:rPr>
          <w:rFonts w:hint="eastAsia" w:ascii="方正黑体_GBK" w:hAnsi="方正黑体_GBK" w:eastAsia="方正黑体_GBK" w:cs="方正黑体_GBK"/>
          <w:b/>
          <w:bCs/>
          <w:kern w:val="0"/>
          <w:sz w:val="24"/>
        </w:rPr>
      </w:pPr>
    </w:p>
    <w:p>
      <w:pPr>
        <w:adjustRightInd w:val="0"/>
        <w:snapToGrid w:val="0"/>
        <w:ind w:firstLine="482" w:firstLineChars="200"/>
        <w:jc w:val="center"/>
        <w:rPr>
          <w:rFonts w:hint="eastAsia" w:ascii="方正黑体_GBK" w:hAnsi="方正黑体_GBK" w:eastAsia="方正黑体_GBK" w:cs="方正黑体_GBK"/>
          <w:b/>
          <w:bCs/>
          <w:kern w:val="0"/>
          <w:sz w:val="24"/>
        </w:rPr>
      </w:pPr>
      <w:r>
        <w:rPr>
          <w:rFonts w:hint="eastAsia" w:ascii="方正黑体_GBK" w:hAnsi="方正黑体_GBK" w:eastAsia="方正黑体_GBK" w:cs="方正黑体_GBK"/>
          <w:b/>
          <w:bCs/>
          <w:kern w:val="0"/>
          <w:sz w:val="24"/>
        </w:rPr>
        <w:t>表6.1-2  淮南市现状及规划水平年不同保证率可供水量表 单位：亿m³</w:t>
      </w:r>
    </w:p>
    <w:tbl>
      <w:tblPr>
        <w:tblStyle w:val="12"/>
        <w:tblW w:w="0" w:type="auto"/>
        <w:jc w:val="center"/>
        <w:tblLayout w:type="fixed"/>
        <w:tblCellMar>
          <w:top w:w="0" w:type="dxa"/>
          <w:left w:w="108" w:type="dxa"/>
          <w:bottom w:w="0" w:type="dxa"/>
          <w:right w:w="108" w:type="dxa"/>
        </w:tblCellMar>
      </w:tblPr>
      <w:tblGrid>
        <w:gridCol w:w="786"/>
        <w:gridCol w:w="1373"/>
        <w:gridCol w:w="1272"/>
        <w:gridCol w:w="967"/>
        <w:gridCol w:w="791"/>
        <w:gridCol w:w="805"/>
        <w:gridCol w:w="687"/>
        <w:gridCol w:w="764"/>
        <w:gridCol w:w="888"/>
        <w:gridCol w:w="907"/>
      </w:tblGrid>
      <w:tr>
        <w:tblPrEx>
          <w:tblCellMar>
            <w:top w:w="0" w:type="dxa"/>
            <w:left w:w="108" w:type="dxa"/>
            <w:bottom w:w="0" w:type="dxa"/>
            <w:right w:w="108" w:type="dxa"/>
          </w:tblCellMar>
        </w:tblPrEx>
        <w:trPr>
          <w:trHeight w:val="419" w:hRule="atLeast"/>
          <w:jc w:val="center"/>
        </w:trPr>
        <w:tc>
          <w:tcPr>
            <w:tcW w:w="78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水平年</w:t>
            </w:r>
          </w:p>
        </w:tc>
        <w:tc>
          <w:tcPr>
            <w:tcW w:w="137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保证率</w:t>
            </w:r>
          </w:p>
        </w:tc>
        <w:tc>
          <w:tcPr>
            <w:tcW w:w="4522" w:type="dxa"/>
            <w:gridSpan w:val="5"/>
            <w:tcBorders>
              <w:top w:val="single" w:color="auto" w:sz="4" w:space="0"/>
              <w:left w:val="nil"/>
              <w:bottom w:val="single" w:color="auto" w:sz="4" w:space="0"/>
              <w:right w:val="single" w:color="000000"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地表水</w:t>
            </w:r>
          </w:p>
        </w:tc>
        <w:tc>
          <w:tcPr>
            <w:tcW w:w="764"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浅层地下水</w:t>
            </w:r>
          </w:p>
        </w:tc>
        <w:tc>
          <w:tcPr>
            <w:tcW w:w="88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非常规水利用</w:t>
            </w:r>
          </w:p>
        </w:tc>
        <w:tc>
          <w:tcPr>
            <w:tcW w:w="90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合计</w:t>
            </w:r>
          </w:p>
        </w:tc>
      </w:tr>
      <w:tr>
        <w:tblPrEx>
          <w:tblCellMar>
            <w:top w:w="0" w:type="dxa"/>
            <w:left w:w="108" w:type="dxa"/>
            <w:bottom w:w="0" w:type="dxa"/>
            <w:right w:w="108" w:type="dxa"/>
          </w:tblCellMar>
        </w:tblPrEx>
        <w:trPr>
          <w:trHeight w:val="419" w:hRule="atLeast"/>
          <w:jc w:val="center"/>
        </w:trPr>
        <w:tc>
          <w:tcPr>
            <w:tcW w:w="78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37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272"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合计</w:t>
            </w:r>
          </w:p>
        </w:tc>
        <w:tc>
          <w:tcPr>
            <w:tcW w:w="967"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其中引江济淮</w:t>
            </w:r>
          </w:p>
        </w:tc>
        <w:tc>
          <w:tcPr>
            <w:tcW w:w="2283" w:type="dxa"/>
            <w:gridSpan w:val="3"/>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其中淠河灌区水源</w:t>
            </w:r>
          </w:p>
        </w:tc>
        <w:tc>
          <w:tcPr>
            <w:tcW w:w="76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88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9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r>
      <w:tr>
        <w:tblPrEx>
          <w:tblCellMar>
            <w:top w:w="0" w:type="dxa"/>
            <w:left w:w="108" w:type="dxa"/>
            <w:bottom w:w="0" w:type="dxa"/>
            <w:right w:w="108" w:type="dxa"/>
          </w:tblCellMar>
        </w:tblPrEx>
        <w:trPr>
          <w:trHeight w:val="798" w:hRule="atLeast"/>
          <w:jc w:val="center"/>
        </w:trPr>
        <w:tc>
          <w:tcPr>
            <w:tcW w:w="78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37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27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967"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79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小计</w:t>
            </w:r>
          </w:p>
        </w:tc>
        <w:tc>
          <w:tcPr>
            <w:tcW w:w="805"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山南新区</w:t>
            </w:r>
          </w:p>
        </w:tc>
        <w:tc>
          <w:tcPr>
            <w:tcW w:w="687"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农业</w:t>
            </w:r>
          </w:p>
        </w:tc>
        <w:tc>
          <w:tcPr>
            <w:tcW w:w="76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88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9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r>
      <w:tr>
        <w:tblPrEx>
          <w:tblCellMar>
            <w:top w:w="0" w:type="dxa"/>
            <w:left w:w="108" w:type="dxa"/>
            <w:bottom w:w="0" w:type="dxa"/>
            <w:right w:w="108" w:type="dxa"/>
          </w:tblCellMar>
        </w:tblPrEx>
        <w:trPr>
          <w:trHeight w:val="419" w:hRule="atLeast"/>
          <w:jc w:val="center"/>
        </w:trPr>
        <w:tc>
          <w:tcPr>
            <w:tcW w:w="786"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2015年</w:t>
            </w:r>
          </w:p>
        </w:tc>
        <w:tc>
          <w:tcPr>
            <w:tcW w:w="1373"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多年平均</w:t>
            </w:r>
          </w:p>
        </w:tc>
        <w:tc>
          <w:tcPr>
            <w:tcW w:w="1272"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16.90</w:t>
            </w:r>
          </w:p>
        </w:tc>
        <w:tc>
          <w:tcPr>
            <w:tcW w:w="96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w:t>
            </w:r>
          </w:p>
        </w:tc>
        <w:tc>
          <w:tcPr>
            <w:tcW w:w="79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4.03</w:t>
            </w:r>
          </w:p>
        </w:tc>
        <w:tc>
          <w:tcPr>
            <w:tcW w:w="80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w:t>
            </w:r>
          </w:p>
        </w:tc>
        <w:tc>
          <w:tcPr>
            <w:tcW w:w="68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4.03</w:t>
            </w:r>
          </w:p>
        </w:tc>
        <w:tc>
          <w:tcPr>
            <w:tcW w:w="76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0.82</w:t>
            </w:r>
          </w:p>
        </w:tc>
        <w:tc>
          <w:tcPr>
            <w:tcW w:w="88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0.18</w:t>
            </w:r>
          </w:p>
        </w:tc>
        <w:tc>
          <w:tcPr>
            <w:tcW w:w="90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17.90</w:t>
            </w:r>
          </w:p>
        </w:tc>
      </w:tr>
      <w:tr>
        <w:tblPrEx>
          <w:tblCellMar>
            <w:top w:w="0" w:type="dxa"/>
            <w:left w:w="108" w:type="dxa"/>
            <w:bottom w:w="0" w:type="dxa"/>
            <w:right w:w="108" w:type="dxa"/>
          </w:tblCellMar>
        </w:tblPrEx>
        <w:trPr>
          <w:trHeight w:val="374" w:hRule="atLeast"/>
          <w:jc w:val="center"/>
        </w:trPr>
        <w:tc>
          <w:tcPr>
            <w:tcW w:w="786"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373"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50%</w:t>
            </w:r>
          </w:p>
        </w:tc>
        <w:tc>
          <w:tcPr>
            <w:tcW w:w="1272"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15.59</w:t>
            </w:r>
          </w:p>
        </w:tc>
        <w:tc>
          <w:tcPr>
            <w:tcW w:w="96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w:t>
            </w:r>
          </w:p>
        </w:tc>
        <w:tc>
          <w:tcPr>
            <w:tcW w:w="79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3.63</w:t>
            </w:r>
          </w:p>
        </w:tc>
        <w:tc>
          <w:tcPr>
            <w:tcW w:w="80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w:t>
            </w:r>
          </w:p>
        </w:tc>
        <w:tc>
          <w:tcPr>
            <w:tcW w:w="68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3.63</w:t>
            </w:r>
          </w:p>
        </w:tc>
        <w:tc>
          <w:tcPr>
            <w:tcW w:w="76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0.72</w:t>
            </w:r>
          </w:p>
        </w:tc>
        <w:tc>
          <w:tcPr>
            <w:tcW w:w="88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0.18</w:t>
            </w:r>
          </w:p>
        </w:tc>
        <w:tc>
          <w:tcPr>
            <w:tcW w:w="90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16.50</w:t>
            </w:r>
          </w:p>
        </w:tc>
      </w:tr>
      <w:tr>
        <w:tblPrEx>
          <w:tblCellMar>
            <w:top w:w="0" w:type="dxa"/>
            <w:left w:w="108" w:type="dxa"/>
            <w:bottom w:w="0" w:type="dxa"/>
            <w:right w:w="108" w:type="dxa"/>
          </w:tblCellMar>
        </w:tblPrEx>
        <w:trPr>
          <w:trHeight w:val="374" w:hRule="atLeast"/>
          <w:jc w:val="center"/>
        </w:trPr>
        <w:tc>
          <w:tcPr>
            <w:tcW w:w="786"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373"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75%</w:t>
            </w:r>
          </w:p>
        </w:tc>
        <w:tc>
          <w:tcPr>
            <w:tcW w:w="1272"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16.30</w:t>
            </w:r>
          </w:p>
        </w:tc>
        <w:tc>
          <w:tcPr>
            <w:tcW w:w="96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w:t>
            </w:r>
          </w:p>
        </w:tc>
        <w:tc>
          <w:tcPr>
            <w:tcW w:w="79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5.51</w:t>
            </w:r>
          </w:p>
        </w:tc>
        <w:tc>
          <w:tcPr>
            <w:tcW w:w="80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w:t>
            </w:r>
          </w:p>
        </w:tc>
        <w:tc>
          <w:tcPr>
            <w:tcW w:w="68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5.51</w:t>
            </w:r>
          </w:p>
        </w:tc>
        <w:tc>
          <w:tcPr>
            <w:tcW w:w="76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0.83</w:t>
            </w:r>
          </w:p>
        </w:tc>
        <w:tc>
          <w:tcPr>
            <w:tcW w:w="88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0.18</w:t>
            </w:r>
          </w:p>
        </w:tc>
        <w:tc>
          <w:tcPr>
            <w:tcW w:w="90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17.31</w:t>
            </w:r>
          </w:p>
        </w:tc>
      </w:tr>
      <w:tr>
        <w:tblPrEx>
          <w:tblCellMar>
            <w:top w:w="0" w:type="dxa"/>
            <w:left w:w="108" w:type="dxa"/>
            <w:bottom w:w="0" w:type="dxa"/>
            <w:right w:w="108" w:type="dxa"/>
          </w:tblCellMar>
        </w:tblPrEx>
        <w:trPr>
          <w:trHeight w:val="374" w:hRule="atLeast"/>
          <w:jc w:val="center"/>
        </w:trPr>
        <w:tc>
          <w:tcPr>
            <w:tcW w:w="786"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373"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95%</w:t>
            </w:r>
          </w:p>
        </w:tc>
        <w:tc>
          <w:tcPr>
            <w:tcW w:w="1272"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15.26</w:t>
            </w:r>
          </w:p>
        </w:tc>
        <w:tc>
          <w:tcPr>
            <w:tcW w:w="96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w:t>
            </w:r>
          </w:p>
        </w:tc>
        <w:tc>
          <w:tcPr>
            <w:tcW w:w="79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5.07</w:t>
            </w:r>
          </w:p>
        </w:tc>
        <w:tc>
          <w:tcPr>
            <w:tcW w:w="80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w:t>
            </w:r>
          </w:p>
        </w:tc>
        <w:tc>
          <w:tcPr>
            <w:tcW w:w="68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5.07</w:t>
            </w:r>
          </w:p>
        </w:tc>
        <w:tc>
          <w:tcPr>
            <w:tcW w:w="76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0.80</w:t>
            </w:r>
          </w:p>
        </w:tc>
        <w:tc>
          <w:tcPr>
            <w:tcW w:w="88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0.18</w:t>
            </w:r>
          </w:p>
        </w:tc>
        <w:tc>
          <w:tcPr>
            <w:tcW w:w="90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16.23</w:t>
            </w:r>
          </w:p>
        </w:tc>
      </w:tr>
      <w:tr>
        <w:tblPrEx>
          <w:tblCellMar>
            <w:top w:w="0" w:type="dxa"/>
            <w:left w:w="108" w:type="dxa"/>
            <w:bottom w:w="0" w:type="dxa"/>
            <w:right w:w="108" w:type="dxa"/>
          </w:tblCellMar>
        </w:tblPrEx>
        <w:trPr>
          <w:trHeight w:val="419" w:hRule="atLeast"/>
          <w:jc w:val="center"/>
        </w:trPr>
        <w:tc>
          <w:tcPr>
            <w:tcW w:w="786"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2020年</w:t>
            </w:r>
          </w:p>
        </w:tc>
        <w:tc>
          <w:tcPr>
            <w:tcW w:w="1373"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多年平均</w:t>
            </w:r>
          </w:p>
        </w:tc>
        <w:tc>
          <w:tcPr>
            <w:tcW w:w="1272"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18.53</w:t>
            </w:r>
          </w:p>
        </w:tc>
        <w:tc>
          <w:tcPr>
            <w:tcW w:w="96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w:t>
            </w:r>
          </w:p>
        </w:tc>
        <w:tc>
          <w:tcPr>
            <w:tcW w:w="79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4.83</w:t>
            </w:r>
          </w:p>
        </w:tc>
        <w:tc>
          <w:tcPr>
            <w:tcW w:w="80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w:t>
            </w:r>
          </w:p>
        </w:tc>
        <w:tc>
          <w:tcPr>
            <w:tcW w:w="68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4.03</w:t>
            </w:r>
          </w:p>
        </w:tc>
        <w:tc>
          <w:tcPr>
            <w:tcW w:w="76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0.84</w:t>
            </w:r>
          </w:p>
        </w:tc>
        <w:tc>
          <w:tcPr>
            <w:tcW w:w="88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1.22</w:t>
            </w:r>
          </w:p>
        </w:tc>
        <w:tc>
          <w:tcPr>
            <w:tcW w:w="90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20.58</w:t>
            </w:r>
          </w:p>
        </w:tc>
      </w:tr>
      <w:tr>
        <w:tblPrEx>
          <w:tblCellMar>
            <w:top w:w="0" w:type="dxa"/>
            <w:left w:w="108" w:type="dxa"/>
            <w:bottom w:w="0" w:type="dxa"/>
            <w:right w:w="108" w:type="dxa"/>
          </w:tblCellMar>
        </w:tblPrEx>
        <w:trPr>
          <w:trHeight w:val="374" w:hRule="atLeast"/>
          <w:jc w:val="center"/>
        </w:trPr>
        <w:tc>
          <w:tcPr>
            <w:tcW w:w="786"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373"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50%</w:t>
            </w:r>
          </w:p>
        </w:tc>
        <w:tc>
          <w:tcPr>
            <w:tcW w:w="1272"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16.68</w:t>
            </w:r>
          </w:p>
        </w:tc>
        <w:tc>
          <w:tcPr>
            <w:tcW w:w="96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w:t>
            </w:r>
          </w:p>
        </w:tc>
        <w:tc>
          <w:tcPr>
            <w:tcW w:w="79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4.43</w:t>
            </w:r>
          </w:p>
        </w:tc>
        <w:tc>
          <w:tcPr>
            <w:tcW w:w="80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w:t>
            </w:r>
          </w:p>
        </w:tc>
        <w:tc>
          <w:tcPr>
            <w:tcW w:w="68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3.63</w:t>
            </w:r>
          </w:p>
        </w:tc>
        <w:tc>
          <w:tcPr>
            <w:tcW w:w="76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0.74</w:t>
            </w:r>
          </w:p>
        </w:tc>
        <w:tc>
          <w:tcPr>
            <w:tcW w:w="88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1.22</w:t>
            </w:r>
          </w:p>
        </w:tc>
        <w:tc>
          <w:tcPr>
            <w:tcW w:w="90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18.64</w:t>
            </w:r>
          </w:p>
        </w:tc>
      </w:tr>
      <w:tr>
        <w:tblPrEx>
          <w:tblCellMar>
            <w:top w:w="0" w:type="dxa"/>
            <w:left w:w="108" w:type="dxa"/>
            <w:bottom w:w="0" w:type="dxa"/>
            <w:right w:w="108" w:type="dxa"/>
          </w:tblCellMar>
        </w:tblPrEx>
        <w:trPr>
          <w:trHeight w:val="374" w:hRule="atLeast"/>
          <w:jc w:val="center"/>
        </w:trPr>
        <w:tc>
          <w:tcPr>
            <w:tcW w:w="786"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373"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75%</w:t>
            </w:r>
          </w:p>
        </w:tc>
        <w:tc>
          <w:tcPr>
            <w:tcW w:w="1272"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17.92</w:t>
            </w:r>
          </w:p>
        </w:tc>
        <w:tc>
          <w:tcPr>
            <w:tcW w:w="96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w:t>
            </w:r>
          </w:p>
        </w:tc>
        <w:tc>
          <w:tcPr>
            <w:tcW w:w="79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5.91</w:t>
            </w:r>
          </w:p>
        </w:tc>
        <w:tc>
          <w:tcPr>
            <w:tcW w:w="80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0.4</w:t>
            </w:r>
          </w:p>
        </w:tc>
        <w:tc>
          <w:tcPr>
            <w:tcW w:w="68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5.51</w:t>
            </w:r>
          </w:p>
        </w:tc>
        <w:tc>
          <w:tcPr>
            <w:tcW w:w="76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0.85</w:t>
            </w:r>
          </w:p>
        </w:tc>
        <w:tc>
          <w:tcPr>
            <w:tcW w:w="88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1.22</w:t>
            </w:r>
          </w:p>
        </w:tc>
        <w:tc>
          <w:tcPr>
            <w:tcW w:w="90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19.99</w:t>
            </w:r>
          </w:p>
        </w:tc>
      </w:tr>
      <w:tr>
        <w:tblPrEx>
          <w:tblCellMar>
            <w:top w:w="0" w:type="dxa"/>
            <w:left w:w="108" w:type="dxa"/>
            <w:bottom w:w="0" w:type="dxa"/>
            <w:right w:w="108" w:type="dxa"/>
          </w:tblCellMar>
        </w:tblPrEx>
        <w:trPr>
          <w:trHeight w:val="374" w:hRule="atLeast"/>
          <w:jc w:val="center"/>
        </w:trPr>
        <w:tc>
          <w:tcPr>
            <w:tcW w:w="786"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373"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95%</w:t>
            </w:r>
          </w:p>
        </w:tc>
        <w:tc>
          <w:tcPr>
            <w:tcW w:w="1272"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16.49</w:t>
            </w:r>
          </w:p>
        </w:tc>
        <w:tc>
          <w:tcPr>
            <w:tcW w:w="96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w:t>
            </w:r>
          </w:p>
        </w:tc>
        <w:tc>
          <w:tcPr>
            <w:tcW w:w="79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5.27</w:t>
            </w:r>
          </w:p>
        </w:tc>
        <w:tc>
          <w:tcPr>
            <w:tcW w:w="80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0.2</w:t>
            </w:r>
          </w:p>
        </w:tc>
        <w:tc>
          <w:tcPr>
            <w:tcW w:w="68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5.07</w:t>
            </w:r>
          </w:p>
        </w:tc>
        <w:tc>
          <w:tcPr>
            <w:tcW w:w="76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0.82</w:t>
            </w:r>
          </w:p>
        </w:tc>
        <w:tc>
          <w:tcPr>
            <w:tcW w:w="88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1.22</w:t>
            </w:r>
          </w:p>
        </w:tc>
        <w:tc>
          <w:tcPr>
            <w:tcW w:w="90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18.53</w:t>
            </w:r>
          </w:p>
        </w:tc>
      </w:tr>
      <w:tr>
        <w:tblPrEx>
          <w:tblCellMar>
            <w:top w:w="0" w:type="dxa"/>
            <w:left w:w="108" w:type="dxa"/>
            <w:bottom w:w="0" w:type="dxa"/>
            <w:right w:w="108" w:type="dxa"/>
          </w:tblCellMar>
        </w:tblPrEx>
        <w:trPr>
          <w:trHeight w:val="419" w:hRule="atLeast"/>
          <w:jc w:val="center"/>
        </w:trPr>
        <w:tc>
          <w:tcPr>
            <w:tcW w:w="786"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2030年</w:t>
            </w:r>
          </w:p>
        </w:tc>
        <w:tc>
          <w:tcPr>
            <w:tcW w:w="1373"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多年平均</w:t>
            </w:r>
          </w:p>
        </w:tc>
        <w:tc>
          <w:tcPr>
            <w:tcW w:w="1272"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19.10</w:t>
            </w:r>
          </w:p>
        </w:tc>
        <w:tc>
          <w:tcPr>
            <w:tcW w:w="96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3.86</w:t>
            </w:r>
          </w:p>
        </w:tc>
        <w:tc>
          <w:tcPr>
            <w:tcW w:w="79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4.83</w:t>
            </w:r>
          </w:p>
        </w:tc>
        <w:tc>
          <w:tcPr>
            <w:tcW w:w="80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w:t>
            </w:r>
          </w:p>
        </w:tc>
        <w:tc>
          <w:tcPr>
            <w:tcW w:w="68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4.03</w:t>
            </w:r>
          </w:p>
        </w:tc>
        <w:tc>
          <w:tcPr>
            <w:tcW w:w="76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0.85</w:t>
            </w:r>
          </w:p>
        </w:tc>
        <w:tc>
          <w:tcPr>
            <w:tcW w:w="88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1.72</w:t>
            </w:r>
          </w:p>
        </w:tc>
        <w:tc>
          <w:tcPr>
            <w:tcW w:w="90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21.67</w:t>
            </w:r>
          </w:p>
        </w:tc>
      </w:tr>
      <w:tr>
        <w:tblPrEx>
          <w:tblCellMar>
            <w:top w:w="0" w:type="dxa"/>
            <w:left w:w="108" w:type="dxa"/>
            <w:bottom w:w="0" w:type="dxa"/>
            <w:right w:w="108" w:type="dxa"/>
          </w:tblCellMar>
        </w:tblPrEx>
        <w:trPr>
          <w:trHeight w:val="374" w:hRule="atLeast"/>
          <w:jc w:val="center"/>
        </w:trPr>
        <w:tc>
          <w:tcPr>
            <w:tcW w:w="786"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373"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50%</w:t>
            </w:r>
          </w:p>
        </w:tc>
        <w:tc>
          <w:tcPr>
            <w:tcW w:w="1272"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17.29</w:t>
            </w:r>
          </w:p>
        </w:tc>
        <w:tc>
          <w:tcPr>
            <w:tcW w:w="96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2.96</w:t>
            </w:r>
          </w:p>
        </w:tc>
        <w:tc>
          <w:tcPr>
            <w:tcW w:w="79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4.43</w:t>
            </w:r>
          </w:p>
        </w:tc>
        <w:tc>
          <w:tcPr>
            <w:tcW w:w="80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w:t>
            </w:r>
          </w:p>
        </w:tc>
        <w:tc>
          <w:tcPr>
            <w:tcW w:w="68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3.63</w:t>
            </w:r>
          </w:p>
        </w:tc>
        <w:tc>
          <w:tcPr>
            <w:tcW w:w="76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0.75</w:t>
            </w:r>
          </w:p>
        </w:tc>
        <w:tc>
          <w:tcPr>
            <w:tcW w:w="88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1.72</w:t>
            </w:r>
          </w:p>
        </w:tc>
        <w:tc>
          <w:tcPr>
            <w:tcW w:w="90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19.75</w:t>
            </w:r>
          </w:p>
        </w:tc>
      </w:tr>
      <w:tr>
        <w:tblPrEx>
          <w:tblCellMar>
            <w:top w:w="0" w:type="dxa"/>
            <w:left w:w="108" w:type="dxa"/>
            <w:bottom w:w="0" w:type="dxa"/>
            <w:right w:w="108" w:type="dxa"/>
          </w:tblCellMar>
        </w:tblPrEx>
        <w:trPr>
          <w:trHeight w:val="374" w:hRule="atLeast"/>
          <w:jc w:val="center"/>
        </w:trPr>
        <w:tc>
          <w:tcPr>
            <w:tcW w:w="786"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373"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75%</w:t>
            </w:r>
          </w:p>
        </w:tc>
        <w:tc>
          <w:tcPr>
            <w:tcW w:w="1272"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21.85</w:t>
            </w:r>
          </w:p>
        </w:tc>
        <w:tc>
          <w:tcPr>
            <w:tcW w:w="96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5.87</w:t>
            </w:r>
          </w:p>
        </w:tc>
        <w:tc>
          <w:tcPr>
            <w:tcW w:w="79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5.91</w:t>
            </w:r>
          </w:p>
        </w:tc>
        <w:tc>
          <w:tcPr>
            <w:tcW w:w="80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0.4</w:t>
            </w:r>
          </w:p>
        </w:tc>
        <w:tc>
          <w:tcPr>
            <w:tcW w:w="68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5.51</w:t>
            </w:r>
          </w:p>
        </w:tc>
        <w:tc>
          <w:tcPr>
            <w:tcW w:w="76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0.88</w:t>
            </w:r>
          </w:p>
        </w:tc>
        <w:tc>
          <w:tcPr>
            <w:tcW w:w="88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1.72</w:t>
            </w:r>
          </w:p>
        </w:tc>
        <w:tc>
          <w:tcPr>
            <w:tcW w:w="90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24.44</w:t>
            </w:r>
          </w:p>
        </w:tc>
      </w:tr>
      <w:tr>
        <w:tblPrEx>
          <w:tblCellMar>
            <w:top w:w="0" w:type="dxa"/>
            <w:left w:w="108" w:type="dxa"/>
            <w:bottom w:w="0" w:type="dxa"/>
            <w:right w:w="108" w:type="dxa"/>
          </w:tblCellMar>
        </w:tblPrEx>
        <w:trPr>
          <w:trHeight w:val="416" w:hRule="atLeast"/>
          <w:jc w:val="center"/>
        </w:trPr>
        <w:tc>
          <w:tcPr>
            <w:tcW w:w="786"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jc w:val="left"/>
              <w:rPr>
                <w:rFonts w:hint="default" w:ascii="Times New Roman" w:hAnsi="Times New Roman" w:eastAsia="方正仿宋_GBK" w:cs="Times New Roman"/>
                <w:kern w:val="0"/>
                <w:szCs w:val="21"/>
              </w:rPr>
            </w:pPr>
          </w:p>
        </w:tc>
        <w:tc>
          <w:tcPr>
            <w:tcW w:w="1373"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95%</w:t>
            </w:r>
          </w:p>
        </w:tc>
        <w:tc>
          <w:tcPr>
            <w:tcW w:w="1272"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25.58</w:t>
            </w:r>
          </w:p>
        </w:tc>
        <w:tc>
          <w:tcPr>
            <w:tcW w:w="96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11.08</w:t>
            </w:r>
          </w:p>
        </w:tc>
        <w:tc>
          <w:tcPr>
            <w:tcW w:w="791"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5.27</w:t>
            </w:r>
          </w:p>
        </w:tc>
        <w:tc>
          <w:tcPr>
            <w:tcW w:w="805"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0.2</w:t>
            </w:r>
          </w:p>
        </w:tc>
        <w:tc>
          <w:tcPr>
            <w:tcW w:w="68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5.07</w:t>
            </w:r>
          </w:p>
        </w:tc>
        <w:tc>
          <w:tcPr>
            <w:tcW w:w="764"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0.86</w:t>
            </w:r>
          </w:p>
        </w:tc>
        <w:tc>
          <w:tcPr>
            <w:tcW w:w="888"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1.72</w:t>
            </w:r>
          </w:p>
        </w:tc>
        <w:tc>
          <w:tcPr>
            <w:tcW w:w="907" w:type="dxa"/>
            <w:tcBorders>
              <w:top w:val="nil"/>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28.16</w:t>
            </w:r>
          </w:p>
        </w:tc>
      </w:tr>
    </w:tbl>
    <w:p>
      <w:pPr>
        <w:pStyle w:val="5"/>
        <w:keepNext w:val="0"/>
        <w:keepLines w:val="0"/>
        <w:pageBreakBefore w:val="0"/>
        <w:widowControl w:val="0"/>
        <w:kinsoku/>
        <w:wordWrap/>
        <w:overflowPunct/>
        <w:autoSpaceDE/>
        <w:autoSpaceDN/>
        <w:bidi w:val="0"/>
        <w:spacing w:line="590" w:lineRule="exact"/>
        <w:ind w:firstLine="568"/>
        <w:rPr>
          <w:rFonts w:hint="default" w:ascii="Times New Roman" w:hAnsi="Times New Roman" w:eastAsia="方正楷体_GBK" w:cs="Times New Roman"/>
          <w:b w:val="0"/>
          <w:bCs/>
          <w:sz w:val="32"/>
          <w:szCs w:val="32"/>
        </w:rPr>
      </w:pPr>
      <w:bookmarkStart w:id="204" w:name="_Toc26093"/>
      <w:bookmarkStart w:id="205" w:name="_Toc312309904"/>
      <w:bookmarkStart w:id="206" w:name="_Toc306734695"/>
      <w:r>
        <w:rPr>
          <w:rFonts w:hint="default" w:ascii="Times New Roman" w:hAnsi="Times New Roman" w:eastAsia="方正楷体_GBK" w:cs="Times New Roman"/>
          <w:b w:val="0"/>
          <w:bCs/>
          <w:sz w:val="32"/>
          <w:szCs w:val="32"/>
        </w:rPr>
        <w:t>二、供需平衡分析</w:t>
      </w:r>
      <w:bookmarkEnd w:id="204"/>
      <w:bookmarkEnd w:id="205"/>
      <w:bookmarkEnd w:id="206"/>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基准年淮南市多年平均河道外需水总量为19.36亿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，可供水量为17.90亿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，河道外缺水为1.46亿m³。平水年（50%保证率）需水总量为16.87亿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，可供水量为16.50亿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，河道外缺水为0.37亿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。中等干旱年份（75%保证率）需水总量为21.65亿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，可供水量为17.31亿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，河道外缺水为4.34亿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。特殊干旱年份（95%保证率）需水总量为30.34亿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，可供水量为16.23亿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，河道外缺水为14.11亿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预测至2020年多年平均河道外需水总量为20.97亿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，可供水量20.58亿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，缺水量0.39亿m³；平水年（50%保证率）需水总量为18.64</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，可供水量为18.64亿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，能够达到供需平衡；中等干旱年份（75%保证率）需水总量为23.52亿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，可供水量为19.99亿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，缺水量3.53亿m³；特殊干旱年份（95%保证率）需水总量为32.30亿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，可供水量为18.53亿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，缺水量为13.77亿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至2030年多年平均河道外需水总量为21.91亿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，可供水量21.67亿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，缺水量为0.24亿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；平水年（50%保证率）需水总量为19.75亿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，可供水量为19.75亿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，能够达到供需平衡；中等干旱年份（75%保证率）需水总量为24.44亿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，可供水量为24.44亿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，能够达到供需平衡；特殊干旱年份（95%保证率）需水总量为33.02亿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，可供水量为28.16亿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，缺水量为4.86亿</w:t>
      </w:r>
      <w:r>
        <w:rPr>
          <w:rFonts w:hint="default" w:ascii="Times New Roman" w:hAnsi="Times New Roman" w:eastAsia="方正仿宋_GBK" w:cs="Times New Roman"/>
          <w:b w:val="0"/>
          <w:bCs w:val="0"/>
          <w:sz w:val="32"/>
          <w:szCs w:val="32"/>
          <w:lang w:eastAsia="zh-CN"/>
        </w:rPr>
        <w:t>m³</w:t>
      </w:r>
      <w:r>
        <w:rPr>
          <w:rFonts w:hint="default" w:ascii="Times New Roman" w:hAnsi="Times New Roman" w:eastAsia="方正仿宋_GBK" w:cs="Times New Roman"/>
          <w:b w:val="0"/>
          <w:bCs w:val="0"/>
          <w:sz w:val="32"/>
          <w:szCs w:val="32"/>
        </w:rPr>
        <w:t>。</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淮南市不同水平年供需平衡分析详见表6.1-3。</w:t>
      </w:r>
    </w:p>
    <w:p>
      <w:pPr>
        <w:adjustRightInd w:val="0"/>
        <w:snapToGrid w:val="0"/>
        <w:spacing w:line="520" w:lineRule="exact"/>
        <w:ind w:firstLine="482" w:firstLineChars="200"/>
        <w:jc w:val="center"/>
        <w:rPr>
          <w:rFonts w:hint="eastAsia" w:ascii="方正黑体_GBK" w:hAnsi="方正黑体_GBK" w:eastAsia="方正黑体_GBK" w:cs="方正黑体_GBK"/>
          <w:b/>
          <w:bCs/>
          <w:sz w:val="24"/>
          <w:lang w:eastAsia="zh-CN"/>
        </w:rPr>
      </w:pPr>
      <w:r>
        <w:rPr>
          <w:rFonts w:hint="eastAsia" w:ascii="方正黑体_GBK" w:hAnsi="方正黑体_GBK" w:eastAsia="方正黑体_GBK" w:cs="方正黑体_GBK"/>
          <w:b/>
          <w:bCs/>
          <w:sz w:val="24"/>
        </w:rPr>
        <w:t>表6.1-3 淮南市不同水平年供需平衡分析表    单位：亿</w:t>
      </w:r>
      <w:r>
        <w:rPr>
          <w:rFonts w:hint="eastAsia" w:ascii="方正黑体_GBK" w:hAnsi="方正黑体_GBK" w:eastAsia="方正黑体_GBK" w:cs="方正黑体_GBK"/>
          <w:b/>
          <w:bCs/>
          <w:sz w:val="24"/>
          <w:lang w:eastAsia="zh-CN"/>
        </w:rPr>
        <w:t>m³</w:t>
      </w:r>
    </w:p>
    <w:tbl>
      <w:tblPr>
        <w:tblStyle w:val="12"/>
        <w:tblW w:w="0" w:type="auto"/>
        <w:jc w:val="center"/>
        <w:tblLayout w:type="fixed"/>
        <w:tblCellMar>
          <w:top w:w="0" w:type="dxa"/>
          <w:left w:w="108" w:type="dxa"/>
          <w:bottom w:w="0" w:type="dxa"/>
          <w:right w:w="108" w:type="dxa"/>
        </w:tblCellMar>
      </w:tblPr>
      <w:tblGrid>
        <w:gridCol w:w="1529"/>
        <w:gridCol w:w="1614"/>
        <w:gridCol w:w="1610"/>
        <w:gridCol w:w="1693"/>
        <w:gridCol w:w="1774"/>
      </w:tblGrid>
      <w:tr>
        <w:tblPrEx>
          <w:tblCellMar>
            <w:top w:w="0" w:type="dxa"/>
            <w:left w:w="108" w:type="dxa"/>
            <w:bottom w:w="0" w:type="dxa"/>
            <w:right w:w="108" w:type="dxa"/>
          </w:tblCellMar>
        </w:tblPrEx>
        <w:trPr>
          <w:trHeight w:val="357"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水平年</w:t>
            </w:r>
          </w:p>
        </w:tc>
        <w:tc>
          <w:tcPr>
            <w:tcW w:w="161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保证率</w:t>
            </w:r>
          </w:p>
        </w:tc>
        <w:tc>
          <w:tcPr>
            <w:tcW w:w="161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需水量</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供水量</w:t>
            </w:r>
          </w:p>
        </w:tc>
        <w:tc>
          <w:tcPr>
            <w:tcW w:w="177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缺水量</w:t>
            </w:r>
          </w:p>
        </w:tc>
      </w:tr>
      <w:tr>
        <w:tblPrEx>
          <w:tblCellMar>
            <w:top w:w="0" w:type="dxa"/>
            <w:left w:w="108" w:type="dxa"/>
            <w:bottom w:w="0" w:type="dxa"/>
            <w:right w:w="108" w:type="dxa"/>
          </w:tblCellMar>
        </w:tblPrEx>
        <w:trPr>
          <w:trHeight w:val="357" w:hRule="atLeast"/>
          <w:jc w:val="center"/>
        </w:trPr>
        <w:tc>
          <w:tcPr>
            <w:tcW w:w="1529"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2015年</w:t>
            </w:r>
          </w:p>
        </w:tc>
        <w:tc>
          <w:tcPr>
            <w:tcW w:w="161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多年平均</w:t>
            </w:r>
          </w:p>
        </w:tc>
        <w:tc>
          <w:tcPr>
            <w:tcW w:w="161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19.36</w:t>
            </w:r>
          </w:p>
        </w:tc>
        <w:tc>
          <w:tcPr>
            <w:tcW w:w="169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17.90</w:t>
            </w:r>
          </w:p>
        </w:tc>
        <w:tc>
          <w:tcPr>
            <w:tcW w:w="177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1.46</w:t>
            </w:r>
          </w:p>
        </w:tc>
      </w:tr>
      <w:tr>
        <w:tblPrEx>
          <w:tblCellMar>
            <w:top w:w="0" w:type="dxa"/>
            <w:left w:w="108" w:type="dxa"/>
            <w:bottom w:w="0" w:type="dxa"/>
            <w:right w:w="108" w:type="dxa"/>
          </w:tblCellMar>
        </w:tblPrEx>
        <w:trPr>
          <w:trHeight w:val="357" w:hRule="atLeast"/>
          <w:jc w:val="center"/>
        </w:trPr>
        <w:tc>
          <w:tcPr>
            <w:tcW w:w="152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1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50%</w:t>
            </w:r>
          </w:p>
        </w:tc>
        <w:tc>
          <w:tcPr>
            <w:tcW w:w="161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16.87</w:t>
            </w:r>
          </w:p>
        </w:tc>
        <w:tc>
          <w:tcPr>
            <w:tcW w:w="169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16.50</w:t>
            </w:r>
          </w:p>
        </w:tc>
        <w:tc>
          <w:tcPr>
            <w:tcW w:w="177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0.37</w:t>
            </w:r>
          </w:p>
        </w:tc>
      </w:tr>
      <w:tr>
        <w:tblPrEx>
          <w:tblCellMar>
            <w:top w:w="0" w:type="dxa"/>
            <w:left w:w="108" w:type="dxa"/>
            <w:bottom w:w="0" w:type="dxa"/>
            <w:right w:w="108" w:type="dxa"/>
          </w:tblCellMar>
        </w:tblPrEx>
        <w:trPr>
          <w:trHeight w:val="357" w:hRule="atLeast"/>
          <w:jc w:val="center"/>
        </w:trPr>
        <w:tc>
          <w:tcPr>
            <w:tcW w:w="152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1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75%</w:t>
            </w:r>
          </w:p>
        </w:tc>
        <w:tc>
          <w:tcPr>
            <w:tcW w:w="161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21.65</w:t>
            </w:r>
          </w:p>
        </w:tc>
        <w:tc>
          <w:tcPr>
            <w:tcW w:w="169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17.31</w:t>
            </w:r>
          </w:p>
        </w:tc>
        <w:tc>
          <w:tcPr>
            <w:tcW w:w="177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4.34</w:t>
            </w:r>
          </w:p>
        </w:tc>
      </w:tr>
      <w:tr>
        <w:tblPrEx>
          <w:tblCellMar>
            <w:top w:w="0" w:type="dxa"/>
            <w:left w:w="108" w:type="dxa"/>
            <w:bottom w:w="0" w:type="dxa"/>
            <w:right w:w="108" w:type="dxa"/>
          </w:tblCellMar>
        </w:tblPrEx>
        <w:trPr>
          <w:trHeight w:val="357" w:hRule="atLeast"/>
          <w:jc w:val="center"/>
        </w:trPr>
        <w:tc>
          <w:tcPr>
            <w:tcW w:w="152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1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95%</w:t>
            </w:r>
          </w:p>
        </w:tc>
        <w:tc>
          <w:tcPr>
            <w:tcW w:w="161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30.34</w:t>
            </w:r>
          </w:p>
        </w:tc>
        <w:tc>
          <w:tcPr>
            <w:tcW w:w="169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16.23</w:t>
            </w:r>
          </w:p>
        </w:tc>
        <w:tc>
          <w:tcPr>
            <w:tcW w:w="177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14.11</w:t>
            </w:r>
          </w:p>
        </w:tc>
      </w:tr>
      <w:tr>
        <w:tblPrEx>
          <w:tblCellMar>
            <w:top w:w="0" w:type="dxa"/>
            <w:left w:w="108" w:type="dxa"/>
            <w:bottom w:w="0" w:type="dxa"/>
            <w:right w:w="108" w:type="dxa"/>
          </w:tblCellMar>
        </w:tblPrEx>
        <w:trPr>
          <w:trHeight w:val="357" w:hRule="atLeast"/>
          <w:jc w:val="center"/>
        </w:trPr>
        <w:tc>
          <w:tcPr>
            <w:tcW w:w="1529"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2020年</w:t>
            </w:r>
          </w:p>
        </w:tc>
        <w:tc>
          <w:tcPr>
            <w:tcW w:w="161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多年平均</w:t>
            </w:r>
          </w:p>
        </w:tc>
        <w:tc>
          <w:tcPr>
            <w:tcW w:w="161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20.97</w:t>
            </w:r>
          </w:p>
        </w:tc>
        <w:tc>
          <w:tcPr>
            <w:tcW w:w="169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20.58</w:t>
            </w:r>
          </w:p>
        </w:tc>
        <w:tc>
          <w:tcPr>
            <w:tcW w:w="177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0.39</w:t>
            </w:r>
          </w:p>
        </w:tc>
      </w:tr>
      <w:tr>
        <w:tblPrEx>
          <w:tblCellMar>
            <w:top w:w="0" w:type="dxa"/>
            <w:left w:w="108" w:type="dxa"/>
            <w:bottom w:w="0" w:type="dxa"/>
            <w:right w:w="108" w:type="dxa"/>
          </w:tblCellMar>
        </w:tblPrEx>
        <w:trPr>
          <w:trHeight w:val="357" w:hRule="atLeast"/>
          <w:jc w:val="center"/>
        </w:trPr>
        <w:tc>
          <w:tcPr>
            <w:tcW w:w="152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1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50%</w:t>
            </w:r>
          </w:p>
        </w:tc>
        <w:tc>
          <w:tcPr>
            <w:tcW w:w="161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18.64</w:t>
            </w:r>
          </w:p>
        </w:tc>
        <w:tc>
          <w:tcPr>
            <w:tcW w:w="169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18.64</w:t>
            </w:r>
          </w:p>
        </w:tc>
        <w:tc>
          <w:tcPr>
            <w:tcW w:w="177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r>
      <w:tr>
        <w:tblPrEx>
          <w:tblCellMar>
            <w:top w:w="0" w:type="dxa"/>
            <w:left w:w="108" w:type="dxa"/>
            <w:bottom w:w="0" w:type="dxa"/>
            <w:right w:w="108" w:type="dxa"/>
          </w:tblCellMar>
        </w:tblPrEx>
        <w:trPr>
          <w:trHeight w:val="357" w:hRule="atLeast"/>
          <w:jc w:val="center"/>
        </w:trPr>
        <w:tc>
          <w:tcPr>
            <w:tcW w:w="152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1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75%</w:t>
            </w:r>
          </w:p>
        </w:tc>
        <w:tc>
          <w:tcPr>
            <w:tcW w:w="161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23.52</w:t>
            </w:r>
          </w:p>
        </w:tc>
        <w:tc>
          <w:tcPr>
            <w:tcW w:w="169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19.99</w:t>
            </w:r>
          </w:p>
        </w:tc>
        <w:tc>
          <w:tcPr>
            <w:tcW w:w="177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3.53</w:t>
            </w:r>
          </w:p>
        </w:tc>
      </w:tr>
      <w:tr>
        <w:tblPrEx>
          <w:tblCellMar>
            <w:top w:w="0" w:type="dxa"/>
            <w:left w:w="108" w:type="dxa"/>
            <w:bottom w:w="0" w:type="dxa"/>
            <w:right w:w="108" w:type="dxa"/>
          </w:tblCellMar>
        </w:tblPrEx>
        <w:trPr>
          <w:trHeight w:val="357" w:hRule="atLeast"/>
          <w:jc w:val="center"/>
        </w:trPr>
        <w:tc>
          <w:tcPr>
            <w:tcW w:w="152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1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95%</w:t>
            </w:r>
          </w:p>
        </w:tc>
        <w:tc>
          <w:tcPr>
            <w:tcW w:w="161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32.30</w:t>
            </w:r>
          </w:p>
        </w:tc>
        <w:tc>
          <w:tcPr>
            <w:tcW w:w="169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18.53</w:t>
            </w:r>
          </w:p>
        </w:tc>
        <w:tc>
          <w:tcPr>
            <w:tcW w:w="177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13.77</w:t>
            </w:r>
          </w:p>
        </w:tc>
      </w:tr>
      <w:tr>
        <w:tblPrEx>
          <w:tblCellMar>
            <w:top w:w="0" w:type="dxa"/>
            <w:left w:w="108" w:type="dxa"/>
            <w:bottom w:w="0" w:type="dxa"/>
            <w:right w:w="108" w:type="dxa"/>
          </w:tblCellMar>
        </w:tblPrEx>
        <w:trPr>
          <w:trHeight w:val="357" w:hRule="atLeast"/>
          <w:jc w:val="center"/>
        </w:trPr>
        <w:tc>
          <w:tcPr>
            <w:tcW w:w="1529"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2030年</w:t>
            </w:r>
          </w:p>
        </w:tc>
        <w:tc>
          <w:tcPr>
            <w:tcW w:w="161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多年平均</w:t>
            </w:r>
          </w:p>
        </w:tc>
        <w:tc>
          <w:tcPr>
            <w:tcW w:w="161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21.91</w:t>
            </w:r>
          </w:p>
        </w:tc>
        <w:tc>
          <w:tcPr>
            <w:tcW w:w="169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21.67</w:t>
            </w:r>
          </w:p>
        </w:tc>
        <w:tc>
          <w:tcPr>
            <w:tcW w:w="177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0.24</w:t>
            </w:r>
          </w:p>
        </w:tc>
      </w:tr>
      <w:tr>
        <w:tblPrEx>
          <w:tblCellMar>
            <w:top w:w="0" w:type="dxa"/>
            <w:left w:w="108" w:type="dxa"/>
            <w:bottom w:w="0" w:type="dxa"/>
            <w:right w:w="108" w:type="dxa"/>
          </w:tblCellMar>
        </w:tblPrEx>
        <w:trPr>
          <w:trHeight w:val="357" w:hRule="atLeast"/>
          <w:jc w:val="center"/>
        </w:trPr>
        <w:tc>
          <w:tcPr>
            <w:tcW w:w="152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1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50%</w:t>
            </w:r>
          </w:p>
        </w:tc>
        <w:tc>
          <w:tcPr>
            <w:tcW w:w="161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19.75</w:t>
            </w:r>
          </w:p>
        </w:tc>
        <w:tc>
          <w:tcPr>
            <w:tcW w:w="169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19.75</w:t>
            </w:r>
          </w:p>
        </w:tc>
        <w:tc>
          <w:tcPr>
            <w:tcW w:w="177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r>
      <w:tr>
        <w:tblPrEx>
          <w:tblCellMar>
            <w:top w:w="0" w:type="dxa"/>
            <w:left w:w="108" w:type="dxa"/>
            <w:bottom w:w="0" w:type="dxa"/>
            <w:right w:w="108" w:type="dxa"/>
          </w:tblCellMar>
        </w:tblPrEx>
        <w:trPr>
          <w:trHeight w:val="357" w:hRule="atLeast"/>
          <w:jc w:val="center"/>
        </w:trPr>
        <w:tc>
          <w:tcPr>
            <w:tcW w:w="152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1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75%</w:t>
            </w:r>
          </w:p>
        </w:tc>
        <w:tc>
          <w:tcPr>
            <w:tcW w:w="161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24.44</w:t>
            </w:r>
          </w:p>
        </w:tc>
        <w:tc>
          <w:tcPr>
            <w:tcW w:w="169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24.44</w:t>
            </w:r>
          </w:p>
        </w:tc>
        <w:tc>
          <w:tcPr>
            <w:tcW w:w="177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r>
      <w:tr>
        <w:tblPrEx>
          <w:tblCellMar>
            <w:top w:w="0" w:type="dxa"/>
            <w:left w:w="108" w:type="dxa"/>
            <w:bottom w:w="0" w:type="dxa"/>
            <w:right w:w="108" w:type="dxa"/>
          </w:tblCellMar>
        </w:tblPrEx>
        <w:trPr>
          <w:trHeight w:val="368" w:hRule="atLeast"/>
          <w:jc w:val="center"/>
        </w:trPr>
        <w:tc>
          <w:tcPr>
            <w:tcW w:w="1529"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1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95%</w:t>
            </w:r>
          </w:p>
        </w:tc>
        <w:tc>
          <w:tcPr>
            <w:tcW w:w="1610"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33.02</w:t>
            </w:r>
          </w:p>
        </w:tc>
        <w:tc>
          <w:tcPr>
            <w:tcW w:w="169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28.16</w:t>
            </w:r>
          </w:p>
        </w:tc>
        <w:tc>
          <w:tcPr>
            <w:tcW w:w="177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4.86</w:t>
            </w:r>
          </w:p>
        </w:tc>
      </w:tr>
    </w:tbl>
    <w:p>
      <w:pPr>
        <w:pageBreakBefore w:val="0"/>
        <w:widowControl w:val="0"/>
        <w:kinsoku/>
        <w:wordWrap/>
        <w:overflowPunct/>
        <w:autoSpaceDE/>
        <w:autoSpaceDN/>
        <w:bidi w:val="0"/>
        <w:spacing w:line="590" w:lineRule="exact"/>
        <w:rPr>
          <w:rFonts w:hint="default" w:ascii="Times New Roman" w:hAnsi="Times New Roman" w:cs="Times New Roman"/>
        </w:rPr>
      </w:pPr>
      <w:bookmarkStart w:id="207" w:name="_Toc312309905"/>
      <w:bookmarkStart w:id="208" w:name="_Toc306734696"/>
    </w:p>
    <w:p>
      <w:pPr>
        <w:pStyle w:val="4"/>
        <w:pageBreakBefore w:val="0"/>
        <w:widowControl w:val="0"/>
        <w:kinsoku/>
        <w:wordWrap/>
        <w:overflowPunct/>
        <w:autoSpaceDE/>
        <w:autoSpaceDN/>
        <w:bidi w:val="0"/>
        <w:spacing w:line="590" w:lineRule="exact"/>
        <w:rPr>
          <w:rFonts w:hint="default" w:ascii="Times New Roman" w:hAnsi="Times New Roman" w:eastAsia="方正黑体_GBK" w:cs="Times New Roman"/>
          <w:b w:val="0"/>
          <w:bCs w:val="0"/>
          <w:sz w:val="32"/>
          <w:szCs w:val="32"/>
        </w:rPr>
      </w:pPr>
      <w:bookmarkStart w:id="209" w:name="_Toc14981"/>
      <w:r>
        <w:rPr>
          <w:rFonts w:hint="default" w:ascii="Times New Roman" w:hAnsi="Times New Roman" w:eastAsia="方正黑体_GBK" w:cs="Times New Roman"/>
          <w:b w:val="0"/>
          <w:bCs w:val="0"/>
          <w:sz w:val="32"/>
          <w:szCs w:val="36"/>
        </w:rPr>
        <w:t>第二节  水资源总体配置</w:t>
      </w:r>
      <w:bookmarkEnd w:id="207"/>
      <w:bookmarkEnd w:id="208"/>
      <w:bookmarkEnd w:id="209"/>
    </w:p>
    <w:p>
      <w:pPr>
        <w:pStyle w:val="5"/>
        <w:pageBreakBefore w:val="0"/>
        <w:widowControl w:val="0"/>
        <w:kinsoku/>
        <w:wordWrap/>
        <w:overflowPunct/>
        <w:autoSpaceDE/>
        <w:autoSpaceDN/>
        <w:bidi w:val="0"/>
        <w:spacing w:line="590" w:lineRule="exact"/>
        <w:ind w:firstLine="568"/>
        <w:rPr>
          <w:rFonts w:hint="eastAsia" w:ascii="方正楷体_GBK" w:hAnsi="方正楷体_GBK" w:eastAsia="方正楷体_GBK" w:cs="方正楷体_GBK"/>
          <w:b w:val="0"/>
          <w:bCs w:val="0"/>
          <w:sz w:val="32"/>
          <w:szCs w:val="32"/>
        </w:rPr>
      </w:pPr>
      <w:bookmarkStart w:id="210" w:name="_Toc312309906"/>
      <w:bookmarkStart w:id="211" w:name="_Toc306734697"/>
      <w:bookmarkStart w:id="212" w:name="_Toc25777"/>
      <w:r>
        <w:rPr>
          <w:rFonts w:hint="eastAsia" w:ascii="方正楷体_GBK" w:hAnsi="方正楷体_GBK" w:eastAsia="方正楷体_GBK" w:cs="方正楷体_GBK"/>
          <w:b w:val="0"/>
          <w:bCs w:val="0"/>
          <w:sz w:val="32"/>
          <w:szCs w:val="32"/>
        </w:rPr>
        <w:t>一、水资源配置原则和目标</w:t>
      </w:r>
      <w:bookmarkEnd w:id="210"/>
      <w:bookmarkEnd w:id="211"/>
      <w:bookmarkEnd w:id="212"/>
    </w:p>
    <w:p>
      <w:pPr>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（1）配置原则</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水资源合理配置应遵循以下原则。</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① 公平公正原则</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保障城乡居民都享有饮水安全，生产用水以及良好人居环境的基本权利；考虑区域水资源状况和经济社会及生态环境特点，公平合理处理区域之间水资源权益关系，承担水资源保护的义务。</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② 统筹协调的原则</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统筹协调经济社会发展与生态环境保护对水资源的要求，合理调配生活、生产和生态用水；统筹兼顾现状用水情况和未来用水要求，并适度留有余地，保障水资源可持续利用。</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③ 高效持续可利用原则</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按照节水、治污、减排的要求，“节水优先、优水优用、充分利用再生水和矿排水等非常规水、高效利用外调水”的原则，合理调配水资源，提高水资源利用水平和利用效率，统筹水资源利用的经济效益、社会效益和生态效益的关系，发挥水资源的多种功能。</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④ 综合平衡原则</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协调和平衡各地区对水资源的需求量不超过流域水资源可利用量，控制污染物入河总量不超过其纳污能力，生态环境用水量不低于生态环境需水量。</w:t>
      </w:r>
    </w:p>
    <w:p>
      <w:pPr>
        <w:pStyle w:val="2"/>
        <w:pageBreakBefore w:val="0"/>
        <w:widowControl w:val="0"/>
        <w:kinsoku/>
        <w:wordWrap/>
        <w:overflowPunct/>
        <w:autoSpaceDE/>
        <w:autoSpaceDN/>
        <w:bidi w:val="0"/>
        <w:spacing w:line="590" w:lineRule="exact"/>
        <w:ind w:firstLine="488"/>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⑤</w:t>
      </w:r>
      <w:r>
        <w:rPr>
          <w:rFonts w:hint="default" w:ascii="Times New Roman" w:hAnsi="Times New Roman" w:eastAsia="方正仿宋_GBK" w:cs="Times New Roman"/>
          <w:b w:val="0"/>
          <w:bCs/>
          <w:sz w:val="32"/>
          <w:szCs w:val="32"/>
          <w:lang w:val="en-US" w:eastAsia="zh-CN"/>
        </w:rPr>
        <w:t>特殊干旱期应急供水原则</w:t>
      </w:r>
    </w:p>
    <w:p>
      <w:pPr>
        <w:pStyle w:val="2"/>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在发生特殊干旱期时应优先满足生活用水的原则，其次满足工业和农业用水。</w:t>
      </w:r>
    </w:p>
    <w:p>
      <w:pPr>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（2）配置目标</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淮南市水资源合理配置具体目标如下：</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2020年，以确保城乡居民生活用水和工业用水的需求为前提，在增加利用淠河灌区向山南新区供水同时，充分利用瓦埠湖和西淝河及采煤沉陷区蓄水，加大对淮河干流水资源的利用，并鼓励矿坑水和再生水等非常规水源利用，保障全市多年平均条件下水资源配置量在20.58亿m³左右；在一定程度上保证河道最小生态流量。</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2030年，以确保城乡居民生活用水和工业用水的需求为前提，在2020年基础上增加利用引江济淮工程水源，水资源配置总量在21.91亿m³左右；并在2020年基础上，将适当调整利用当地地表水资源及过境水资源，改正不合理用水，切实保障区域内河道生态环境及淮河干流河道的的生态用水量。</w:t>
      </w:r>
    </w:p>
    <w:p>
      <w:pPr>
        <w:pStyle w:val="5"/>
        <w:pageBreakBefore w:val="0"/>
        <w:widowControl w:val="0"/>
        <w:kinsoku/>
        <w:wordWrap/>
        <w:overflowPunct/>
        <w:autoSpaceDE/>
        <w:autoSpaceDN/>
        <w:bidi w:val="0"/>
        <w:spacing w:line="590" w:lineRule="exact"/>
        <w:ind w:firstLine="568"/>
        <w:rPr>
          <w:rFonts w:hint="eastAsia" w:ascii="方正楷体_GBK" w:hAnsi="方正楷体_GBK" w:eastAsia="方正楷体_GBK" w:cs="方正楷体_GBK"/>
          <w:b w:val="0"/>
          <w:bCs w:val="0"/>
          <w:sz w:val="32"/>
          <w:szCs w:val="32"/>
        </w:rPr>
      </w:pPr>
      <w:bookmarkStart w:id="213" w:name="_Toc312309907"/>
      <w:bookmarkStart w:id="214" w:name="_Toc306734698"/>
      <w:bookmarkStart w:id="215" w:name="_Toc28671"/>
      <w:r>
        <w:rPr>
          <w:rFonts w:hint="eastAsia" w:ascii="方正楷体_GBK" w:hAnsi="方正楷体_GBK" w:eastAsia="方正楷体_GBK" w:cs="方正楷体_GBK"/>
          <w:b w:val="0"/>
          <w:bCs w:val="0"/>
          <w:sz w:val="32"/>
          <w:szCs w:val="32"/>
        </w:rPr>
        <w:t>二、总体水量配置</w:t>
      </w:r>
      <w:bookmarkEnd w:id="213"/>
      <w:bookmarkEnd w:id="214"/>
      <w:bookmarkEnd w:id="215"/>
    </w:p>
    <w:p>
      <w:pPr>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（1）城乡水量配置</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现状2015年淮南市城镇生活及工业用水量4.48亿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，农村用水量为13.42亿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，城乡用水结构为25.0%、75.0%。按供需分析计，2020年配置城镇用水量（多年平均，下同）为6.48亿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，农村用水配置量为14.11亿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，城乡用水结构进一步调整为31.5%、68.5%。2030年配置城镇用水量较2020年进一步增加，为7.91亿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，农村用水配置量为13.76亿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，城乡用水结构将进一步调整为36.5%、63.5%。</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从上述配置结果可以看出在未来5～15年淮南市随着“两型城市”建设的不断建设，城市需水量呈长期增长趋势，城市配置水量比例在不断上升，农村随着人口减少及农业节水技术的运用，农村用水量呈逐年下降态势。淮南市不同水平年城乡水量配置见表6.2-1。</w:t>
      </w:r>
    </w:p>
    <w:p>
      <w:pPr>
        <w:adjustRightInd w:val="0"/>
        <w:snapToGrid w:val="0"/>
        <w:jc w:val="center"/>
        <w:rPr>
          <w:rFonts w:hint="eastAsia" w:ascii="方正黑体_GBK" w:hAnsi="方正黑体_GBK" w:eastAsia="方正黑体_GBK" w:cs="方正黑体_GBK"/>
          <w:b/>
          <w:bCs/>
          <w:kern w:val="0"/>
          <w:sz w:val="24"/>
        </w:rPr>
      </w:pPr>
      <w:r>
        <w:rPr>
          <w:rFonts w:hint="eastAsia" w:ascii="方正黑体_GBK" w:hAnsi="方正黑体_GBK" w:eastAsia="方正黑体_GBK" w:cs="方正黑体_GBK"/>
          <w:b/>
          <w:bCs/>
          <w:kern w:val="0"/>
          <w:sz w:val="24"/>
        </w:rPr>
        <w:t>表6.2-1  淮南市各水平年城乡水量配置  单位：亿</w:t>
      </w:r>
      <w:r>
        <w:rPr>
          <w:rFonts w:hint="eastAsia" w:ascii="方正黑体_GBK" w:hAnsi="方正黑体_GBK" w:eastAsia="方正黑体_GBK" w:cs="方正黑体_GBK"/>
          <w:b/>
          <w:bCs/>
          <w:kern w:val="0"/>
          <w:sz w:val="24"/>
          <w:lang w:eastAsia="zh-CN"/>
        </w:rPr>
        <w:t>m³</w:t>
      </w:r>
      <w:r>
        <w:rPr>
          <w:rFonts w:hint="eastAsia" w:ascii="方正黑体_GBK" w:hAnsi="方正黑体_GBK" w:eastAsia="方正黑体_GBK" w:cs="方正黑体_GBK"/>
          <w:b/>
          <w:bCs/>
          <w:kern w:val="0"/>
          <w:sz w:val="24"/>
        </w:rPr>
        <w:t xml:space="preserve"> </w:t>
      </w:r>
    </w:p>
    <w:tbl>
      <w:tblPr>
        <w:tblStyle w:val="12"/>
        <w:tblW w:w="0" w:type="auto"/>
        <w:jc w:val="center"/>
        <w:tblLayout w:type="fixed"/>
        <w:tblCellMar>
          <w:top w:w="0" w:type="dxa"/>
          <w:left w:w="108" w:type="dxa"/>
          <w:bottom w:w="0" w:type="dxa"/>
          <w:right w:w="108" w:type="dxa"/>
        </w:tblCellMar>
      </w:tblPr>
      <w:tblGrid>
        <w:gridCol w:w="842"/>
        <w:gridCol w:w="797"/>
        <w:gridCol w:w="1643"/>
        <w:gridCol w:w="1257"/>
        <w:gridCol w:w="1055"/>
        <w:gridCol w:w="1303"/>
        <w:gridCol w:w="1081"/>
        <w:gridCol w:w="1362"/>
      </w:tblGrid>
      <w:tr>
        <w:tblPrEx>
          <w:tblCellMar>
            <w:top w:w="0" w:type="dxa"/>
            <w:left w:w="108" w:type="dxa"/>
            <w:bottom w:w="0" w:type="dxa"/>
            <w:right w:w="108" w:type="dxa"/>
          </w:tblCellMar>
        </w:tblPrEx>
        <w:trPr>
          <w:trHeight w:val="90" w:hRule="atLeast"/>
          <w:jc w:val="center"/>
        </w:trPr>
        <w:tc>
          <w:tcPr>
            <w:tcW w:w="842"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水平年</w:t>
            </w:r>
          </w:p>
        </w:tc>
        <w:tc>
          <w:tcPr>
            <w:tcW w:w="2440"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计算分区</w:t>
            </w:r>
          </w:p>
        </w:tc>
        <w:tc>
          <w:tcPr>
            <w:tcW w:w="2312" w:type="dxa"/>
            <w:gridSpan w:val="2"/>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城镇</w:t>
            </w:r>
          </w:p>
        </w:tc>
        <w:tc>
          <w:tcPr>
            <w:tcW w:w="2384" w:type="dxa"/>
            <w:gridSpan w:val="2"/>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农村</w:t>
            </w:r>
          </w:p>
        </w:tc>
        <w:tc>
          <w:tcPr>
            <w:tcW w:w="1362"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合计</w:t>
            </w:r>
          </w:p>
        </w:tc>
      </w:tr>
      <w:tr>
        <w:tblPrEx>
          <w:tblCellMar>
            <w:top w:w="0" w:type="dxa"/>
            <w:left w:w="108" w:type="dxa"/>
            <w:bottom w:w="0" w:type="dxa"/>
            <w:right w:w="108" w:type="dxa"/>
          </w:tblCellMar>
        </w:tblPrEx>
        <w:trPr>
          <w:trHeight w:val="90" w:hRule="atLeast"/>
          <w:jc w:val="center"/>
        </w:trPr>
        <w:tc>
          <w:tcPr>
            <w:tcW w:w="84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244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257"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配置水量</w:t>
            </w:r>
          </w:p>
        </w:tc>
        <w:tc>
          <w:tcPr>
            <w:tcW w:w="105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占比%</w:t>
            </w:r>
          </w:p>
        </w:tc>
        <w:tc>
          <w:tcPr>
            <w:tcW w:w="130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配置水量</w:t>
            </w:r>
          </w:p>
        </w:tc>
        <w:tc>
          <w:tcPr>
            <w:tcW w:w="1081"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占比%</w:t>
            </w:r>
          </w:p>
        </w:tc>
        <w:tc>
          <w:tcPr>
            <w:tcW w:w="136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r>
      <w:tr>
        <w:tblPrEx>
          <w:tblCellMar>
            <w:top w:w="0" w:type="dxa"/>
            <w:left w:w="108" w:type="dxa"/>
            <w:bottom w:w="0" w:type="dxa"/>
            <w:right w:w="108" w:type="dxa"/>
          </w:tblCellMar>
        </w:tblPrEx>
        <w:trPr>
          <w:trHeight w:val="90" w:hRule="atLeast"/>
          <w:jc w:val="center"/>
        </w:trPr>
        <w:tc>
          <w:tcPr>
            <w:tcW w:w="842"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2015</w:t>
            </w:r>
          </w:p>
        </w:tc>
        <w:tc>
          <w:tcPr>
            <w:tcW w:w="797"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64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257"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2.06 </w:t>
            </w:r>
          </w:p>
        </w:tc>
        <w:tc>
          <w:tcPr>
            <w:tcW w:w="1055"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28.0</w:t>
            </w:r>
          </w:p>
        </w:tc>
        <w:tc>
          <w:tcPr>
            <w:tcW w:w="1303"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5.30</w:t>
            </w:r>
          </w:p>
        </w:tc>
        <w:tc>
          <w:tcPr>
            <w:tcW w:w="1081"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72.0</w:t>
            </w:r>
          </w:p>
        </w:tc>
        <w:tc>
          <w:tcPr>
            <w:tcW w:w="1362"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7.36</w:t>
            </w:r>
          </w:p>
        </w:tc>
      </w:tr>
      <w:tr>
        <w:tblPrEx>
          <w:tblCellMar>
            <w:top w:w="0" w:type="dxa"/>
            <w:left w:w="108" w:type="dxa"/>
            <w:bottom w:w="0" w:type="dxa"/>
            <w:right w:w="108" w:type="dxa"/>
          </w:tblCellMar>
        </w:tblPrEx>
        <w:trPr>
          <w:trHeight w:val="90" w:hRule="atLeast"/>
          <w:jc w:val="center"/>
        </w:trPr>
        <w:tc>
          <w:tcPr>
            <w:tcW w:w="84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797"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4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257"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2.42 </w:t>
            </w:r>
          </w:p>
        </w:tc>
        <w:tc>
          <w:tcPr>
            <w:tcW w:w="1055"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23.0</w:t>
            </w:r>
          </w:p>
        </w:tc>
        <w:tc>
          <w:tcPr>
            <w:tcW w:w="1303"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8.12</w:t>
            </w:r>
          </w:p>
        </w:tc>
        <w:tc>
          <w:tcPr>
            <w:tcW w:w="1081"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77.0</w:t>
            </w:r>
          </w:p>
        </w:tc>
        <w:tc>
          <w:tcPr>
            <w:tcW w:w="1362"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10.54</w:t>
            </w:r>
          </w:p>
        </w:tc>
      </w:tr>
      <w:tr>
        <w:tblPrEx>
          <w:tblCellMar>
            <w:top w:w="0" w:type="dxa"/>
            <w:left w:w="108" w:type="dxa"/>
            <w:bottom w:w="0" w:type="dxa"/>
            <w:right w:w="108" w:type="dxa"/>
          </w:tblCellMar>
        </w:tblPrEx>
        <w:trPr>
          <w:trHeight w:val="90" w:hRule="atLeast"/>
          <w:jc w:val="center"/>
        </w:trPr>
        <w:tc>
          <w:tcPr>
            <w:tcW w:w="84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797"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4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257"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4.48 </w:t>
            </w:r>
          </w:p>
        </w:tc>
        <w:tc>
          <w:tcPr>
            <w:tcW w:w="1055"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25.0</w:t>
            </w:r>
          </w:p>
        </w:tc>
        <w:tc>
          <w:tcPr>
            <w:tcW w:w="1303"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13.42 </w:t>
            </w:r>
          </w:p>
        </w:tc>
        <w:tc>
          <w:tcPr>
            <w:tcW w:w="1081"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75.0</w:t>
            </w:r>
          </w:p>
        </w:tc>
        <w:tc>
          <w:tcPr>
            <w:tcW w:w="1362"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17.90 </w:t>
            </w:r>
          </w:p>
        </w:tc>
      </w:tr>
      <w:tr>
        <w:tblPrEx>
          <w:tblCellMar>
            <w:top w:w="0" w:type="dxa"/>
            <w:left w:w="108" w:type="dxa"/>
            <w:bottom w:w="0" w:type="dxa"/>
            <w:right w:w="108" w:type="dxa"/>
          </w:tblCellMar>
        </w:tblPrEx>
        <w:trPr>
          <w:trHeight w:val="90" w:hRule="atLeast"/>
          <w:jc w:val="center"/>
        </w:trPr>
        <w:tc>
          <w:tcPr>
            <w:tcW w:w="84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797"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4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257"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1.91 </w:t>
            </w:r>
          </w:p>
        </w:tc>
        <w:tc>
          <w:tcPr>
            <w:tcW w:w="1055"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49.6</w:t>
            </w:r>
          </w:p>
        </w:tc>
        <w:tc>
          <w:tcPr>
            <w:tcW w:w="1303"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1.94</w:t>
            </w:r>
          </w:p>
        </w:tc>
        <w:tc>
          <w:tcPr>
            <w:tcW w:w="1081"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50.4</w:t>
            </w:r>
          </w:p>
        </w:tc>
        <w:tc>
          <w:tcPr>
            <w:tcW w:w="1362"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3.85</w:t>
            </w:r>
          </w:p>
        </w:tc>
      </w:tr>
      <w:tr>
        <w:tblPrEx>
          <w:tblCellMar>
            <w:top w:w="0" w:type="dxa"/>
            <w:left w:w="108" w:type="dxa"/>
            <w:bottom w:w="0" w:type="dxa"/>
            <w:right w:w="108" w:type="dxa"/>
          </w:tblCellMar>
        </w:tblPrEx>
        <w:trPr>
          <w:trHeight w:val="90" w:hRule="atLeast"/>
          <w:jc w:val="center"/>
        </w:trPr>
        <w:tc>
          <w:tcPr>
            <w:tcW w:w="84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797"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4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257"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0.90 </w:t>
            </w:r>
          </w:p>
        </w:tc>
        <w:tc>
          <w:tcPr>
            <w:tcW w:w="1055"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30.5</w:t>
            </w:r>
          </w:p>
        </w:tc>
        <w:tc>
          <w:tcPr>
            <w:tcW w:w="1303"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2.06</w:t>
            </w:r>
          </w:p>
        </w:tc>
        <w:tc>
          <w:tcPr>
            <w:tcW w:w="1081"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69.5</w:t>
            </w:r>
          </w:p>
        </w:tc>
        <w:tc>
          <w:tcPr>
            <w:tcW w:w="1362"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2.96</w:t>
            </w:r>
          </w:p>
        </w:tc>
      </w:tr>
      <w:tr>
        <w:tblPrEx>
          <w:tblCellMar>
            <w:top w:w="0" w:type="dxa"/>
            <w:left w:w="108" w:type="dxa"/>
            <w:bottom w:w="0" w:type="dxa"/>
            <w:right w:w="108" w:type="dxa"/>
          </w:tblCellMar>
        </w:tblPrEx>
        <w:trPr>
          <w:trHeight w:val="90" w:hRule="atLeast"/>
          <w:jc w:val="center"/>
        </w:trPr>
        <w:tc>
          <w:tcPr>
            <w:tcW w:w="84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797"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4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257"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1.16 </w:t>
            </w:r>
          </w:p>
        </w:tc>
        <w:tc>
          <w:tcPr>
            <w:tcW w:w="1055"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26.4</w:t>
            </w:r>
          </w:p>
        </w:tc>
        <w:tc>
          <w:tcPr>
            <w:tcW w:w="1303"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3.25</w:t>
            </w:r>
          </w:p>
        </w:tc>
        <w:tc>
          <w:tcPr>
            <w:tcW w:w="1081"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73.6</w:t>
            </w:r>
          </w:p>
        </w:tc>
        <w:tc>
          <w:tcPr>
            <w:tcW w:w="1362"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4.41</w:t>
            </w:r>
          </w:p>
        </w:tc>
      </w:tr>
      <w:tr>
        <w:tblPrEx>
          <w:tblCellMar>
            <w:top w:w="0" w:type="dxa"/>
            <w:left w:w="108" w:type="dxa"/>
            <w:bottom w:w="0" w:type="dxa"/>
            <w:right w:w="108" w:type="dxa"/>
          </w:tblCellMar>
        </w:tblPrEx>
        <w:trPr>
          <w:trHeight w:val="90" w:hRule="atLeast"/>
          <w:jc w:val="center"/>
        </w:trPr>
        <w:tc>
          <w:tcPr>
            <w:tcW w:w="84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797"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4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257"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0.50 </w:t>
            </w:r>
          </w:p>
        </w:tc>
        <w:tc>
          <w:tcPr>
            <w:tcW w:w="1055"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7.5</w:t>
            </w:r>
          </w:p>
        </w:tc>
        <w:tc>
          <w:tcPr>
            <w:tcW w:w="1303"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6.18</w:t>
            </w:r>
          </w:p>
        </w:tc>
        <w:tc>
          <w:tcPr>
            <w:tcW w:w="1081"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92.5</w:t>
            </w:r>
          </w:p>
        </w:tc>
        <w:tc>
          <w:tcPr>
            <w:tcW w:w="1362"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6.68</w:t>
            </w:r>
          </w:p>
        </w:tc>
      </w:tr>
      <w:tr>
        <w:tblPrEx>
          <w:tblCellMar>
            <w:top w:w="0" w:type="dxa"/>
            <w:left w:w="108" w:type="dxa"/>
            <w:bottom w:w="0" w:type="dxa"/>
            <w:right w:w="108" w:type="dxa"/>
          </w:tblCellMar>
        </w:tblPrEx>
        <w:trPr>
          <w:trHeight w:val="90" w:hRule="atLeast"/>
          <w:jc w:val="center"/>
        </w:trPr>
        <w:tc>
          <w:tcPr>
            <w:tcW w:w="84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797"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4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257"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4.48 </w:t>
            </w:r>
          </w:p>
        </w:tc>
        <w:tc>
          <w:tcPr>
            <w:tcW w:w="1055"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25.0</w:t>
            </w:r>
          </w:p>
        </w:tc>
        <w:tc>
          <w:tcPr>
            <w:tcW w:w="1303"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13.42 </w:t>
            </w:r>
          </w:p>
        </w:tc>
        <w:tc>
          <w:tcPr>
            <w:tcW w:w="1081"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75.0</w:t>
            </w:r>
          </w:p>
        </w:tc>
        <w:tc>
          <w:tcPr>
            <w:tcW w:w="1362"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17.90 </w:t>
            </w:r>
          </w:p>
        </w:tc>
      </w:tr>
      <w:tr>
        <w:tblPrEx>
          <w:tblCellMar>
            <w:top w:w="0" w:type="dxa"/>
            <w:left w:w="108" w:type="dxa"/>
            <w:bottom w:w="0" w:type="dxa"/>
            <w:right w:w="108" w:type="dxa"/>
          </w:tblCellMar>
        </w:tblPrEx>
        <w:trPr>
          <w:trHeight w:val="90" w:hRule="atLeast"/>
          <w:jc w:val="center"/>
        </w:trPr>
        <w:tc>
          <w:tcPr>
            <w:tcW w:w="842"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2020</w:t>
            </w:r>
          </w:p>
        </w:tc>
        <w:tc>
          <w:tcPr>
            <w:tcW w:w="797"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64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257"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3.08 </w:t>
            </w:r>
          </w:p>
        </w:tc>
        <w:tc>
          <w:tcPr>
            <w:tcW w:w="1055"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35.0</w:t>
            </w:r>
          </w:p>
        </w:tc>
        <w:tc>
          <w:tcPr>
            <w:tcW w:w="1303"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5.70</w:t>
            </w:r>
          </w:p>
        </w:tc>
        <w:tc>
          <w:tcPr>
            <w:tcW w:w="1081"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65.0</w:t>
            </w:r>
          </w:p>
        </w:tc>
        <w:tc>
          <w:tcPr>
            <w:tcW w:w="1362"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8.78</w:t>
            </w:r>
          </w:p>
        </w:tc>
      </w:tr>
      <w:tr>
        <w:tblPrEx>
          <w:tblCellMar>
            <w:top w:w="0" w:type="dxa"/>
            <w:left w:w="108" w:type="dxa"/>
            <w:bottom w:w="0" w:type="dxa"/>
            <w:right w:w="108" w:type="dxa"/>
          </w:tblCellMar>
        </w:tblPrEx>
        <w:trPr>
          <w:trHeight w:val="90" w:hRule="atLeast"/>
          <w:jc w:val="center"/>
        </w:trPr>
        <w:tc>
          <w:tcPr>
            <w:tcW w:w="84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797"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4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257"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3.40 </w:t>
            </w:r>
          </w:p>
        </w:tc>
        <w:tc>
          <w:tcPr>
            <w:tcW w:w="1055"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28.8</w:t>
            </w:r>
          </w:p>
        </w:tc>
        <w:tc>
          <w:tcPr>
            <w:tcW w:w="1303"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8.40</w:t>
            </w:r>
          </w:p>
        </w:tc>
        <w:tc>
          <w:tcPr>
            <w:tcW w:w="1081"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71.2</w:t>
            </w:r>
          </w:p>
        </w:tc>
        <w:tc>
          <w:tcPr>
            <w:tcW w:w="1362"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11.80</w:t>
            </w:r>
          </w:p>
        </w:tc>
      </w:tr>
      <w:tr>
        <w:tblPrEx>
          <w:tblCellMar>
            <w:top w:w="0" w:type="dxa"/>
            <w:left w:w="108" w:type="dxa"/>
            <w:bottom w:w="0" w:type="dxa"/>
            <w:right w:w="108" w:type="dxa"/>
          </w:tblCellMar>
        </w:tblPrEx>
        <w:trPr>
          <w:trHeight w:val="90" w:hRule="atLeast"/>
          <w:jc w:val="center"/>
        </w:trPr>
        <w:tc>
          <w:tcPr>
            <w:tcW w:w="84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797"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4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257"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6.48 </w:t>
            </w:r>
          </w:p>
        </w:tc>
        <w:tc>
          <w:tcPr>
            <w:tcW w:w="1055"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31.5</w:t>
            </w:r>
          </w:p>
        </w:tc>
        <w:tc>
          <w:tcPr>
            <w:tcW w:w="1303"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14.11 </w:t>
            </w:r>
          </w:p>
        </w:tc>
        <w:tc>
          <w:tcPr>
            <w:tcW w:w="1081"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68.5</w:t>
            </w:r>
          </w:p>
        </w:tc>
        <w:tc>
          <w:tcPr>
            <w:tcW w:w="1362"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20.58 </w:t>
            </w:r>
          </w:p>
        </w:tc>
      </w:tr>
      <w:tr>
        <w:tblPrEx>
          <w:tblCellMar>
            <w:top w:w="0" w:type="dxa"/>
            <w:left w:w="108" w:type="dxa"/>
            <w:bottom w:w="0" w:type="dxa"/>
            <w:right w:w="108" w:type="dxa"/>
          </w:tblCellMar>
        </w:tblPrEx>
        <w:trPr>
          <w:trHeight w:val="90" w:hRule="atLeast"/>
          <w:jc w:val="center"/>
        </w:trPr>
        <w:tc>
          <w:tcPr>
            <w:tcW w:w="84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797"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4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257"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2.68 </w:t>
            </w:r>
          </w:p>
        </w:tc>
        <w:tc>
          <w:tcPr>
            <w:tcW w:w="1055"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56.8</w:t>
            </w:r>
          </w:p>
        </w:tc>
        <w:tc>
          <w:tcPr>
            <w:tcW w:w="1303"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2.04</w:t>
            </w:r>
          </w:p>
        </w:tc>
        <w:tc>
          <w:tcPr>
            <w:tcW w:w="1081"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43.2</w:t>
            </w:r>
          </w:p>
        </w:tc>
        <w:tc>
          <w:tcPr>
            <w:tcW w:w="1362"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4.71</w:t>
            </w:r>
          </w:p>
        </w:tc>
      </w:tr>
      <w:tr>
        <w:tblPrEx>
          <w:tblCellMar>
            <w:top w:w="0" w:type="dxa"/>
            <w:left w:w="108" w:type="dxa"/>
            <w:bottom w:w="0" w:type="dxa"/>
            <w:right w:w="108" w:type="dxa"/>
          </w:tblCellMar>
        </w:tblPrEx>
        <w:trPr>
          <w:trHeight w:val="90" w:hRule="atLeast"/>
          <w:jc w:val="center"/>
        </w:trPr>
        <w:tc>
          <w:tcPr>
            <w:tcW w:w="84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797"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4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257"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1.35 </w:t>
            </w:r>
          </w:p>
        </w:tc>
        <w:tc>
          <w:tcPr>
            <w:tcW w:w="1055"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37.9</w:t>
            </w:r>
          </w:p>
        </w:tc>
        <w:tc>
          <w:tcPr>
            <w:tcW w:w="1303"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2.22</w:t>
            </w:r>
          </w:p>
        </w:tc>
        <w:tc>
          <w:tcPr>
            <w:tcW w:w="1081"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62.1</w:t>
            </w:r>
          </w:p>
        </w:tc>
        <w:tc>
          <w:tcPr>
            <w:tcW w:w="1362"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3.58</w:t>
            </w:r>
          </w:p>
        </w:tc>
      </w:tr>
      <w:tr>
        <w:tblPrEx>
          <w:tblCellMar>
            <w:top w:w="0" w:type="dxa"/>
            <w:left w:w="108" w:type="dxa"/>
            <w:bottom w:w="0" w:type="dxa"/>
            <w:right w:w="108" w:type="dxa"/>
          </w:tblCellMar>
        </w:tblPrEx>
        <w:trPr>
          <w:trHeight w:val="90" w:hRule="atLeast"/>
          <w:jc w:val="center"/>
        </w:trPr>
        <w:tc>
          <w:tcPr>
            <w:tcW w:w="84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797"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4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257"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1.76 </w:t>
            </w:r>
          </w:p>
        </w:tc>
        <w:tc>
          <w:tcPr>
            <w:tcW w:w="1055"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33.6</w:t>
            </w:r>
          </w:p>
        </w:tc>
        <w:tc>
          <w:tcPr>
            <w:tcW w:w="1303"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3.48</w:t>
            </w:r>
          </w:p>
        </w:tc>
        <w:tc>
          <w:tcPr>
            <w:tcW w:w="1081"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66.4</w:t>
            </w:r>
          </w:p>
        </w:tc>
        <w:tc>
          <w:tcPr>
            <w:tcW w:w="1362"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5.25</w:t>
            </w:r>
          </w:p>
        </w:tc>
      </w:tr>
      <w:tr>
        <w:tblPrEx>
          <w:tblCellMar>
            <w:top w:w="0" w:type="dxa"/>
            <w:left w:w="108" w:type="dxa"/>
            <w:bottom w:w="0" w:type="dxa"/>
            <w:right w:w="108" w:type="dxa"/>
          </w:tblCellMar>
        </w:tblPrEx>
        <w:trPr>
          <w:trHeight w:val="90" w:hRule="atLeast"/>
          <w:jc w:val="center"/>
        </w:trPr>
        <w:tc>
          <w:tcPr>
            <w:tcW w:w="84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797"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4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257"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0.68 </w:t>
            </w:r>
          </w:p>
        </w:tc>
        <w:tc>
          <w:tcPr>
            <w:tcW w:w="1055"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9.7</w:t>
            </w:r>
          </w:p>
        </w:tc>
        <w:tc>
          <w:tcPr>
            <w:tcW w:w="1303"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6.37</w:t>
            </w:r>
          </w:p>
        </w:tc>
        <w:tc>
          <w:tcPr>
            <w:tcW w:w="1081"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90.3</w:t>
            </w:r>
          </w:p>
        </w:tc>
        <w:tc>
          <w:tcPr>
            <w:tcW w:w="1362"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7.05</w:t>
            </w:r>
          </w:p>
        </w:tc>
      </w:tr>
      <w:tr>
        <w:tblPrEx>
          <w:tblCellMar>
            <w:top w:w="0" w:type="dxa"/>
            <w:left w:w="108" w:type="dxa"/>
            <w:bottom w:w="0" w:type="dxa"/>
            <w:right w:w="108" w:type="dxa"/>
          </w:tblCellMar>
        </w:tblPrEx>
        <w:trPr>
          <w:trHeight w:val="90" w:hRule="atLeast"/>
          <w:jc w:val="center"/>
        </w:trPr>
        <w:tc>
          <w:tcPr>
            <w:tcW w:w="84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797"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4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257"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6.48 </w:t>
            </w:r>
          </w:p>
        </w:tc>
        <w:tc>
          <w:tcPr>
            <w:tcW w:w="1055"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31.5</w:t>
            </w:r>
          </w:p>
        </w:tc>
        <w:tc>
          <w:tcPr>
            <w:tcW w:w="1303"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14.10 </w:t>
            </w:r>
          </w:p>
        </w:tc>
        <w:tc>
          <w:tcPr>
            <w:tcW w:w="1081"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68.5</w:t>
            </w:r>
          </w:p>
        </w:tc>
        <w:tc>
          <w:tcPr>
            <w:tcW w:w="1362"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20.58 </w:t>
            </w:r>
          </w:p>
        </w:tc>
      </w:tr>
      <w:tr>
        <w:tblPrEx>
          <w:tblCellMar>
            <w:top w:w="0" w:type="dxa"/>
            <w:left w:w="108" w:type="dxa"/>
            <w:bottom w:w="0" w:type="dxa"/>
            <w:right w:w="108" w:type="dxa"/>
          </w:tblCellMar>
        </w:tblPrEx>
        <w:trPr>
          <w:trHeight w:val="90" w:hRule="atLeast"/>
          <w:jc w:val="center"/>
        </w:trPr>
        <w:tc>
          <w:tcPr>
            <w:tcW w:w="842"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2030</w:t>
            </w:r>
          </w:p>
        </w:tc>
        <w:tc>
          <w:tcPr>
            <w:tcW w:w="797"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64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257"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3.86 </w:t>
            </w:r>
          </w:p>
        </w:tc>
        <w:tc>
          <w:tcPr>
            <w:tcW w:w="1055"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40.7</w:t>
            </w:r>
          </w:p>
        </w:tc>
        <w:tc>
          <w:tcPr>
            <w:tcW w:w="1303"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5.62</w:t>
            </w:r>
          </w:p>
        </w:tc>
        <w:tc>
          <w:tcPr>
            <w:tcW w:w="1081"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59.3</w:t>
            </w:r>
          </w:p>
        </w:tc>
        <w:tc>
          <w:tcPr>
            <w:tcW w:w="1362"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9.49</w:t>
            </w:r>
          </w:p>
        </w:tc>
      </w:tr>
      <w:tr>
        <w:tblPrEx>
          <w:tblCellMar>
            <w:top w:w="0" w:type="dxa"/>
            <w:left w:w="108" w:type="dxa"/>
            <w:bottom w:w="0" w:type="dxa"/>
            <w:right w:w="108" w:type="dxa"/>
          </w:tblCellMar>
        </w:tblPrEx>
        <w:trPr>
          <w:trHeight w:val="90" w:hRule="atLeast"/>
          <w:jc w:val="center"/>
        </w:trPr>
        <w:tc>
          <w:tcPr>
            <w:tcW w:w="84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797"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4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257"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4.05 </w:t>
            </w:r>
          </w:p>
        </w:tc>
        <w:tc>
          <w:tcPr>
            <w:tcW w:w="1055"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33.2</w:t>
            </w:r>
          </w:p>
        </w:tc>
        <w:tc>
          <w:tcPr>
            <w:tcW w:w="1303"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8.14</w:t>
            </w:r>
          </w:p>
        </w:tc>
        <w:tc>
          <w:tcPr>
            <w:tcW w:w="1081"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66.8</w:t>
            </w:r>
          </w:p>
        </w:tc>
        <w:tc>
          <w:tcPr>
            <w:tcW w:w="1362"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12.18</w:t>
            </w:r>
          </w:p>
        </w:tc>
      </w:tr>
      <w:tr>
        <w:tblPrEx>
          <w:tblCellMar>
            <w:top w:w="0" w:type="dxa"/>
            <w:left w:w="108" w:type="dxa"/>
            <w:bottom w:w="0" w:type="dxa"/>
            <w:right w:w="108" w:type="dxa"/>
          </w:tblCellMar>
        </w:tblPrEx>
        <w:trPr>
          <w:trHeight w:val="90" w:hRule="atLeast"/>
          <w:jc w:val="center"/>
        </w:trPr>
        <w:tc>
          <w:tcPr>
            <w:tcW w:w="84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797"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4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257"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7.91 </w:t>
            </w:r>
          </w:p>
        </w:tc>
        <w:tc>
          <w:tcPr>
            <w:tcW w:w="1055"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36.5</w:t>
            </w:r>
          </w:p>
        </w:tc>
        <w:tc>
          <w:tcPr>
            <w:tcW w:w="1303"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13.76 </w:t>
            </w:r>
          </w:p>
        </w:tc>
        <w:tc>
          <w:tcPr>
            <w:tcW w:w="1081"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63.5</w:t>
            </w:r>
          </w:p>
        </w:tc>
        <w:tc>
          <w:tcPr>
            <w:tcW w:w="1362"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21.67 </w:t>
            </w:r>
          </w:p>
        </w:tc>
      </w:tr>
      <w:tr>
        <w:tblPrEx>
          <w:tblCellMar>
            <w:top w:w="0" w:type="dxa"/>
            <w:left w:w="108" w:type="dxa"/>
            <w:bottom w:w="0" w:type="dxa"/>
            <w:right w:w="108" w:type="dxa"/>
          </w:tblCellMar>
        </w:tblPrEx>
        <w:trPr>
          <w:trHeight w:val="90" w:hRule="atLeast"/>
          <w:jc w:val="center"/>
        </w:trPr>
        <w:tc>
          <w:tcPr>
            <w:tcW w:w="84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797"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4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257"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3.15 </w:t>
            </w:r>
          </w:p>
        </w:tc>
        <w:tc>
          <w:tcPr>
            <w:tcW w:w="1055"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62.9</w:t>
            </w:r>
          </w:p>
        </w:tc>
        <w:tc>
          <w:tcPr>
            <w:tcW w:w="1303"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1.86</w:t>
            </w:r>
          </w:p>
        </w:tc>
        <w:tc>
          <w:tcPr>
            <w:tcW w:w="1081"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37.1</w:t>
            </w:r>
          </w:p>
        </w:tc>
        <w:tc>
          <w:tcPr>
            <w:tcW w:w="1362"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5.01</w:t>
            </w:r>
          </w:p>
        </w:tc>
      </w:tr>
      <w:tr>
        <w:tblPrEx>
          <w:tblCellMar>
            <w:top w:w="0" w:type="dxa"/>
            <w:left w:w="108" w:type="dxa"/>
            <w:bottom w:w="0" w:type="dxa"/>
            <w:right w:w="108" w:type="dxa"/>
          </w:tblCellMar>
        </w:tblPrEx>
        <w:trPr>
          <w:trHeight w:val="90" w:hRule="atLeast"/>
          <w:jc w:val="center"/>
        </w:trPr>
        <w:tc>
          <w:tcPr>
            <w:tcW w:w="84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797"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4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257"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1.93 </w:t>
            </w:r>
          </w:p>
        </w:tc>
        <w:tc>
          <w:tcPr>
            <w:tcW w:w="1055"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47.1</w:t>
            </w:r>
          </w:p>
        </w:tc>
        <w:tc>
          <w:tcPr>
            <w:tcW w:w="1303"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2.17</w:t>
            </w:r>
          </w:p>
        </w:tc>
        <w:tc>
          <w:tcPr>
            <w:tcW w:w="1081"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52.9</w:t>
            </w:r>
          </w:p>
        </w:tc>
        <w:tc>
          <w:tcPr>
            <w:tcW w:w="1362"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4.10</w:t>
            </w:r>
          </w:p>
        </w:tc>
      </w:tr>
      <w:tr>
        <w:tblPrEx>
          <w:tblCellMar>
            <w:top w:w="0" w:type="dxa"/>
            <w:left w:w="108" w:type="dxa"/>
            <w:bottom w:w="0" w:type="dxa"/>
            <w:right w:w="108" w:type="dxa"/>
          </w:tblCellMar>
        </w:tblPrEx>
        <w:trPr>
          <w:trHeight w:val="90" w:hRule="atLeast"/>
          <w:jc w:val="center"/>
        </w:trPr>
        <w:tc>
          <w:tcPr>
            <w:tcW w:w="84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797"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4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257"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1.98 </w:t>
            </w:r>
          </w:p>
        </w:tc>
        <w:tc>
          <w:tcPr>
            <w:tcW w:w="1055"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36.4</w:t>
            </w:r>
          </w:p>
        </w:tc>
        <w:tc>
          <w:tcPr>
            <w:tcW w:w="1303"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3.46</w:t>
            </w:r>
          </w:p>
        </w:tc>
        <w:tc>
          <w:tcPr>
            <w:tcW w:w="1081"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63.6</w:t>
            </w:r>
          </w:p>
        </w:tc>
        <w:tc>
          <w:tcPr>
            <w:tcW w:w="1362"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5.44</w:t>
            </w:r>
          </w:p>
        </w:tc>
      </w:tr>
      <w:tr>
        <w:tblPrEx>
          <w:tblCellMar>
            <w:top w:w="0" w:type="dxa"/>
            <w:left w:w="108" w:type="dxa"/>
            <w:bottom w:w="0" w:type="dxa"/>
            <w:right w:w="108" w:type="dxa"/>
          </w:tblCellMar>
        </w:tblPrEx>
        <w:trPr>
          <w:trHeight w:val="90" w:hRule="atLeast"/>
          <w:jc w:val="center"/>
        </w:trPr>
        <w:tc>
          <w:tcPr>
            <w:tcW w:w="84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797"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4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257"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 xml:space="preserve">0.85 </w:t>
            </w:r>
          </w:p>
        </w:tc>
        <w:tc>
          <w:tcPr>
            <w:tcW w:w="1055"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11.9</w:t>
            </w:r>
          </w:p>
        </w:tc>
        <w:tc>
          <w:tcPr>
            <w:tcW w:w="1303"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6.27</w:t>
            </w:r>
          </w:p>
        </w:tc>
        <w:tc>
          <w:tcPr>
            <w:tcW w:w="1081"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88.1</w:t>
            </w:r>
          </w:p>
        </w:tc>
        <w:tc>
          <w:tcPr>
            <w:tcW w:w="1362"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7.11</w:t>
            </w:r>
          </w:p>
        </w:tc>
      </w:tr>
      <w:tr>
        <w:tblPrEx>
          <w:tblCellMar>
            <w:top w:w="0" w:type="dxa"/>
            <w:left w:w="108" w:type="dxa"/>
            <w:bottom w:w="0" w:type="dxa"/>
            <w:right w:w="108" w:type="dxa"/>
          </w:tblCellMar>
        </w:tblPrEx>
        <w:trPr>
          <w:trHeight w:val="90" w:hRule="atLeast"/>
          <w:jc w:val="center"/>
        </w:trPr>
        <w:tc>
          <w:tcPr>
            <w:tcW w:w="842"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797"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4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257"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7.91 </w:t>
            </w:r>
          </w:p>
        </w:tc>
        <w:tc>
          <w:tcPr>
            <w:tcW w:w="1055"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36.5</w:t>
            </w:r>
          </w:p>
        </w:tc>
        <w:tc>
          <w:tcPr>
            <w:tcW w:w="1303"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13.76 </w:t>
            </w:r>
          </w:p>
        </w:tc>
        <w:tc>
          <w:tcPr>
            <w:tcW w:w="1081"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63.5</w:t>
            </w:r>
          </w:p>
        </w:tc>
        <w:tc>
          <w:tcPr>
            <w:tcW w:w="1362" w:type="dxa"/>
            <w:tcBorders>
              <w:top w:val="nil"/>
              <w:left w:val="nil"/>
              <w:bottom w:val="single" w:color="auto" w:sz="4" w:space="0"/>
              <w:right w:val="single" w:color="auto" w:sz="4" w:space="0"/>
            </w:tcBorders>
            <w:noWrap w:val="0"/>
            <w:vAlign w:val="center"/>
          </w:tcPr>
          <w:p>
            <w:pPr>
              <w:adjustRightInd w:val="0"/>
              <w:snapToGrid w:val="0"/>
              <w:spacing w:line="240" w:lineRule="atLeast"/>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21.67 </w:t>
            </w:r>
          </w:p>
        </w:tc>
      </w:tr>
    </w:tbl>
    <w:p>
      <w:pPr>
        <w:keepNext w:val="0"/>
        <w:keepLines w:val="0"/>
        <w:pageBreakBefore w:val="0"/>
        <w:widowControl w:val="0"/>
        <w:kinsoku/>
        <w:wordWrap/>
        <w:overflowPunct/>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（2）行业水量配置</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根据水资源配置成果，淮南市基准年生活、工业、农业和河道外生态用水配置量分别为1.87亿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、2.70亿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、13.01亿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和0.32亿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，配置比例为10.4%、15.1%、72.7%、1.8%；规划2020年生活、工业、农业和河道外生态用水配置量分别为2.39亿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、3.87亿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、13. 68亿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和0.64亿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，配置比例为11.6%、18.8%、66.5%、3.1%；规划2030年生活、工业、农业和河道外生态用水配置量分别为2.91亿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、4.53亿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、13.39亿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和0.84亿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，配置比例为13.4%、20.9%、61.8%、3.9%。</w:t>
      </w:r>
    </w:p>
    <w:p>
      <w:pPr>
        <w:adjustRightInd w:val="0"/>
        <w:snapToGrid w:val="0"/>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kern w:val="0"/>
          <w:sz w:val="24"/>
        </w:rPr>
        <w:t>表6.2-2  淮南市各水平年分行业水量配置     单位：亿</w:t>
      </w:r>
      <w:r>
        <w:rPr>
          <w:rFonts w:hint="eastAsia" w:ascii="方正黑体_GBK" w:hAnsi="方正黑体_GBK" w:eastAsia="方正黑体_GBK" w:cs="方正黑体_GBK"/>
          <w:b/>
          <w:bCs/>
          <w:kern w:val="0"/>
          <w:sz w:val="24"/>
          <w:lang w:eastAsia="zh-CN"/>
        </w:rPr>
        <w:t>m³</w:t>
      </w:r>
      <w:r>
        <w:rPr>
          <w:rFonts w:hint="eastAsia" w:ascii="方正黑体_GBK" w:hAnsi="方正黑体_GBK" w:eastAsia="方正黑体_GBK" w:cs="方正黑体_GBK"/>
          <w:b/>
          <w:bCs/>
          <w:kern w:val="0"/>
          <w:sz w:val="24"/>
        </w:rPr>
        <w:t xml:space="preserve"> </w:t>
      </w:r>
    </w:p>
    <w:tbl>
      <w:tblPr>
        <w:tblStyle w:val="12"/>
        <w:tblW w:w="0" w:type="auto"/>
        <w:jc w:val="center"/>
        <w:tblLayout w:type="fixed"/>
        <w:tblCellMar>
          <w:top w:w="0" w:type="dxa"/>
          <w:left w:w="108" w:type="dxa"/>
          <w:bottom w:w="0" w:type="dxa"/>
          <w:right w:w="108" w:type="dxa"/>
        </w:tblCellMar>
      </w:tblPr>
      <w:tblGrid>
        <w:gridCol w:w="697"/>
        <w:gridCol w:w="663"/>
        <w:gridCol w:w="1626"/>
        <w:gridCol w:w="779"/>
        <w:gridCol w:w="734"/>
        <w:gridCol w:w="820"/>
        <w:gridCol w:w="733"/>
        <w:gridCol w:w="683"/>
        <w:gridCol w:w="900"/>
        <w:gridCol w:w="805"/>
        <w:gridCol w:w="764"/>
        <w:gridCol w:w="776"/>
      </w:tblGrid>
      <w:tr>
        <w:tblPrEx>
          <w:tblCellMar>
            <w:top w:w="0" w:type="dxa"/>
            <w:left w:w="108" w:type="dxa"/>
            <w:bottom w:w="0" w:type="dxa"/>
            <w:right w:w="108" w:type="dxa"/>
          </w:tblCellMar>
        </w:tblPrEx>
        <w:trPr>
          <w:trHeight w:val="90" w:hRule="atLeast"/>
          <w:jc w:val="center"/>
        </w:trPr>
        <w:tc>
          <w:tcPr>
            <w:tcW w:w="69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水平年</w:t>
            </w:r>
          </w:p>
        </w:tc>
        <w:tc>
          <w:tcPr>
            <w:tcW w:w="2289"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计算分区</w:t>
            </w:r>
          </w:p>
        </w:tc>
        <w:tc>
          <w:tcPr>
            <w:tcW w:w="1513"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生活</w:t>
            </w:r>
          </w:p>
        </w:tc>
        <w:tc>
          <w:tcPr>
            <w:tcW w:w="1553" w:type="dxa"/>
            <w:gridSpan w:val="2"/>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工业</w:t>
            </w:r>
          </w:p>
        </w:tc>
        <w:tc>
          <w:tcPr>
            <w:tcW w:w="1583" w:type="dxa"/>
            <w:gridSpan w:val="2"/>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农业</w:t>
            </w:r>
          </w:p>
        </w:tc>
        <w:tc>
          <w:tcPr>
            <w:tcW w:w="1569" w:type="dxa"/>
            <w:gridSpan w:val="2"/>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生态</w:t>
            </w:r>
          </w:p>
        </w:tc>
        <w:tc>
          <w:tcPr>
            <w:tcW w:w="77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合计</w:t>
            </w:r>
          </w:p>
        </w:tc>
      </w:tr>
      <w:tr>
        <w:tblPrEx>
          <w:tblCellMar>
            <w:top w:w="0" w:type="dxa"/>
            <w:left w:w="108" w:type="dxa"/>
            <w:bottom w:w="0" w:type="dxa"/>
            <w:right w:w="108" w:type="dxa"/>
          </w:tblCellMar>
        </w:tblPrEx>
        <w:trPr>
          <w:trHeight w:val="90" w:hRule="atLeast"/>
          <w:jc w:val="center"/>
        </w:trPr>
        <w:tc>
          <w:tcPr>
            <w:tcW w:w="6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228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77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配置</w:t>
            </w:r>
          </w:p>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水量</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占比%</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配置</w:t>
            </w:r>
          </w:p>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水量</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占比%</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配置水量</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占比%</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配置</w:t>
            </w:r>
          </w:p>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水量</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占比%</w:t>
            </w:r>
          </w:p>
        </w:tc>
        <w:tc>
          <w:tcPr>
            <w:tcW w:w="77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r>
      <w:tr>
        <w:tblPrEx>
          <w:tblCellMar>
            <w:top w:w="0" w:type="dxa"/>
            <w:left w:w="108" w:type="dxa"/>
            <w:bottom w:w="0" w:type="dxa"/>
            <w:right w:w="108" w:type="dxa"/>
          </w:tblCellMar>
        </w:tblPrEx>
        <w:trPr>
          <w:trHeight w:val="90" w:hRule="atLeast"/>
          <w:jc w:val="center"/>
        </w:trPr>
        <w:tc>
          <w:tcPr>
            <w:tcW w:w="697"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2015</w:t>
            </w:r>
          </w:p>
        </w:tc>
        <w:tc>
          <w:tcPr>
            <w:tcW w:w="663"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62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779"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0.47</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6.4</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1.69</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23.0 </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5.12</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69.6 </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0.09</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1.1 </w:t>
            </w:r>
          </w:p>
        </w:tc>
        <w:tc>
          <w:tcPr>
            <w:tcW w:w="77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7.36</w:t>
            </w:r>
          </w:p>
        </w:tc>
      </w:tr>
      <w:tr>
        <w:tblPrEx>
          <w:tblCellMar>
            <w:top w:w="0" w:type="dxa"/>
            <w:left w:w="108" w:type="dxa"/>
            <w:bottom w:w="0" w:type="dxa"/>
            <w:right w:w="108" w:type="dxa"/>
          </w:tblCellMar>
        </w:tblPrEx>
        <w:trPr>
          <w:trHeight w:val="90" w:hRule="atLeast"/>
          <w:jc w:val="center"/>
        </w:trPr>
        <w:tc>
          <w:tcPr>
            <w:tcW w:w="697"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663"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2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779"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1.41</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13.4 </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1.02</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9.7 </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7.89</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74.9 </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0.23</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2.1 </w:t>
            </w:r>
          </w:p>
        </w:tc>
        <w:tc>
          <w:tcPr>
            <w:tcW w:w="77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10.54</w:t>
            </w:r>
          </w:p>
        </w:tc>
      </w:tr>
      <w:tr>
        <w:tblPrEx>
          <w:tblCellMar>
            <w:top w:w="0" w:type="dxa"/>
            <w:left w:w="108" w:type="dxa"/>
            <w:bottom w:w="0" w:type="dxa"/>
            <w:right w:w="108" w:type="dxa"/>
          </w:tblCellMar>
        </w:tblPrEx>
        <w:trPr>
          <w:trHeight w:val="90" w:hRule="atLeast"/>
          <w:jc w:val="center"/>
        </w:trPr>
        <w:tc>
          <w:tcPr>
            <w:tcW w:w="697"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663"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2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779"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1.87</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 xml:space="preserve">10.4 </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2.70</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 xml:space="preserve">15.1 </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13.01</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 xml:space="preserve">72.7 </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0.32</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 xml:space="preserve">1.8 </w:t>
            </w:r>
          </w:p>
        </w:tc>
        <w:tc>
          <w:tcPr>
            <w:tcW w:w="77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17.9</w:t>
            </w:r>
          </w:p>
        </w:tc>
      </w:tr>
      <w:tr>
        <w:tblPrEx>
          <w:tblCellMar>
            <w:top w:w="0" w:type="dxa"/>
            <w:left w:w="108" w:type="dxa"/>
            <w:bottom w:w="0" w:type="dxa"/>
            <w:right w:w="108" w:type="dxa"/>
          </w:tblCellMar>
        </w:tblPrEx>
        <w:trPr>
          <w:trHeight w:val="90" w:hRule="atLeast"/>
          <w:jc w:val="center"/>
        </w:trPr>
        <w:tc>
          <w:tcPr>
            <w:tcW w:w="697"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663"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2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779"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0.94</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24.4 </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0.83</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21.6 </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1.89</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49.1 </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0.19</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4.9 </w:t>
            </w:r>
          </w:p>
        </w:tc>
        <w:tc>
          <w:tcPr>
            <w:tcW w:w="77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3.85</w:t>
            </w:r>
          </w:p>
        </w:tc>
      </w:tr>
      <w:tr>
        <w:tblPrEx>
          <w:tblCellMar>
            <w:top w:w="0" w:type="dxa"/>
            <w:left w:w="108" w:type="dxa"/>
            <w:bottom w:w="0" w:type="dxa"/>
            <w:right w:w="108" w:type="dxa"/>
          </w:tblCellMar>
        </w:tblPrEx>
        <w:trPr>
          <w:trHeight w:val="90" w:hRule="atLeast"/>
          <w:jc w:val="center"/>
        </w:trPr>
        <w:tc>
          <w:tcPr>
            <w:tcW w:w="697"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663"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2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779"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0.18</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6.1</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0.75</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25.3 </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1.99</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67.2 </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0.05</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1.4 </w:t>
            </w:r>
          </w:p>
        </w:tc>
        <w:tc>
          <w:tcPr>
            <w:tcW w:w="77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2.96</w:t>
            </w:r>
          </w:p>
        </w:tc>
      </w:tr>
      <w:tr>
        <w:tblPrEx>
          <w:tblCellMar>
            <w:top w:w="0" w:type="dxa"/>
            <w:left w:w="108" w:type="dxa"/>
            <w:bottom w:w="0" w:type="dxa"/>
            <w:right w:w="108" w:type="dxa"/>
          </w:tblCellMar>
        </w:tblPrEx>
        <w:trPr>
          <w:trHeight w:val="90" w:hRule="atLeast"/>
          <w:jc w:val="center"/>
        </w:trPr>
        <w:tc>
          <w:tcPr>
            <w:tcW w:w="697"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663"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2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779"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0.30</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6.8</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0.94</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21.3 </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3.13</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71.0 </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0.04</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0.9 </w:t>
            </w:r>
          </w:p>
        </w:tc>
        <w:tc>
          <w:tcPr>
            <w:tcW w:w="77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4.41</w:t>
            </w:r>
          </w:p>
        </w:tc>
      </w:tr>
      <w:tr>
        <w:tblPrEx>
          <w:tblCellMar>
            <w:top w:w="0" w:type="dxa"/>
            <w:left w:w="108" w:type="dxa"/>
            <w:bottom w:w="0" w:type="dxa"/>
            <w:right w:w="108" w:type="dxa"/>
          </w:tblCellMar>
        </w:tblPrEx>
        <w:trPr>
          <w:trHeight w:val="90" w:hRule="atLeast"/>
          <w:jc w:val="center"/>
        </w:trPr>
        <w:tc>
          <w:tcPr>
            <w:tcW w:w="697"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663"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2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779"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0.46</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6.9</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0.18</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2.7</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6.00</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89.8 </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0.03</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0.6 </w:t>
            </w:r>
          </w:p>
        </w:tc>
        <w:tc>
          <w:tcPr>
            <w:tcW w:w="77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6.68</w:t>
            </w:r>
          </w:p>
        </w:tc>
      </w:tr>
      <w:tr>
        <w:tblPrEx>
          <w:tblCellMar>
            <w:top w:w="0" w:type="dxa"/>
            <w:left w:w="108" w:type="dxa"/>
            <w:bottom w:w="0" w:type="dxa"/>
            <w:right w:w="108" w:type="dxa"/>
          </w:tblCellMar>
        </w:tblPrEx>
        <w:trPr>
          <w:trHeight w:val="90" w:hRule="atLeast"/>
          <w:jc w:val="center"/>
        </w:trPr>
        <w:tc>
          <w:tcPr>
            <w:tcW w:w="697"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663"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2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779"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1.87</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 xml:space="preserve">10.4 </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2.70</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 xml:space="preserve">15.1 </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13.01</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 xml:space="preserve">72.7 </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0.32</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 xml:space="preserve">1.8 </w:t>
            </w:r>
          </w:p>
        </w:tc>
        <w:tc>
          <w:tcPr>
            <w:tcW w:w="77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17.9</w:t>
            </w:r>
          </w:p>
        </w:tc>
      </w:tr>
      <w:tr>
        <w:tblPrEx>
          <w:tblCellMar>
            <w:top w:w="0" w:type="dxa"/>
            <w:left w:w="108" w:type="dxa"/>
            <w:bottom w:w="0" w:type="dxa"/>
            <w:right w:w="108" w:type="dxa"/>
          </w:tblCellMar>
        </w:tblPrEx>
        <w:trPr>
          <w:trHeight w:val="90" w:hRule="atLeast"/>
          <w:jc w:val="center"/>
        </w:trPr>
        <w:tc>
          <w:tcPr>
            <w:tcW w:w="697"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2020</w:t>
            </w:r>
          </w:p>
        </w:tc>
        <w:tc>
          <w:tcPr>
            <w:tcW w:w="663"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62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779"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0.60</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6.8 </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2.49</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28.4 </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5.50</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62.6 </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0.19</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2.2 </w:t>
            </w:r>
          </w:p>
        </w:tc>
        <w:tc>
          <w:tcPr>
            <w:tcW w:w="77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8.78</w:t>
            </w:r>
          </w:p>
        </w:tc>
      </w:tr>
      <w:tr>
        <w:tblPrEx>
          <w:tblCellMar>
            <w:top w:w="0" w:type="dxa"/>
            <w:left w:w="108" w:type="dxa"/>
            <w:bottom w:w="0" w:type="dxa"/>
            <w:right w:w="108" w:type="dxa"/>
          </w:tblCellMar>
        </w:tblPrEx>
        <w:trPr>
          <w:trHeight w:val="90" w:hRule="atLeast"/>
          <w:jc w:val="center"/>
        </w:trPr>
        <w:tc>
          <w:tcPr>
            <w:tcW w:w="697"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663"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2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779"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1.79</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15.2 </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1.38</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11.7 </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8.18</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69.3 </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0.45</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3.8 </w:t>
            </w:r>
          </w:p>
        </w:tc>
        <w:tc>
          <w:tcPr>
            <w:tcW w:w="77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11.8</w:t>
            </w:r>
          </w:p>
        </w:tc>
      </w:tr>
      <w:tr>
        <w:tblPrEx>
          <w:tblCellMar>
            <w:top w:w="0" w:type="dxa"/>
            <w:left w:w="108" w:type="dxa"/>
            <w:bottom w:w="0" w:type="dxa"/>
            <w:right w:w="108" w:type="dxa"/>
          </w:tblCellMar>
        </w:tblPrEx>
        <w:trPr>
          <w:trHeight w:val="90" w:hRule="atLeast"/>
          <w:jc w:val="center"/>
        </w:trPr>
        <w:tc>
          <w:tcPr>
            <w:tcW w:w="697"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663"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2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779"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2.39</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 xml:space="preserve">11.6 </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3.87</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 xml:space="preserve">18.8 </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13.68</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 xml:space="preserve">66.5 </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0.64</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 xml:space="preserve">3.1 </w:t>
            </w:r>
          </w:p>
        </w:tc>
        <w:tc>
          <w:tcPr>
            <w:tcW w:w="77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20.58</w:t>
            </w:r>
          </w:p>
        </w:tc>
      </w:tr>
      <w:tr>
        <w:tblPrEx>
          <w:tblCellMar>
            <w:top w:w="0" w:type="dxa"/>
            <w:left w:w="108" w:type="dxa"/>
            <w:bottom w:w="0" w:type="dxa"/>
            <w:right w:w="108" w:type="dxa"/>
          </w:tblCellMar>
        </w:tblPrEx>
        <w:trPr>
          <w:trHeight w:val="90" w:hRule="atLeast"/>
          <w:jc w:val="center"/>
        </w:trPr>
        <w:tc>
          <w:tcPr>
            <w:tcW w:w="697"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663"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2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779"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1.18</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25.1 </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1.17</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24.8 </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2.00</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42.5 </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0.37</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7.6 </w:t>
            </w:r>
          </w:p>
        </w:tc>
        <w:tc>
          <w:tcPr>
            <w:tcW w:w="77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4.71</w:t>
            </w:r>
          </w:p>
        </w:tc>
      </w:tr>
      <w:tr>
        <w:tblPrEx>
          <w:tblCellMar>
            <w:top w:w="0" w:type="dxa"/>
            <w:left w:w="108" w:type="dxa"/>
            <w:bottom w:w="0" w:type="dxa"/>
            <w:right w:w="108" w:type="dxa"/>
          </w:tblCellMar>
        </w:tblPrEx>
        <w:trPr>
          <w:trHeight w:val="90" w:hRule="atLeast"/>
          <w:jc w:val="center"/>
        </w:trPr>
        <w:tc>
          <w:tcPr>
            <w:tcW w:w="697"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663"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2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779"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0.24</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6.7</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1.09</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30.4 </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2.14</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59.8 </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0.11</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3.1 </w:t>
            </w:r>
          </w:p>
        </w:tc>
        <w:tc>
          <w:tcPr>
            <w:tcW w:w="77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3.58</w:t>
            </w:r>
          </w:p>
        </w:tc>
      </w:tr>
      <w:tr>
        <w:tblPrEx>
          <w:tblCellMar>
            <w:top w:w="0" w:type="dxa"/>
            <w:left w:w="108" w:type="dxa"/>
            <w:bottom w:w="0" w:type="dxa"/>
            <w:right w:w="108" w:type="dxa"/>
          </w:tblCellMar>
        </w:tblPrEx>
        <w:trPr>
          <w:trHeight w:val="90" w:hRule="atLeast"/>
          <w:jc w:val="center"/>
        </w:trPr>
        <w:tc>
          <w:tcPr>
            <w:tcW w:w="697"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663"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2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779"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0.40</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7.6</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1.40</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26.7 </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3.36</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64.0 </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0.08</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1.7 </w:t>
            </w:r>
          </w:p>
        </w:tc>
        <w:tc>
          <w:tcPr>
            <w:tcW w:w="77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5.25</w:t>
            </w:r>
          </w:p>
        </w:tc>
      </w:tr>
      <w:tr>
        <w:tblPrEx>
          <w:tblCellMar>
            <w:top w:w="0" w:type="dxa"/>
            <w:left w:w="108" w:type="dxa"/>
            <w:bottom w:w="0" w:type="dxa"/>
            <w:right w:w="108" w:type="dxa"/>
          </w:tblCellMar>
        </w:tblPrEx>
        <w:trPr>
          <w:trHeight w:val="90" w:hRule="atLeast"/>
          <w:jc w:val="center"/>
        </w:trPr>
        <w:tc>
          <w:tcPr>
            <w:tcW w:w="697"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663"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2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779"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0.58</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8.2</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0.21</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3.0</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6.19</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87.8 </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0.08</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1.0 </w:t>
            </w:r>
          </w:p>
        </w:tc>
        <w:tc>
          <w:tcPr>
            <w:tcW w:w="77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7.05</w:t>
            </w:r>
          </w:p>
        </w:tc>
      </w:tr>
      <w:tr>
        <w:tblPrEx>
          <w:tblCellMar>
            <w:top w:w="0" w:type="dxa"/>
            <w:left w:w="108" w:type="dxa"/>
            <w:bottom w:w="0" w:type="dxa"/>
            <w:right w:w="108" w:type="dxa"/>
          </w:tblCellMar>
        </w:tblPrEx>
        <w:trPr>
          <w:trHeight w:val="90" w:hRule="atLeast"/>
          <w:jc w:val="center"/>
        </w:trPr>
        <w:tc>
          <w:tcPr>
            <w:tcW w:w="697"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663"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2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779"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2.39</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 xml:space="preserve">11.6 </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3.87</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 xml:space="preserve">18.8 </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13.68</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 xml:space="preserve">66.5 </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0.64</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 xml:space="preserve">3.1 </w:t>
            </w:r>
          </w:p>
        </w:tc>
        <w:tc>
          <w:tcPr>
            <w:tcW w:w="77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20.58</w:t>
            </w:r>
          </w:p>
        </w:tc>
      </w:tr>
      <w:tr>
        <w:tblPrEx>
          <w:tblCellMar>
            <w:top w:w="0" w:type="dxa"/>
            <w:left w:w="108" w:type="dxa"/>
            <w:bottom w:w="0" w:type="dxa"/>
            <w:right w:w="108" w:type="dxa"/>
          </w:tblCellMar>
        </w:tblPrEx>
        <w:trPr>
          <w:trHeight w:val="90" w:hRule="atLeast"/>
          <w:jc w:val="center"/>
        </w:trPr>
        <w:tc>
          <w:tcPr>
            <w:tcW w:w="697" w:type="dxa"/>
            <w:vMerge w:val="restart"/>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2030</w:t>
            </w:r>
          </w:p>
        </w:tc>
        <w:tc>
          <w:tcPr>
            <w:tcW w:w="663"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62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779"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0.78</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8.2 </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3.00</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31.6 </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5.46</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57.5 </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0.25</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2.6 </w:t>
            </w:r>
          </w:p>
        </w:tc>
        <w:tc>
          <w:tcPr>
            <w:tcW w:w="77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9.49</w:t>
            </w:r>
          </w:p>
        </w:tc>
      </w:tr>
      <w:tr>
        <w:tblPrEx>
          <w:tblCellMar>
            <w:top w:w="0" w:type="dxa"/>
            <w:left w:w="108" w:type="dxa"/>
            <w:bottom w:w="0" w:type="dxa"/>
            <w:right w:w="108" w:type="dxa"/>
          </w:tblCellMar>
        </w:tblPrEx>
        <w:trPr>
          <w:trHeight w:val="339" w:hRule="atLeast"/>
          <w:jc w:val="center"/>
        </w:trPr>
        <w:tc>
          <w:tcPr>
            <w:tcW w:w="697"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663"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2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779"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2.12</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17.4 </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1.53</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12.6 </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7.93</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65.1 </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0.6</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4.9 </w:t>
            </w:r>
          </w:p>
        </w:tc>
        <w:tc>
          <w:tcPr>
            <w:tcW w:w="77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12.18</w:t>
            </w:r>
          </w:p>
        </w:tc>
      </w:tr>
      <w:tr>
        <w:tblPrEx>
          <w:tblCellMar>
            <w:top w:w="0" w:type="dxa"/>
            <w:left w:w="108" w:type="dxa"/>
            <w:bottom w:w="0" w:type="dxa"/>
            <w:right w:w="108" w:type="dxa"/>
          </w:tblCellMar>
        </w:tblPrEx>
        <w:trPr>
          <w:trHeight w:val="398" w:hRule="atLeast"/>
          <w:jc w:val="center"/>
        </w:trPr>
        <w:tc>
          <w:tcPr>
            <w:tcW w:w="697"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663"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2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779"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2.91</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 xml:space="preserve">13.4 </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4.53</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 xml:space="preserve">20.9 </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13.39</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 xml:space="preserve">61.8 </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0.84</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 xml:space="preserve">3.9 </w:t>
            </w:r>
          </w:p>
        </w:tc>
        <w:tc>
          <w:tcPr>
            <w:tcW w:w="77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21.67</w:t>
            </w:r>
          </w:p>
        </w:tc>
      </w:tr>
      <w:tr>
        <w:tblPrEx>
          <w:tblCellMar>
            <w:top w:w="0" w:type="dxa"/>
            <w:left w:w="108" w:type="dxa"/>
            <w:bottom w:w="0" w:type="dxa"/>
            <w:right w:w="108" w:type="dxa"/>
          </w:tblCellMar>
        </w:tblPrEx>
        <w:trPr>
          <w:trHeight w:val="90" w:hRule="atLeast"/>
          <w:jc w:val="center"/>
        </w:trPr>
        <w:tc>
          <w:tcPr>
            <w:tcW w:w="697"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663" w:type="dxa"/>
            <w:vMerge w:val="restart"/>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2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779"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1.37</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27.3 </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1.32</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26.3 </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1.83</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36.5 </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0.5</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9.8 </w:t>
            </w:r>
          </w:p>
        </w:tc>
        <w:tc>
          <w:tcPr>
            <w:tcW w:w="77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5.01</w:t>
            </w:r>
          </w:p>
        </w:tc>
      </w:tr>
      <w:tr>
        <w:tblPrEx>
          <w:tblCellMar>
            <w:top w:w="0" w:type="dxa"/>
            <w:left w:w="108" w:type="dxa"/>
            <w:bottom w:w="0" w:type="dxa"/>
            <w:right w:w="108" w:type="dxa"/>
          </w:tblCellMar>
        </w:tblPrEx>
        <w:trPr>
          <w:trHeight w:val="90" w:hRule="atLeast"/>
          <w:jc w:val="center"/>
        </w:trPr>
        <w:tc>
          <w:tcPr>
            <w:tcW w:w="697"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663"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2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779"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0.32</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7.8</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1.52</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37.1 </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2.12</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51.7 </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0.14</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3.4 </w:t>
            </w:r>
          </w:p>
        </w:tc>
        <w:tc>
          <w:tcPr>
            <w:tcW w:w="77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4.10</w:t>
            </w:r>
          </w:p>
        </w:tc>
      </w:tr>
      <w:tr>
        <w:tblPrEx>
          <w:tblCellMar>
            <w:top w:w="0" w:type="dxa"/>
            <w:left w:w="108" w:type="dxa"/>
            <w:bottom w:w="0" w:type="dxa"/>
            <w:right w:w="108" w:type="dxa"/>
          </w:tblCellMar>
        </w:tblPrEx>
        <w:trPr>
          <w:trHeight w:val="90" w:hRule="atLeast"/>
          <w:jc w:val="center"/>
        </w:trPr>
        <w:tc>
          <w:tcPr>
            <w:tcW w:w="697"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663"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2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779"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0.51</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9.4</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1.48</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27.2 </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3.34</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61.4 </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0.11</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2.0 </w:t>
            </w:r>
          </w:p>
        </w:tc>
        <w:tc>
          <w:tcPr>
            <w:tcW w:w="77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5.44</w:t>
            </w:r>
          </w:p>
        </w:tc>
      </w:tr>
      <w:tr>
        <w:tblPrEx>
          <w:tblCellMar>
            <w:top w:w="0" w:type="dxa"/>
            <w:left w:w="108" w:type="dxa"/>
            <w:bottom w:w="0" w:type="dxa"/>
            <w:right w:w="108" w:type="dxa"/>
          </w:tblCellMar>
        </w:tblPrEx>
        <w:trPr>
          <w:trHeight w:val="90" w:hRule="atLeast"/>
          <w:jc w:val="center"/>
        </w:trPr>
        <w:tc>
          <w:tcPr>
            <w:tcW w:w="697"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663"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2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779"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0.70</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9.8</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0.21</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3.0</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6.10</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85.8 </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0.1</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 xml:space="preserve">1.4 </w:t>
            </w:r>
          </w:p>
        </w:tc>
        <w:tc>
          <w:tcPr>
            <w:tcW w:w="77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bidi="ar"/>
              </w:rPr>
              <w:t>7.11</w:t>
            </w:r>
          </w:p>
        </w:tc>
      </w:tr>
      <w:tr>
        <w:tblPrEx>
          <w:tblCellMar>
            <w:top w:w="0" w:type="dxa"/>
            <w:left w:w="108" w:type="dxa"/>
            <w:bottom w:w="0" w:type="dxa"/>
            <w:right w:w="108" w:type="dxa"/>
          </w:tblCellMar>
        </w:tblPrEx>
        <w:trPr>
          <w:trHeight w:val="258" w:hRule="atLeast"/>
          <w:jc w:val="center"/>
        </w:trPr>
        <w:tc>
          <w:tcPr>
            <w:tcW w:w="697" w:type="dxa"/>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663" w:type="dxa"/>
            <w:vMerge w:val="continue"/>
            <w:tcBorders>
              <w:top w:val="nil"/>
              <w:left w:val="single" w:color="auto" w:sz="4" w:space="0"/>
              <w:bottom w:val="single" w:color="000000" w:sz="4" w:space="0"/>
              <w:right w:val="single" w:color="auto" w:sz="4" w:space="0"/>
            </w:tcBorders>
            <w:noWrap w:val="0"/>
            <w:vAlign w:val="center"/>
          </w:tcPr>
          <w:p>
            <w:pPr>
              <w:widowControl/>
              <w:adjustRightInd w:val="0"/>
              <w:snapToGrid w:val="0"/>
              <w:spacing w:line="240" w:lineRule="atLeast"/>
              <w:jc w:val="left"/>
              <w:rPr>
                <w:rFonts w:hint="default" w:ascii="Times New Roman" w:hAnsi="Times New Roman" w:eastAsia="方正仿宋_GBK" w:cs="Times New Roman"/>
                <w:kern w:val="0"/>
                <w:szCs w:val="21"/>
              </w:rPr>
            </w:pPr>
          </w:p>
        </w:tc>
        <w:tc>
          <w:tcPr>
            <w:tcW w:w="162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779"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2.91</w:t>
            </w:r>
          </w:p>
        </w:tc>
        <w:tc>
          <w:tcPr>
            <w:tcW w:w="73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 xml:space="preserve">13.4 </w:t>
            </w:r>
          </w:p>
        </w:tc>
        <w:tc>
          <w:tcPr>
            <w:tcW w:w="82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4.53</w:t>
            </w:r>
          </w:p>
        </w:tc>
        <w:tc>
          <w:tcPr>
            <w:tcW w:w="73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 xml:space="preserve">20.9 </w:t>
            </w:r>
          </w:p>
        </w:tc>
        <w:tc>
          <w:tcPr>
            <w:tcW w:w="683"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13.39</w:t>
            </w:r>
          </w:p>
        </w:tc>
        <w:tc>
          <w:tcPr>
            <w:tcW w:w="900"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 xml:space="preserve">61.8 </w:t>
            </w:r>
          </w:p>
        </w:tc>
        <w:tc>
          <w:tcPr>
            <w:tcW w:w="805"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0.84</w:t>
            </w:r>
          </w:p>
        </w:tc>
        <w:tc>
          <w:tcPr>
            <w:tcW w:w="764"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 xml:space="preserve">3.9 </w:t>
            </w:r>
          </w:p>
        </w:tc>
        <w:tc>
          <w:tcPr>
            <w:tcW w:w="776" w:type="dxa"/>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color w:val="000000"/>
                <w:szCs w:val="21"/>
              </w:rPr>
            </w:pPr>
            <w:r>
              <w:rPr>
                <w:rFonts w:hint="default" w:ascii="Times New Roman" w:hAnsi="Times New Roman" w:eastAsia="方正仿宋_GBK" w:cs="Times New Roman"/>
                <w:b/>
                <w:color w:val="000000"/>
                <w:kern w:val="0"/>
                <w:szCs w:val="21"/>
                <w:lang w:bidi="ar"/>
              </w:rPr>
              <w:t>21.67</w:t>
            </w:r>
          </w:p>
        </w:tc>
      </w:tr>
    </w:tbl>
    <w:p>
      <w:pPr>
        <w:adjustRightInd w:val="0"/>
        <w:snapToGrid w:val="0"/>
        <w:spacing w:line="360" w:lineRule="auto"/>
        <w:ind w:firstLine="360" w:firstLineChars="200"/>
        <w:jc w:val="left"/>
        <w:rPr>
          <w:sz w:val="18"/>
          <w:szCs w:val="18"/>
        </w:rPr>
      </w:pPr>
      <w:r>
        <w:rPr>
          <w:sz w:val="18"/>
          <w:szCs w:val="18"/>
        </w:rPr>
        <w:t>注：配置水量为多年平均成果</w:t>
      </w:r>
    </w:p>
    <w:p>
      <w:pPr>
        <w:keepNext w:val="0"/>
        <w:keepLines w:val="0"/>
        <w:pageBreakBefore w:val="0"/>
        <w:widowControl w:val="0"/>
        <w:kinsoku/>
        <w:wordWrap/>
        <w:overflowPunct/>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（3）供水水源配置</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2020年配置水量20.58亿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，地表水供水量18.53亿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，浅层地下水供水量为0.84亿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，非常规水源量为1.21亿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。地表水源供水中淠和灌区供水量为4.83亿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，淠河灌区水源给淮南市供水量依据《安徽省中西部重点区域及淠河灌区水量分配方案》供水对象主要为淮南市山南新区和寿县范围内的淠河灌区农业供水，山南新区供水量为0.8亿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，寿县淠河灌区供水量为4.03亿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2030年配置水量为21.67亿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，地表水源配置量为19.10亿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，浅层地下水配置量为0.85亿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，非常规水源配置量1.72亿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。地表水源配置量中淠河灌区水量配置量为4.83亿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，其中南新区供水量为0.8亿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，配置用途与2020年一致，引江济淮工程配置水量为3.86亿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从淮南市上述分水源配置成果可以看出，淮南市未来供水仍将以地表水源为主，在2020年淮南市在充分挖掘利用当地地表水和淮干过境水源的基础上，增加淠河灌区向山南新区供水，同时积极鼓励中水利用，规划2030年将在2020年基础上利用引江济淮外调水来弥补市域供水不足的同时，也可以进一步推荐当地合理的地表水源，保障河湖的生态需水。</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淮南市产业结构，淮南市规划水平年有较好利用再生水的条件，区域内的煤电、煤化工以及市政杂用水均可以再生水为水源，根据淮南市《矿区总体开发规划》，预测到2020年以后，生产规模将达到1.0亿吨，规划2020年原煤开采8919万t，规划2030年原煤开采10557万t，考虑到煤炭开采过程中产生的矿坑涌水的不稳定性（开采初期较大，后期逐渐减小至稳定），本次根据规划水平年煤炭开采量，规划2020年矿坑涌水利用量在0.4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，2030年煤炭开采量与2020年基本一致，则矿坑涌水利用量也在0.4亿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左右。</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淮南用水结构中，存在的大量的煤电和煤炭相关产业，该部分工业用水量较大，水量集中，同时对水质要求不高，有很好的利用再生水的外部条件，同时根据规划总体要求，淮南市也存在节水减排的内在需求，故本次规划中2020年和2030年淮南市根据用水结构中对再生水的外在需求和节水减排中对再生水利用的内在需求，综合确定再生水利率分别为30%和50%，再生水利用量分别为0.82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和1.32亿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再生水利用主要途径有：煤电用水和市政杂用水等，规划未来淮南市新增火电装机用水全以再生水为水源，同时加大对现有电厂水源的调整。市政杂用水包括城市景观用水、绿化用水、街道喷洒用水、建筑施工用水。</w:t>
      </w:r>
    </w:p>
    <w:p>
      <w:pPr>
        <w:spacing w:line="520" w:lineRule="exact"/>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表6.2-3 淮南市各个水平年不同水源配置成果表  单位：亿m³</w:t>
      </w:r>
    </w:p>
    <w:tbl>
      <w:tblPr>
        <w:tblStyle w:val="12"/>
        <w:tblW w:w="0" w:type="auto"/>
        <w:jc w:val="center"/>
        <w:tblLayout w:type="fixed"/>
        <w:tblCellMar>
          <w:top w:w="0" w:type="dxa"/>
          <w:left w:w="108" w:type="dxa"/>
          <w:bottom w:w="0" w:type="dxa"/>
          <w:right w:w="108" w:type="dxa"/>
        </w:tblCellMar>
      </w:tblPr>
      <w:tblGrid>
        <w:gridCol w:w="843"/>
        <w:gridCol w:w="863"/>
        <w:gridCol w:w="1645"/>
        <w:gridCol w:w="1083"/>
        <w:gridCol w:w="937"/>
        <w:gridCol w:w="1179"/>
        <w:gridCol w:w="769"/>
        <w:gridCol w:w="838"/>
        <w:gridCol w:w="1083"/>
      </w:tblGrid>
      <w:tr>
        <w:tblPrEx>
          <w:tblCellMar>
            <w:top w:w="0" w:type="dxa"/>
            <w:left w:w="108" w:type="dxa"/>
            <w:bottom w:w="0" w:type="dxa"/>
            <w:right w:w="108" w:type="dxa"/>
          </w:tblCellMar>
        </w:tblPrEx>
        <w:trPr>
          <w:trHeight w:val="327" w:hRule="atLeast"/>
          <w:jc w:val="center"/>
        </w:trPr>
        <w:tc>
          <w:tcPr>
            <w:tcW w:w="84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水平年</w:t>
            </w:r>
          </w:p>
        </w:tc>
        <w:tc>
          <w:tcPr>
            <w:tcW w:w="2508"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计算分区</w:t>
            </w:r>
          </w:p>
        </w:tc>
        <w:tc>
          <w:tcPr>
            <w:tcW w:w="3199" w:type="dxa"/>
            <w:gridSpan w:val="3"/>
            <w:tcBorders>
              <w:top w:val="single" w:color="auto" w:sz="4" w:space="0"/>
              <w:left w:val="nil"/>
              <w:bottom w:val="single" w:color="auto" w:sz="4" w:space="0"/>
              <w:right w:val="nil"/>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地表水</w:t>
            </w:r>
          </w:p>
        </w:tc>
        <w:tc>
          <w:tcPr>
            <w:tcW w:w="769" w:type="dxa"/>
            <w:vMerge w:val="restart"/>
            <w:tcBorders>
              <w:top w:val="single" w:color="auto" w:sz="4" w:space="0"/>
              <w:left w:val="single" w:color="auto" w:sz="4" w:space="0"/>
              <w:bottom w:val="nil"/>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浅层地下水</w:t>
            </w:r>
          </w:p>
        </w:tc>
        <w:tc>
          <w:tcPr>
            <w:tcW w:w="838" w:type="dxa"/>
            <w:vMerge w:val="restart"/>
            <w:tcBorders>
              <w:top w:val="single" w:color="auto" w:sz="4" w:space="0"/>
              <w:left w:val="single" w:color="auto" w:sz="4" w:space="0"/>
              <w:bottom w:val="nil"/>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非常规水利用</w:t>
            </w:r>
          </w:p>
        </w:tc>
        <w:tc>
          <w:tcPr>
            <w:tcW w:w="1083" w:type="dxa"/>
            <w:vMerge w:val="restart"/>
            <w:tcBorders>
              <w:top w:val="single" w:color="auto" w:sz="4" w:space="0"/>
              <w:left w:val="single" w:color="auto" w:sz="4" w:space="0"/>
              <w:bottom w:val="nil"/>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合计</w:t>
            </w:r>
          </w:p>
        </w:tc>
      </w:tr>
      <w:tr>
        <w:tblPrEx>
          <w:tblCellMar>
            <w:top w:w="0" w:type="dxa"/>
            <w:left w:w="108" w:type="dxa"/>
            <w:bottom w:w="0" w:type="dxa"/>
            <w:right w:w="108" w:type="dxa"/>
          </w:tblCellMar>
        </w:tblPrEx>
        <w:trPr>
          <w:trHeight w:val="644" w:hRule="atLeast"/>
          <w:jc w:val="center"/>
        </w:trPr>
        <w:tc>
          <w:tcPr>
            <w:tcW w:w="84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2508"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083" w:type="dxa"/>
            <w:tcBorders>
              <w:top w:val="nil"/>
              <w:left w:val="nil"/>
              <w:bottom w:val="nil"/>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合计</w:t>
            </w:r>
          </w:p>
        </w:tc>
        <w:tc>
          <w:tcPr>
            <w:tcW w:w="937" w:type="dxa"/>
            <w:tcBorders>
              <w:top w:val="nil"/>
              <w:left w:val="nil"/>
              <w:bottom w:val="nil"/>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其中引江济淮</w:t>
            </w:r>
          </w:p>
        </w:tc>
        <w:tc>
          <w:tcPr>
            <w:tcW w:w="1179" w:type="dxa"/>
            <w:tcBorders>
              <w:top w:val="nil"/>
              <w:left w:val="nil"/>
              <w:bottom w:val="nil"/>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其中淠河灌区水源</w:t>
            </w:r>
          </w:p>
        </w:tc>
        <w:tc>
          <w:tcPr>
            <w:tcW w:w="769" w:type="dxa"/>
            <w:vMerge w:val="continue"/>
            <w:tcBorders>
              <w:top w:val="single" w:color="auto" w:sz="4" w:space="0"/>
              <w:left w:val="single" w:color="auto" w:sz="4" w:space="0"/>
              <w:bottom w:val="nil"/>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38" w:type="dxa"/>
            <w:vMerge w:val="continue"/>
            <w:tcBorders>
              <w:top w:val="single" w:color="auto" w:sz="4" w:space="0"/>
              <w:left w:val="single" w:color="auto" w:sz="4" w:space="0"/>
              <w:bottom w:val="nil"/>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083" w:type="dxa"/>
            <w:vMerge w:val="continue"/>
            <w:tcBorders>
              <w:top w:val="single" w:color="auto" w:sz="4" w:space="0"/>
              <w:left w:val="single" w:color="auto" w:sz="4" w:space="0"/>
              <w:bottom w:val="nil"/>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r>
      <w:tr>
        <w:tblPrEx>
          <w:tblCellMar>
            <w:top w:w="0" w:type="dxa"/>
            <w:left w:w="108" w:type="dxa"/>
            <w:bottom w:w="0" w:type="dxa"/>
            <w:right w:w="108" w:type="dxa"/>
          </w:tblCellMar>
        </w:tblPrEx>
        <w:trPr>
          <w:trHeight w:val="327" w:hRule="atLeast"/>
          <w:jc w:val="center"/>
        </w:trPr>
        <w:tc>
          <w:tcPr>
            <w:tcW w:w="843"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2015</w:t>
            </w:r>
          </w:p>
        </w:tc>
        <w:tc>
          <w:tcPr>
            <w:tcW w:w="863"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6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083"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6.56</w:t>
            </w:r>
          </w:p>
        </w:tc>
        <w:tc>
          <w:tcPr>
            <w:tcW w:w="937"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1179"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769"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0.80</w:t>
            </w:r>
          </w:p>
        </w:tc>
        <w:tc>
          <w:tcPr>
            <w:tcW w:w="838"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1083"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7.36</w:t>
            </w:r>
          </w:p>
        </w:tc>
      </w:tr>
      <w:tr>
        <w:tblPrEx>
          <w:tblCellMar>
            <w:top w:w="0" w:type="dxa"/>
            <w:left w:w="108" w:type="dxa"/>
            <w:bottom w:w="0" w:type="dxa"/>
            <w:right w:w="108" w:type="dxa"/>
          </w:tblCellMar>
        </w:tblPrEx>
        <w:trPr>
          <w:trHeight w:val="327" w:hRule="atLeast"/>
          <w:jc w:val="center"/>
        </w:trPr>
        <w:tc>
          <w:tcPr>
            <w:tcW w:w="84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6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10.35</w:t>
            </w:r>
          </w:p>
        </w:tc>
        <w:tc>
          <w:tcPr>
            <w:tcW w:w="93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117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4.03</w:t>
            </w:r>
          </w:p>
        </w:tc>
        <w:tc>
          <w:tcPr>
            <w:tcW w:w="76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0.02</w:t>
            </w:r>
          </w:p>
        </w:tc>
        <w:tc>
          <w:tcPr>
            <w:tcW w:w="83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0.18</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10.54</w:t>
            </w:r>
          </w:p>
        </w:tc>
      </w:tr>
      <w:tr>
        <w:tblPrEx>
          <w:tblCellMar>
            <w:top w:w="0" w:type="dxa"/>
            <w:left w:w="108" w:type="dxa"/>
            <w:bottom w:w="0" w:type="dxa"/>
            <w:right w:w="108" w:type="dxa"/>
          </w:tblCellMar>
        </w:tblPrEx>
        <w:trPr>
          <w:trHeight w:val="327" w:hRule="atLeast"/>
          <w:jc w:val="center"/>
        </w:trPr>
        <w:tc>
          <w:tcPr>
            <w:tcW w:w="84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6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16.90 </w:t>
            </w:r>
          </w:p>
        </w:tc>
        <w:tc>
          <w:tcPr>
            <w:tcW w:w="93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0.00 </w:t>
            </w:r>
          </w:p>
        </w:tc>
        <w:tc>
          <w:tcPr>
            <w:tcW w:w="117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4.03 </w:t>
            </w:r>
          </w:p>
        </w:tc>
        <w:tc>
          <w:tcPr>
            <w:tcW w:w="76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0.82 </w:t>
            </w:r>
          </w:p>
        </w:tc>
        <w:tc>
          <w:tcPr>
            <w:tcW w:w="83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0.18 </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17.90 </w:t>
            </w:r>
          </w:p>
        </w:tc>
      </w:tr>
      <w:tr>
        <w:tblPrEx>
          <w:tblCellMar>
            <w:top w:w="0" w:type="dxa"/>
            <w:left w:w="108" w:type="dxa"/>
            <w:bottom w:w="0" w:type="dxa"/>
            <w:right w:w="108" w:type="dxa"/>
          </w:tblCellMar>
        </w:tblPrEx>
        <w:trPr>
          <w:trHeight w:val="327" w:hRule="atLeast"/>
          <w:jc w:val="center"/>
        </w:trPr>
        <w:tc>
          <w:tcPr>
            <w:tcW w:w="84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63"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3.66</w:t>
            </w:r>
          </w:p>
        </w:tc>
        <w:tc>
          <w:tcPr>
            <w:tcW w:w="93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117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76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0.02</w:t>
            </w:r>
          </w:p>
        </w:tc>
        <w:tc>
          <w:tcPr>
            <w:tcW w:w="83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0.18</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3.85</w:t>
            </w:r>
          </w:p>
        </w:tc>
      </w:tr>
      <w:tr>
        <w:tblPrEx>
          <w:tblCellMar>
            <w:top w:w="0" w:type="dxa"/>
            <w:left w:w="108" w:type="dxa"/>
            <w:bottom w:w="0" w:type="dxa"/>
            <w:right w:w="108" w:type="dxa"/>
          </w:tblCellMar>
        </w:tblPrEx>
        <w:trPr>
          <w:trHeight w:val="327" w:hRule="atLeast"/>
          <w:jc w:val="center"/>
        </w:trPr>
        <w:tc>
          <w:tcPr>
            <w:tcW w:w="84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6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2.64</w:t>
            </w:r>
          </w:p>
        </w:tc>
        <w:tc>
          <w:tcPr>
            <w:tcW w:w="93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117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76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0.31</w:t>
            </w:r>
          </w:p>
        </w:tc>
        <w:tc>
          <w:tcPr>
            <w:tcW w:w="83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2.96</w:t>
            </w:r>
          </w:p>
        </w:tc>
      </w:tr>
      <w:tr>
        <w:tblPrEx>
          <w:tblCellMar>
            <w:top w:w="0" w:type="dxa"/>
            <w:left w:w="108" w:type="dxa"/>
            <w:bottom w:w="0" w:type="dxa"/>
            <w:right w:w="108" w:type="dxa"/>
          </w:tblCellMar>
        </w:tblPrEx>
        <w:trPr>
          <w:trHeight w:val="327" w:hRule="atLeast"/>
          <w:jc w:val="center"/>
        </w:trPr>
        <w:tc>
          <w:tcPr>
            <w:tcW w:w="84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6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3.92</w:t>
            </w:r>
          </w:p>
        </w:tc>
        <w:tc>
          <w:tcPr>
            <w:tcW w:w="93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117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76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0.49</w:t>
            </w:r>
          </w:p>
        </w:tc>
        <w:tc>
          <w:tcPr>
            <w:tcW w:w="83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4.41</w:t>
            </w:r>
          </w:p>
        </w:tc>
      </w:tr>
      <w:tr>
        <w:tblPrEx>
          <w:tblCellMar>
            <w:top w:w="0" w:type="dxa"/>
            <w:left w:w="108" w:type="dxa"/>
            <w:bottom w:w="0" w:type="dxa"/>
            <w:right w:w="108" w:type="dxa"/>
          </w:tblCellMar>
        </w:tblPrEx>
        <w:trPr>
          <w:trHeight w:val="327" w:hRule="atLeast"/>
          <w:jc w:val="center"/>
        </w:trPr>
        <w:tc>
          <w:tcPr>
            <w:tcW w:w="84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6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6.68</w:t>
            </w:r>
          </w:p>
        </w:tc>
        <w:tc>
          <w:tcPr>
            <w:tcW w:w="93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117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4.03</w:t>
            </w:r>
          </w:p>
        </w:tc>
        <w:tc>
          <w:tcPr>
            <w:tcW w:w="76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83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6.68</w:t>
            </w:r>
          </w:p>
        </w:tc>
      </w:tr>
      <w:tr>
        <w:tblPrEx>
          <w:tblCellMar>
            <w:top w:w="0" w:type="dxa"/>
            <w:left w:w="108" w:type="dxa"/>
            <w:bottom w:w="0" w:type="dxa"/>
            <w:right w:w="108" w:type="dxa"/>
          </w:tblCellMar>
        </w:tblPrEx>
        <w:trPr>
          <w:trHeight w:val="327" w:hRule="atLeast"/>
          <w:jc w:val="center"/>
        </w:trPr>
        <w:tc>
          <w:tcPr>
            <w:tcW w:w="84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6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16.90 </w:t>
            </w:r>
          </w:p>
        </w:tc>
        <w:tc>
          <w:tcPr>
            <w:tcW w:w="93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0.00 </w:t>
            </w:r>
          </w:p>
        </w:tc>
        <w:tc>
          <w:tcPr>
            <w:tcW w:w="117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4.03 </w:t>
            </w:r>
          </w:p>
        </w:tc>
        <w:tc>
          <w:tcPr>
            <w:tcW w:w="76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0.82 </w:t>
            </w:r>
          </w:p>
        </w:tc>
        <w:tc>
          <w:tcPr>
            <w:tcW w:w="83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0.18 </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17.90 </w:t>
            </w:r>
          </w:p>
        </w:tc>
      </w:tr>
      <w:tr>
        <w:tblPrEx>
          <w:tblCellMar>
            <w:top w:w="0" w:type="dxa"/>
            <w:left w:w="108" w:type="dxa"/>
            <w:bottom w:w="0" w:type="dxa"/>
            <w:right w:w="108" w:type="dxa"/>
          </w:tblCellMar>
        </w:tblPrEx>
        <w:trPr>
          <w:trHeight w:val="327" w:hRule="atLeast"/>
          <w:jc w:val="center"/>
        </w:trPr>
        <w:tc>
          <w:tcPr>
            <w:tcW w:w="843"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2020</w:t>
            </w:r>
          </w:p>
        </w:tc>
        <w:tc>
          <w:tcPr>
            <w:tcW w:w="863"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6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7.16</w:t>
            </w:r>
          </w:p>
        </w:tc>
        <w:tc>
          <w:tcPr>
            <w:tcW w:w="93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117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76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0.82</w:t>
            </w:r>
          </w:p>
        </w:tc>
        <w:tc>
          <w:tcPr>
            <w:tcW w:w="83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0.80</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8.78</w:t>
            </w:r>
          </w:p>
        </w:tc>
      </w:tr>
      <w:tr>
        <w:tblPrEx>
          <w:tblCellMar>
            <w:top w:w="0" w:type="dxa"/>
            <w:left w:w="108" w:type="dxa"/>
            <w:bottom w:w="0" w:type="dxa"/>
            <w:right w:w="108" w:type="dxa"/>
          </w:tblCellMar>
        </w:tblPrEx>
        <w:trPr>
          <w:trHeight w:val="327" w:hRule="atLeast"/>
          <w:jc w:val="center"/>
        </w:trPr>
        <w:tc>
          <w:tcPr>
            <w:tcW w:w="84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6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11.37</w:t>
            </w:r>
          </w:p>
        </w:tc>
        <w:tc>
          <w:tcPr>
            <w:tcW w:w="93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117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4.83</w:t>
            </w:r>
          </w:p>
        </w:tc>
        <w:tc>
          <w:tcPr>
            <w:tcW w:w="76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0.02</w:t>
            </w:r>
          </w:p>
        </w:tc>
        <w:tc>
          <w:tcPr>
            <w:tcW w:w="83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0.41</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11.80</w:t>
            </w:r>
          </w:p>
        </w:tc>
      </w:tr>
      <w:tr>
        <w:tblPrEx>
          <w:tblCellMar>
            <w:top w:w="0" w:type="dxa"/>
            <w:left w:w="108" w:type="dxa"/>
            <w:bottom w:w="0" w:type="dxa"/>
            <w:right w:w="108" w:type="dxa"/>
          </w:tblCellMar>
        </w:tblPrEx>
        <w:trPr>
          <w:trHeight w:val="327" w:hRule="atLeast"/>
          <w:jc w:val="center"/>
        </w:trPr>
        <w:tc>
          <w:tcPr>
            <w:tcW w:w="84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6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18.53 </w:t>
            </w:r>
          </w:p>
        </w:tc>
        <w:tc>
          <w:tcPr>
            <w:tcW w:w="93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0.00 </w:t>
            </w:r>
          </w:p>
        </w:tc>
        <w:tc>
          <w:tcPr>
            <w:tcW w:w="117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4.83 </w:t>
            </w:r>
          </w:p>
        </w:tc>
        <w:tc>
          <w:tcPr>
            <w:tcW w:w="76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0.84 </w:t>
            </w:r>
          </w:p>
        </w:tc>
        <w:tc>
          <w:tcPr>
            <w:tcW w:w="83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szCs w:val="21"/>
              </w:rPr>
              <w:t xml:space="preserve">1.21 </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20.58 </w:t>
            </w:r>
          </w:p>
        </w:tc>
      </w:tr>
      <w:tr>
        <w:tblPrEx>
          <w:tblCellMar>
            <w:top w:w="0" w:type="dxa"/>
            <w:left w:w="108" w:type="dxa"/>
            <w:bottom w:w="0" w:type="dxa"/>
            <w:right w:w="108" w:type="dxa"/>
          </w:tblCellMar>
        </w:tblPrEx>
        <w:trPr>
          <w:trHeight w:val="327" w:hRule="atLeast"/>
          <w:jc w:val="center"/>
        </w:trPr>
        <w:tc>
          <w:tcPr>
            <w:tcW w:w="84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63"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4.32</w:t>
            </w:r>
          </w:p>
        </w:tc>
        <w:tc>
          <w:tcPr>
            <w:tcW w:w="93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117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0.80</w:t>
            </w:r>
          </w:p>
        </w:tc>
        <w:tc>
          <w:tcPr>
            <w:tcW w:w="76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0.02</w:t>
            </w:r>
          </w:p>
        </w:tc>
        <w:tc>
          <w:tcPr>
            <w:tcW w:w="83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0.38</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4.72</w:t>
            </w:r>
          </w:p>
        </w:tc>
      </w:tr>
      <w:tr>
        <w:tblPrEx>
          <w:tblCellMar>
            <w:top w:w="0" w:type="dxa"/>
            <w:left w:w="108" w:type="dxa"/>
            <w:bottom w:w="0" w:type="dxa"/>
            <w:right w:w="108" w:type="dxa"/>
          </w:tblCellMar>
        </w:tblPrEx>
        <w:trPr>
          <w:trHeight w:val="327" w:hRule="atLeast"/>
          <w:jc w:val="center"/>
        </w:trPr>
        <w:tc>
          <w:tcPr>
            <w:tcW w:w="84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6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2.92</w:t>
            </w:r>
          </w:p>
        </w:tc>
        <w:tc>
          <w:tcPr>
            <w:tcW w:w="93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117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76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0.31</w:t>
            </w:r>
          </w:p>
        </w:tc>
        <w:tc>
          <w:tcPr>
            <w:tcW w:w="83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0.34</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3.57</w:t>
            </w:r>
          </w:p>
        </w:tc>
      </w:tr>
      <w:tr>
        <w:tblPrEx>
          <w:tblCellMar>
            <w:top w:w="0" w:type="dxa"/>
            <w:left w:w="108" w:type="dxa"/>
            <w:bottom w:w="0" w:type="dxa"/>
            <w:right w:w="108" w:type="dxa"/>
          </w:tblCellMar>
        </w:tblPrEx>
        <w:trPr>
          <w:trHeight w:val="327" w:hRule="atLeast"/>
          <w:jc w:val="center"/>
        </w:trPr>
        <w:tc>
          <w:tcPr>
            <w:tcW w:w="84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6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4.28</w:t>
            </w:r>
          </w:p>
        </w:tc>
        <w:tc>
          <w:tcPr>
            <w:tcW w:w="93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117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76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0.51</w:t>
            </w:r>
          </w:p>
        </w:tc>
        <w:tc>
          <w:tcPr>
            <w:tcW w:w="83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0.46</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5.25</w:t>
            </w:r>
          </w:p>
        </w:tc>
      </w:tr>
      <w:tr>
        <w:tblPrEx>
          <w:tblCellMar>
            <w:top w:w="0" w:type="dxa"/>
            <w:left w:w="108" w:type="dxa"/>
            <w:bottom w:w="0" w:type="dxa"/>
            <w:right w:w="108" w:type="dxa"/>
          </w:tblCellMar>
        </w:tblPrEx>
        <w:trPr>
          <w:trHeight w:val="327" w:hRule="atLeast"/>
          <w:jc w:val="center"/>
        </w:trPr>
        <w:tc>
          <w:tcPr>
            <w:tcW w:w="84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6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7.01</w:t>
            </w:r>
          </w:p>
        </w:tc>
        <w:tc>
          <w:tcPr>
            <w:tcW w:w="93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117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4.03</w:t>
            </w:r>
          </w:p>
        </w:tc>
        <w:tc>
          <w:tcPr>
            <w:tcW w:w="76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83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0.03</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7.04</w:t>
            </w:r>
          </w:p>
        </w:tc>
      </w:tr>
      <w:tr>
        <w:tblPrEx>
          <w:tblCellMar>
            <w:top w:w="0" w:type="dxa"/>
            <w:left w:w="108" w:type="dxa"/>
            <w:bottom w:w="0" w:type="dxa"/>
            <w:right w:w="108" w:type="dxa"/>
          </w:tblCellMar>
        </w:tblPrEx>
        <w:trPr>
          <w:trHeight w:val="327" w:hRule="atLeast"/>
          <w:jc w:val="center"/>
        </w:trPr>
        <w:tc>
          <w:tcPr>
            <w:tcW w:w="84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6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18.53 </w:t>
            </w:r>
          </w:p>
        </w:tc>
        <w:tc>
          <w:tcPr>
            <w:tcW w:w="93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0.00 </w:t>
            </w:r>
          </w:p>
        </w:tc>
        <w:tc>
          <w:tcPr>
            <w:tcW w:w="117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4.83 </w:t>
            </w:r>
          </w:p>
        </w:tc>
        <w:tc>
          <w:tcPr>
            <w:tcW w:w="76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0.84 </w:t>
            </w:r>
          </w:p>
        </w:tc>
        <w:tc>
          <w:tcPr>
            <w:tcW w:w="83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szCs w:val="21"/>
              </w:rPr>
              <w:t xml:space="preserve">1.21 </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20.58 </w:t>
            </w:r>
          </w:p>
        </w:tc>
      </w:tr>
      <w:tr>
        <w:tblPrEx>
          <w:tblCellMar>
            <w:top w:w="0" w:type="dxa"/>
            <w:left w:w="108" w:type="dxa"/>
            <w:bottom w:w="0" w:type="dxa"/>
            <w:right w:w="108" w:type="dxa"/>
          </w:tblCellMar>
        </w:tblPrEx>
        <w:trPr>
          <w:trHeight w:val="327" w:hRule="atLeast"/>
          <w:jc w:val="center"/>
        </w:trPr>
        <w:tc>
          <w:tcPr>
            <w:tcW w:w="843"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2030</w:t>
            </w:r>
          </w:p>
        </w:tc>
        <w:tc>
          <w:tcPr>
            <w:tcW w:w="863"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水资源分区</w:t>
            </w:r>
          </w:p>
        </w:tc>
        <w:tc>
          <w:tcPr>
            <w:tcW w:w="16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王蚌区间北岸</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7.52</w:t>
            </w:r>
          </w:p>
        </w:tc>
        <w:tc>
          <w:tcPr>
            <w:tcW w:w="93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2.42</w:t>
            </w:r>
          </w:p>
        </w:tc>
        <w:tc>
          <w:tcPr>
            <w:tcW w:w="117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76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0.84</w:t>
            </w:r>
          </w:p>
        </w:tc>
        <w:tc>
          <w:tcPr>
            <w:tcW w:w="83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1.12</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9.49</w:t>
            </w:r>
          </w:p>
        </w:tc>
      </w:tr>
      <w:tr>
        <w:tblPrEx>
          <w:tblCellMar>
            <w:top w:w="0" w:type="dxa"/>
            <w:left w:w="108" w:type="dxa"/>
            <w:bottom w:w="0" w:type="dxa"/>
            <w:right w:w="108" w:type="dxa"/>
          </w:tblCellMar>
        </w:tblPrEx>
        <w:trPr>
          <w:trHeight w:val="327" w:hRule="atLeast"/>
          <w:jc w:val="center"/>
        </w:trPr>
        <w:tc>
          <w:tcPr>
            <w:tcW w:w="84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6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王蚌区间南岸</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11.57</w:t>
            </w:r>
          </w:p>
        </w:tc>
        <w:tc>
          <w:tcPr>
            <w:tcW w:w="93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1.44</w:t>
            </w:r>
          </w:p>
        </w:tc>
        <w:tc>
          <w:tcPr>
            <w:tcW w:w="117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4.83</w:t>
            </w:r>
          </w:p>
        </w:tc>
        <w:tc>
          <w:tcPr>
            <w:tcW w:w="76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0.01</w:t>
            </w:r>
          </w:p>
        </w:tc>
        <w:tc>
          <w:tcPr>
            <w:tcW w:w="83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0.60</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12.18</w:t>
            </w:r>
          </w:p>
        </w:tc>
      </w:tr>
      <w:tr>
        <w:tblPrEx>
          <w:tblCellMar>
            <w:top w:w="0" w:type="dxa"/>
            <w:left w:w="108" w:type="dxa"/>
            <w:bottom w:w="0" w:type="dxa"/>
            <w:right w:w="108" w:type="dxa"/>
          </w:tblCellMar>
        </w:tblPrEx>
        <w:trPr>
          <w:trHeight w:val="327" w:hRule="atLeast"/>
          <w:jc w:val="center"/>
        </w:trPr>
        <w:tc>
          <w:tcPr>
            <w:tcW w:w="84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6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19.10 </w:t>
            </w:r>
          </w:p>
        </w:tc>
        <w:tc>
          <w:tcPr>
            <w:tcW w:w="93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3.86 </w:t>
            </w:r>
          </w:p>
        </w:tc>
        <w:tc>
          <w:tcPr>
            <w:tcW w:w="117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4.83 </w:t>
            </w:r>
          </w:p>
        </w:tc>
        <w:tc>
          <w:tcPr>
            <w:tcW w:w="76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0.85 </w:t>
            </w:r>
          </w:p>
        </w:tc>
        <w:tc>
          <w:tcPr>
            <w:tcW w:w="83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1.72 </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21.67 </w:t>
            </w:r>
          </w:p>
        </w:tc>
      </w:tr>
      <w:tr>
        <w:tblPrEx>
          <w:tblCellMar>
            <w:top w:w="0" w:type="dxa"/>
            <w:left w:w="108" w:type="dxa"/>
            <w:bottom w:w="0" w:type="dxa"/>
            <w:right w:w="108" w:type="dxa"/>
          </w:tblCellMar>
        </w:tblPrEx>
        <w:trPr>
          <w:trHeight w:val="327" w:hRule="atLeast"/>
          <w:jc w:val="center"/>
        </w:trPr>
        <w:tc>
          <w:tcPr>
            <w:tcW w:w="84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63"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16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淮南市市区</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4.45</w:t>
            </w:r>
          </w:p>
        </w:tc>
        <w:tc>
          <w:tcPr>
            <w:tcW w:w="93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1.03</w:t>
            </w:r>
          </w:p>
        </w:tc>
        <w:tc>
          <w:tcPr>
            <w:tcW w:w="117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0.80</w:t>
            </w:r>
          </w:p>
        </w:tc>
        <w:tc>
          <w:tcPr>
            <w:tcW w:w="76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0.01</w:t>
            </w:r>
          </w:p>
        </w:tc>
        <w:tc>
          <w:tcPr>
            <w:tcW w:w="83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0.55</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5.01</w:t>
            </w:r>
          </w:p>
        </w:tc>
      </w:tr>
      <w:tr>
        <w:tblPrEx>
          <w:tblCellMar>
            <w:top w:w="0" w:type="dxa"/>
            <w:left w:w="108" w:type="dxa"/>
            <w:bottom w:w="0" w:type="dxa"/>
            <w:right w:w="108" w:type="dxa"/>
          </w:tblCellMar>
        </w:tblPrEx>
        <w:trPr>
          <w:trHeight w:val="327" w:hRule="atLeast"/>
          <w:jc w:val="center"/>
        </w:trPr>
        <w:tc>
          <w:tcPr>
            <w:tcW w:w="84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6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3.19</w:t>
            </w:r>
          </w:p>
        </w:tc>
        <w:tc>
          <w:tcPr>
            <w:tcW w:w="93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1.18</w:t>
            </w:r>
          </w:p>
        </w:tc>
        <w:tc>
          <w:tcPr>
            <w:tcW w:w="117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76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0.31</w:t>
            </w:r>
          </w:p>
        </w:tc>
        <w:tc>
          <w:tcPr>
            <w:tcW w:w="83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0.60</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4.10</w:t>
            </w:r>
          </w:p>
        </w:tc>
      </w:tr>
      <w:tr>
        <w:tblPrEx>
          <w:tblCellMar>
            <w:top w:w="0" w:type="dxa"/>
            <w:left w:w="108" w:type="dxa"/>
            <w:bottom w:w="0" w:type="dxa"/>
            <w:right w:w="108" w:type="dxa"/>
          </w:tblCellMar>
        </w:tblPrEx>
        <w:trPr>
          <w:trHeight w:val="327" w:hRule="atLeast"/>
          <w:jc w:val="center"/>
        </w:trPr>
        <w:tc>
          <w:tcPr>
            <w:tcW w:w="84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6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凤台县、毛集区</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4.39</w:t>
            </w:r>
          </w:p>
        </w:tc>
        <w:tc>
          <w:tcPr>
            <w:tcW w:w="93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1.23</w:t>
            </w:r>
          </w:p>
        </w:tc>
        <w:tc>
          <w:tcPr>
            <w:tcW w:w="117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76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0.53</w:t>
            </w:r>
          </w:p>
        </w:tc>
        <w:tc>
          <w:tcPr>
            <w:tcW w:w="83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0.52</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5.44</w:t>
            </w:r>
          </w:p>
        </w:tc>
      </w:tr>
      <w:tr>
        <w:tblPrEx>
          <w:tblCellMar>
            <w:top w:w="0" w:type="dxa"/>
            <w:left w:w="108" w:type="dxa"/>
            <w:bottom w:w="0" w:type="dxa"/>
            <w:right w:w="108" w:type="dxa"/>
          </w:tblCellMar>
        </w:tblPrEx>
        <w:trPr>
          <w:trHeight w:val="327" w:hRule="atLeast"/>
          <w:jc w:val="center"/>
        </w:trPr>
        <w:tc>
          <w:tcPr>
            <w:tcW w:w="84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6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7.07</w:t>
            </w:r>
          </w:p>
        </w:tc>
        <w:tc>
          <w:tcPr>
            <w:tcW w:w="93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0.41</w:t>
            </w:r>
          </w:p>
        </w:tc>
        <w:tc>
          <w:tcPr>
            <w:tcW w:w="117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4.03</w:t>
            </w:r>
          </w:p>
        </w:tc>
        <w:tc>
          <w:tcPr>
            <w:tcW w:w="76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0.00</w:t>
            </w:r>
          </w:p>
        </w:tc>
        <w:tc>
          <w:tcPr>
            <w:tcW w:w="83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0.05</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7.11</w:t>
            </w:r>
          </w:p>
        </w:tc>
      </w:tr>
      <w:tr>
        <w:tblPrEx>
          <w:tblCellMar>
            <w:top w:w="0" w:type="dxa"/>
            <w:left w:w="108" w:type="dxa"/>
            <w:bottom w:w="0" w:type="dxa"/>
            <w:right w:w="108" w:type="dxa"/>
          </w:tblCellMar>
        </w:tblPrEx>
        <w:trPr>
          <w:trHeight w:val="337" w:hRule="atLeast"/>
          <w:jc w:val="center"/>
        </w:trPr>
        <w:tc>
          <w:tcPr>
            <w:tcW w:w="84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863" w:type="dxa"/>
            <w:vMerge w:val="continue"/>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p>
        </w:tc>
        <w:tc>
          <w:tcPr>
            <w:tcW w:w="164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合  计</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19.10 </w:t>
            </w:r>
          </w:p>
        </w:tc>
        <w:tc>
          <w:tcPr>
            <w:tcW w:w="937"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3.86 </w:t>
            </w:r>
          </w:p>
        </w:tc>
        <w:tc>
          <w:tcPr>
            <w:tcW w:w="117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4.83 </w:t>
            </w:r>
          </w:p>
        </w:tc>
        <w:tc>
          <w:tcPr>
            <w:tcW w:w="769"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0.85 </w:t>
            </w:r>
          </w:p>
        </w:tc>
        <w:tc>
          <w:tcPr>
            <w:tcW w:w="83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1.72 </w:t>
            </w:r>
          </w:p>
        </w:tc>
        <w:tc>
          <w:tcPr>
            <w:tcW w:w="108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方正仿宋_GBK" w:cs="Times New Roman"/>
                <w:b/>
                <w:bCs/>
                <w:color w:val="000000"/>
                <w:szCs w:val="21"/>
              </w:rPr>
            </w:pPr>
            <w:r>
              <w:rPr>
                <w:rFonts w:hint="default" w:ascii="Times New Roman" w:hAnsi="Times New Roman" w:eastAsia="方正仿宋_GBK" w:cs="Times New Roman"/>
                <w:b/>
                <w:bCs/>
                <w:color w:val="000000"/>
                <w:szCs w:val="21"/>
              </w:rPr>
              <w:t xml:space="preserve">21.67 </w:t>
            </w:r>
          </w:p>
        </w:tc>
      </w:tr>
    </w:tbl>
    <w:p>
      <w:pPr>
        <w:pageBreakBefore w:val="0"/>
        <w:widowControl w:val="0"/>
        <w:kinsoku/>
        <w:wordWrap/>
        <w:overflowPunct/>
        <w:autoSpaceDE/>
        <w:autoSpaceDN/>
        <w:bidi w:val="0"/>
        <w:spacing w:line="590" w:lineRule="exact"/>
        <w:jc w:val="center"/>
        <w:rPr>
          <w:rFonts w:hint="default" w:ascii="Times New Roman" w:hAnsi="Times New Roman" w:eastAsia="方正黑体_GBK" w:cs="Times New Roman"/>
          <w:b w:val="0"/>
          <w:bCs w:val="0"/>
          <w:sz w:val="32"/>
          <w:szCs w:val="32"/>
        </w:rPr>
      </w:pPr>
    </w:p>
    <w:p>
      <w:pPr>
        <w:pStyle w:val="4"/>
        <w:pageBreakBefore w:val="0"/>
        <w:widowControl w:val="0"/>
        <w:kinsoku/>
        <w:wordWrap/>
        <w:overflowPunct/>
        <w:autoSpaceDE/>
        <w:autoSpaceDN/>
        <w:bidi w:val="0"/>
        <w:spacing w:line="590" w:lineRule="exact"/>
        <w:rPr>
          <w:rFonts w:hint="default" w:ascii="Times New Roman" w:hAnsi="Times New Roman" w:eastAsia="方正黑体_GBK" w:cs="Times New Roman"/>
          <w:b w:val="0"/>
          <w:bCs w:val="0"/>
          <w:sz w:val="32"/>
          <w:szCs w:val="32"/>
        </w:rPr>
      </w:pPr>
      <w:bookmarkStart w:id="216" w:name="_Toc27535"/>
      <w:r>
        <w:rPr>
          <w:rFonts w:hint="default" w:ascii="Times New Roman" w:hAnsi="Times New Roman" w:eastAsia="方正黑体_GBK" w:cs="Times New Roman"/>
          <w:b w:val="0"/>
          <w:bCs w:val="0"/>
          <w:sz w:val="32"/>
          <w:szCs w:val="32"/>
        </w:rPr>
        <w:t>第三节  水资源配置工程</w:t>
      </w:r>
      <w:bookmarkEnd w:id="216"/>
    </w:p>
    <w:p>
      <w:pPr>
        <w:pStyle w:val="5"/>
        <w:pageBreakBefore w:val="0"/>
        <w:widowControl w:val="0"/>
        <w:kinsoku/>
        <w:wordWrap/>
        <w:overflowPunct/>
        <w:autoSpaceDE/>
        <w:autoSpaceDN/>
        <w:bidi w:val="0"/>
        <w:spacing w:line="590" w:lineRule="exact"/>
        <w:ind w:firstLine="568"/>
        <w:rPr>
          <w:rFonts w:hint="eastAsia" w:ascii="方正楷体_GBK" w:hAnsi="方正楷体_GBK" w:eastAsia="方正楷体_GBK" w:cs="方正楷体_GBK"/>
          <w:b w:val="0"/>
          <w:bCs w:val="0"/>
          <w:sz w:val="32"/>
          <w:szCs w:val="32"/>
        </w:rPr>
      </w:pPr>
      <w:bookmarkStart w:id="217" w:name="_Toc12194"/>
      <w:r>
        <w:rPr>
          <w:rFonts w:hint="eastAsia" w:ascii="方正楷体_GBK" w:hAnsi="方正楷体_GBK" w:eastAsia="方正楷体_GBK" w:cs="方正楷体_GBK"/>
          <w:b w:val="0"/>
          <w:bCs w:val="0"/>
          <w:sz w:val="32"/>
          <w:szCs w:val="32"/>
        </w:rPr>
        <w:t>一、重点水源工程</w:t>
      </w:r>
      <w:bookmarkEnd w:id="217"/>
    </w:p>
    <w:p>
      <w:pPr>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（一）淮南市大别山优质水源工程</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为提高用水效率，实现水资源高效利用，保护水资源和水生态环境，规范</w:t>
      </w:r>
      <w:r>
        <w:rPr>
          <w:rFonts w:hint="default" w:ascii="Times New Roman" w:hAnsi="Times New Roman" w:eastAsia="方正仿宋_GBK" w:cs="Times New Roman"/>
          <w:sz w:val="32"/>
          <w:szCs w:val="32"/>
        </w:rPr>
        <w:t>用水行为，维护灌区传统用水权益和保障合肥经济圈发展安全用水，安徽省水利厅组织编制了《安徽省中西部重点区域及淠史杭灌区水量分配方案》，2011年9月省政府以皖政办秘〔2011〕151号文进行了批复。该方案以淠史杭灌区涉及的行政区域为分配范围，以佛子岭、磨子潭、白莲崖、响洪甸、梅山、龙河口六大水库为主要水源地，提出一般和中等干旱年各市级水量分配控制指标。考虑到淮南市舜耕山以南部分新区的供水安全问题，按照“以供定需，丰增枯减”的原则，方案拟定在一般年份（50%保证率）由淠河灌区的淠河总干渠每年调水0.80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，中等干旱年份（</w:t>
      </w:r>
      <w:r>
        <w:rPr>
          <w:rFonts w:hint="default" w:ascii="Times New Roman" w:hAnsi="Times New Roman" w:eastAsia="方正仿宋_GBK" w:cs="Times New Roman"/>
          <w:sz w:val="32"/>
          <w:szCs w:val="32"/>
          <w:lang w:eastAsia="zh-CN"/>
        </w:rPr>
        <w:t>75%</w:t>
      </w:r>
      <w:r>
        <w:rPr>
          <w:rFonts w:hint="default" w:ascii="Times New Roman" w:hAnsi="Times New Roman" w:eastAsia="方正仿宋_GBK" w:cs="Times New Roman"/>
          <w:sz w:val="32"/>
          <w:szCs w:val="32"/>
        </w:rPr>
        <w:t>保证率）分配的水量为0.40亿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。调水工程设计调水量为20.0万t/</w:t>
      </w:r>
      <w:r>
        <w:rPr>
          <w:rFonts w:hint="default" w:ascii="Times New Roman" w:hAnsi="Times New Roman" w:eastAsia="方正仿宋_GBK" w:cs="Times New Roman"/>
          <w:sz w:val="32"/>
          <w:szCs w:val="32"/>
          <w:lang w:val="en-US" w:eastAsia="zh-CN"/>
        </w:rPr>
        <w:t>d</w:t>
      </w:r>
      <w:r>
        <w:rPr>
          <w:rFonts w:hint="default" w:ascii="Times New Roman" w:hAnsi="Times New Roman" w:eastAsia="方正仿宋_GBK" w:cs="Times New Roman"/>
          <w:sz w:val="32"/>
          <w:szCs w:val="32"/>
        </w:rPr>
        <w:t>。</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引大别山优质水源工程取水泵站位于寿县大井水库，出水口在山南新区水厂，根据地形地势状况及安全用水需要，采用压力管道输水。工程由取水泵站、压力输水管道等组成。通过比较，管线自取水泵站沿乡村公路向东至义井乡，沿206国道西侧经庄墓镇至曹庵镇，后沿102省道西南侧行至杨公镇曹桥村附近，再沿一条无名小河西侧向北直至山南新区水厂，线路总长约47.35km。</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工程所取水量均来自淠河灌区依据《安徽省中西部重点区域及淠史杭灌区水量分配方案》分配的水，在瓦东干渠及河岔铺分干渠续建配套与节水改造后，通过工程措施增加大井水库的调节库容，并加强水量调度与管理，大井水库的水源是可靠的；在加强水质保护措施后，大井水库水质满足生活饮用水水质标准。</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淮南市从大别山水库供水，经大井水库调蓄后再经过管道输送至山南新区。根据以上分析，规划2020年淮南市引大别山优质水源工程多年平均可从大井水库取水量6141万</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，50%保证率年份取水量6400万</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，75%保证率年份取水量3200万</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。本供水工程按照50%保证率取水量设计，水厂规模为20万t/d，考虑水厂自用水及管损10%，日变化系数为1.27，源水泵站设计流量2.56</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/s。</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输水管道采取PCCP双管埋设，管径1.2m，取水站总装机：近期2300kW，远期4650 kW。工程总投资：近期6.38亿元，远期6.42亿元。</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淮南市引大别山优质水源工程取水泵站也可设在寿县安丰塘水库，采用于和大井水库同样的输水方式</w:t>
      </w:r>
    </w:p>
    <w:p>
      <w:pPr>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（二）引江济淮工程</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引江济淮工程任务以城乡供水和发展江淮航运为主，结合灌溉补水和改善巢湖及淮河水生态环境。工程供水范围涉及安徽省毫州、阜阳、宿州、淮北、蚌埠、淮南、滁州、铜陵、合肥、马鞍山、芜湖、安庆12个市46个县(市、区)，以及河南省周口、商丘2个市9个县(市、区)，总面积7.06万平方公里。</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到2030年，工程多年平均引江水量33.03亿立方米。到2040年，工程多年平均引江水量可扩大到43亿立方米，其中生产和生活用水占70%，农业灌溉用水占10%，其余为生态和航运用水。</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引江济淮工程包括引江济巢、江淮沟通、江水北送三段，输水线路总长723公里，其中利用现有河湖311.6公里，疏浚扩挖215.6公里，新开河渠88.7公里，压力管道107.1公里。工程建成后，从长江下游引水，经巢湖，穿越江淮分水岭，向淮河中游地区补水，可以实现长江与巢湖的水量交换，加快巢湖水体流动，提升湖区水环境容量。</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淮南市境内涉及江淮沟通和江水北送两大段落，江淮沟通段自合肥市派河口沿派河上溯，跨越江淮分水岭，经东淝河进入瓦埠湖湖区。</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水北送承担着向淮北皖豫两省输水任务，主要利用沙颍河、西淝河、涡河等现有河道和在建的淮水北调形成多条输水线路，其中沙颍河、涡河线路主要承担农业灌溉补水任务，西淝河、淮水北调主要承担城市供水任务。淮南市境内主要涉及西淝河线路，西淝河线路是引江济淮工程向安徽淮河以北地区和河南省供水的主要通道，其供水范围涉及到阜阳、亳州、周口、商丘部分县区。引江济淮水量经瓦埠湖进入淮河干流后，在西淝河口由西淝河站抽水进入西淝河，后经阚疃南站、西淝河北站、朱集站、龙德站等泵站逐级向北供水，直至供水至河南。西淝河站设计输水流量均为85m³/s。</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路向北，江淮沟通段将沿派河输水至新建的蜀山泵站枢纽提水后，经新开挖的江淮分水岭渠段输水入瓦埠湖，再经东肥河闸入淮河。江水北送段则通过西淝河、沙颍河、涡河及怀洪新河四线共同向淮河以北输水，线路总长358.2公里。</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安徽省沿淮淮北地区当地水资源严重不足，特别是枯水年缺水量较大，生活、生产、生态用水受到严重威胁，区域经济社会的长远发展受到严重制约。省境长江流域水量丰沛，水质良好，是我省跨流域调水的理想水源。长江与淮河在我省境内相距不远，我省在上世纪50、60年代就提出了引江济淮的规划方案，曾是国务院国发（1990）56号文批转的南水北调三条规划线路之一。依据全省水资源配置总体布局，南水北调东线和引江济淮均是解决安徽沿淮淮北地区水资源不足的重大跨流域调水工程，各自有相对独立的供水范围，共同实施作用更大。淮南市作为安徽省沿淮地区重要城市，随着城市工农业生产的快速发展，需水量增速迅猛，引江济淮工程将是淮南市未来重要的城市补水水源。</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根据《引江济淮工程可行性研究报告》，2030水平年引江济淮工程引江规模为300m³/s，多年平均引江水量为33.03亿m³；其中分配淮南市多年平均水量为3.86亿m³。</w:t>
      </w:r>
    </w:p>
    <w:p>
      <w:pPr>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（三）淠史杭灌区工程</w:t>
      </w:r>
    </w:p>
    <w:p>
      <w:pPr>
        <w:adjustRightInd w:val="0"/>
        <w:snapToGrid w:val="0"/>
        <w:jc w:val="center"/>
        <w:rPr>
          <w:sz w:val="24"/>
        </w:rPr>
      </w:pPr>
      <w:r>
        <w:rPr>
          <w:rFonts w:hint="default" w:ascii="Times New Roman" w:hAnsi="Times New Roman" w:eastAsia="方正仿宋_GBK" w:cs="Times New Roman"/>
          <w:sz w:val="32"/>
          <w:szCs w:val="32"/>
        </w:rPr>
        <w:t>淠河灌区工程由横排头渠首枢纽、淠河总干渠、淠东干渠、淠杭干渠、瓦西干渠、潜南干渠、瓦东干渠等组成，利用佛子岭水库、磨子潭水库、响洪甸水库三大水库的水源向灌区（淮南）供水；同时用淮河、瓦埠湖是灌区尾部的补给水源。</w:t>
      </w:r>
      <w:r>
        <w:rPr>
          <w:sz w:val="24"/>
        </w:rPr>
        <w:drawing>
          <wp:inline distT="0" distB="0" distL="114300" distR="114300">
            <wp:extent cx="5193665" cy="7479030"/>
            <wp:effectExtent l="0" t="0" r="6985" b="7620"/>
            <wp:docPr id="89" name="图片 40" descr="淮南市淠河引水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0" descr="淮南市淠河引水工程"/>
                    <pic:cNvPicPr>
                      <a:picLocks noChangeAspect="1"/>
                    </pic:cNvPicPr>
                  </pic:nvPicPr>
                  <pic:blipFill>
                    <a:blip r:embed="rId39"/>
                    <a:srcRect r="1506"/>
                    <a:stretch>
                      <a:fillRect/>
                    </a:stretch>
                  </pic:blipFill>
                  <pic:spPr>
                    <a:xfrm>
                      <a:off x="0" y="0"/>
                      <a:ext cx="5193665" cy="7479030"/>
                    </a:xfrm>
                    <a:prstGeom prst="rect">
                      <a:avLst/>
                    </a:prstGeom>
                    <a:noFill/>
                    <a:ln>
                      <a:noFill/>
                    </a:ln>
                  </pic:spPr>
                </pic:pic>
              </a:graphicData>
            </a:graphic>
          </wp:inline>
        </w:drawing>
      </w:r>
    </w:p>
    <w:p>
      <w:pPr>
        <w:adjustRightInd w:val="0"/>
        <w:snapToGrid w:val="0"/>
        <w:ind w:firstLine="482" w:firstLineChars="200"/>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图6.3-1  淮南市引大别山优质水源工程图</w:t>
      </w:r>
    </w:p>
    <w:p>
      <w:pPr>
        <w:jc w:val="center"/>
        <w:rPr>
          <w:b/>
          <w:bCs/>
        </w:rPr>
      </w:pPr>
      <w:r>
        <w:rPr>
          <w:b/>
          <w:bCs/>
        </w:rPr>
        <w:drawing>
          <wp:inline distT="0" distB="0" distL="114300" distR="114300">
            <wp:extent cx="5124450" cy="6457315"/>
            <wp:effectExtent l="0" t="0" r="0" b="635"/>
            <wp:docPr id="90" name="图片 41" descr="引江济淮工程淮南市境内工程布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1" descr="引江济淮工程淮南市境内工程布局示意图"/>
                    <pic:cNvPicPr>
                      <a:picLocks noChangeAspect="1"/>
                    </pic:cNvPicPr>
                  </pic:nvPicPr>
                  <pic:blipFill>
                    <a:blip r:embed="rId40"/>
                    <a:srcRect t="9175" b="427"/>
                    <a:stretch>
                      <a:fillRect/>
                    </a:stretch>
                  </pic:blipFill>
                  <pic:spPr>
                    <a:xfrm>
                      <a:off x="0" y="0"/>
                      <a:ext cx="5124450" cy="6457315"/>
                    </a:xfrm>
                    <a:prstGeom prst="rect">
                      <a:avLst/>
                    </a:prstGeom>
                    <a:noFill/>
                    <a:ln>
                      <a:noFill/>
                    </a:ln>
                  </pic:spPr>
                </pic:pic>
              </a:graphicData>
            </a:graphic>
          </wp:inline>
        </w:drawing>
      </w:r>
    </w:p>
    <w:p>
      <w:pPr>
        <w:pStyle w:val="2"/>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图6.3-2  引江济淮工程淮南市境内工程布局示意图</w:t>
      </w:r>
    </w:p>
    <w:p>
      <w:pPr>
        <w:adjustRightInd w:val="0"/>
        <w:snapToGrid w:val="0"/>
        <w:spacing w:before="95" w:beforeLines="30" w:after="95" w:afterLines="30" w:line="520" w:lineRule="exact"/>
        <w:ind w:firstLine="643" w:firstLineChars="200"/>
        <w:rPr>
          <w:rFonts w:hint="default" w:ascii="Times New Roman" w:hAnsi="Times New Roman" w:eastAsia="方正仿宋_GBK" w:cs="Times New Roman"/>
          <w:b/>
          <w:bCs w:val="0"/>
          <w:kern w:val="21"/>
          <w:sz w:val="32"/>
          <w:szCs w:val="22"/>
          <w:lang w:val="en-US" w:eastAsia="zh-CN" w:bidi="ar-SA"/>
        </w:rPr>
      </w:pPr>
      <w:r>
        <w:rPr>
          <w:rFonts w:hint="default" w:ascii="Times New Roman" w:hAnsi="Times New Roman" w:eastAsia="方正仿宋_GBK" w:cs="Times New Roman"/>
          <w:b/>
          <w:bCs w:val="0"/>
          <w:kern w:val="21"/>
          <w:sz w:val="32"/>
          <w:szCs w:val="22"/>
          <w:lang w:val="en-US" w:eastAsia="zh-CN" w:bidi="ar-SA"/>
        </w:rPr>
        <w:t>（三）湖泊及水库</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淮南市湖泊水库众多，其中焦岗湖、瓦埠湖、高塘湖、石涧湖正常蓄水量达4.82亿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,安丰塘、大井、花果三中型正常蓄水量1.12亿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这是淮南市水资源宝库，它不仅确保周边工农业用水及人饮，同时也可作为淮南市应急备用水源地。将引江济淮、淠史杭跨流域调进优质水输送至这四大湖泊和三个中型水库中，联合成一个优质水源调度群，相为互补。它不仅作为淮南市正常供水源地，也可作为寿县城区，淮南市主城区应急备用水源。一定要保护好这些湖泊及水库，对建设“旅游城市”、“山水城市”非常重要的。</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eastAsia" w:ascii="方正楷体_GBK" w:hAnsi="方正楷体_GBK" w:eastAsia="方正楷体_GBK" w:cs="方正楷体_GBK"/>
          <w:sz w:val="32"/>
          <w:szCs w:val="32"/>
        </w:rPr>
      </w:pPr>
      <w:bookmarkStart w:id="218" w:name="_Toc20884"/>
      <w:r>
        <w:rPr>
          <w:rFonts w:hint="eastAsia" w:ascii="方正楷体_GBK" w:hAnsi="方正楷体_GBK" w:eastAsia="方正楷体_GBK" w:cs="方正楷体_GBK"/>
          <w:sz w:val="32"/>
          <w:szCs w:val="32"/>
        </w:rPr>
        <w:t>二、重点节水工程</w:t>
      </w:r>
      <w:bookmarkEnd w:id="218"/>
    </w:p>
    <w:p>
      <w:pPr>
        <w:keepNext w:val="0"/>
        <w:keepLines w:val="0"/>
        <w:pageBreakBefore w:val="0"/>
        <w:widowControl w:val="0"/>
        <w:kinsoku/>
        <w:wordWrap/>
        <w:overflowPunct/>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（一）农业节水工程</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规划对淮南市境内淠河灌区、茨淮新河灌区、永幸河灌区三座大型灌区和架河灌区朱集等21座中型灌区开展续建配套与节水改造工程。灌区续建配套与节水改造工程实施后，新增、改善灌溉面积100万亩，，工程总投资5.09亿元，详见表6.3-1。</w:t>
      </w:r>
    </w:p>
    <w:p>
      <w:pPr>
        <w:suppressLineNumbers/>
        <w:overflowPunct w:val="0"/>
        <w:autoSpaceDE w:val="0"/>
        <w:autoSpaceDN w:val="0"/>
        <w:spacing w:line="560" w:lineRule="exact"/>
        <w:ind w:firstLine="482"/>
        <w:jc w:val="center"/>
        <w:textAlignment w:val="bottom"/>
        <w:rPr>
          <w:rFonts w:hint="eastAsia" w:ascii="方正黑体_GBK" w:hAnsi="方正黑体_GBK" w:eastAsia="方正黑体_GBK" w:cs="方正黑体_GBK"/>
          <w:b/>
          <w:bCs/>
          <w:kern w:val="0"/>
          <w:sz w:val="24"/>
        </w:rPr>
      </w:pPr>
      <w:r>
        <w:rPr>
          <w:rFonts w:hint="eastAsia" w:ascii="方正黑体_GBK" w:hAnsi="方正黑体_GBK" w:eastAsia="方正黑体_GBK" w:cs="方正黑体_GBK"/>
          <w:b/>
          <w:bCs/>
          <w:kern w:val="0"/>
          <w:sz w:val="24"/>
        </w:rPr>
        <w:t>表6.3-1 淮南市规划灌区续建配套与节水改造工程规划表</w:t>
      </w:r>
    </w:p>
    <w:tbl>
      <w:tblPr>
        <w:tblStyle w:val="12"/>
        <w:tblW w:w="0" w:type="auto"/>
        <w:jc w:val="center"/>
        <w:tblLayout w:type="fixed"/>
        <w:tblCellMar>
          <w:top w:w="0" w:type="dxa"/>
          <w:left w:w="108" w:type="dxa"/>
          <w:bottom w:w="0" w:type="dxa"/>
          <w:right w:w="108" w:type="dxa"/>
        </w:tblCellMar>
      </w:tblPr>
      <w:tblGrid>
        <w:gridCol w:w="560"/>
        <w:gridCol w:w="2680"/>
        <w:gridCol w:w="3569"/>
        <w:gridCol w:w="920"/>
        <w:gridCol w:w="1207"/>
      </w:tblGrid>
      <w:tr>
        <w:tblPrEx>
          <w:tblCellMar>
            <w:top w:w="0" w:type="dxa"/>
            <w:left w:w="108" w:type="dxa"/>
            <w:bottom w:w="0" w:type="dxa"/>
            <w:right w:w="108" w:type="dxa"/>
          </w:tblCellMar>
        </w:tblPrEx>
        <w:trPr>
          <w:trHeight w:val="660" w:hRule="atLeast"/>
          <w:jc w:val="center"/>
        </w:trPr>
        <w:tc>
          <w:tcPr>
            <w:tcW w:w="560" w:type="dxa"/>
            <w:tcBorders>
              <w:top w:val="single" w:color="auto" w:sz="4" w:space="0"/>
              <w:left w:val="single" w:color="auto" w:sz="4" w:space="0"/>
              <w:bottom w:val="nil"/>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序号</w:t>
            </w:r>
          </w:p>
        </w:tc>
        <w:tc>
          <w:tcPr>
            <w:tcW w:w="2680" w:type="dxa"/>
            <w:tcBorders>
              <w:top w:val="single" w:color="auto" w:sz="4" w:space="0"/>
              <w:left w:val="nil"/>
              <w:bottom w:val="nil"/>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灌区名称/工程位置</w:t>
            </w:r>
          </w:p>
        </w:tc>
        <w:tc>
          <w:tcPr>
            <w:tcW w:w="3569" w:type="dxa"/>
            <w:tcBorders>
              <w:top w:val="single" w:color="auto" w:sz="4" w:space="0"/>
              <w:left w:val="nil"/>
              <w:bottom w:val="nil"/>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主要建设内容</w:t>
            </w:r>
          </w:p>
        </w:tc>
        <w:tc>
          <w:tcPr>
            <w:tcW w:w="920"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节水灌溉面积万亩</w:t>
            </w:r>
          </w:p>
        </w:tc>
        <w:tc>
          <w:tcPr>
            <w:tcW w:w="1207"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投资万元</w:t>
            </w:r>
          </w:p>
        </w:tc>
      </w:tr>
      <w:tr>
        <w:tblPrEx>
          <w:tblCellMar>
            <w:top w:w="0" w:type="dxa"/>
            <w:left w:w="108" w:type="dxa"/>
            <w:bottom w:w="0" w:type="dxa"/>
            <w:right w:w="108" w:type="dxa"/>
          </w:tblCellMar>
        </w:tblPrEx>
        <w:trPr>
          <w:trHeight w:val="480" w:hRule="atLeast"/>
          <w:jc w:val="center"/>
        </w:trPr>
        <w:tc>
          <w:tcPr>
            <w:tcW w:w="5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w:t>
            </w:r>
          </w:p>
        </w:tc>
        <w:tc>
          <w:tcPr>
            <w:tcW w:w="2680"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茨淮新河灌区</w:t>
            </w:r>
          </w:p>
        </w:tc>
        <w:tc>
          <w:tcPr>
            <w:tcW w:w="3569" w:type="dxa"/>
            <w:tcBorders>
              <w:top w:val="single" w:color="auto" w:sz="4" w:space="0"/>
              <w:left w:val="nil"/>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沟渠衬砌，新建、改造建筑物，发展喷灌、微灌等</w:t>
            </w:r>
          </w:p>
        </w:tc>
        <w:tc>
          <w:tcPr>
            <w:tcW w:w="92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22</w:t>
            </w:r>
          </w:p>
        </w:tc>
        <w:tc>
          <w:tcPr>
            <w:tcW w:w="1207"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15431</w:t>
            </w:r>
          </w:p>
        </w:tc>
      </w:tr>
      <w:tr>
        <w:tblPrEx>
          <w:tblCellMar>
            <w:top w:w="0" w:type="dxa"/>
            <w:left w:w="108" w:type="dxa"/>
            <w:bottom w:w="0" w:type="dxa"/>
            <w:right w:w="108" w:type="dxa"/>
          </w:tblCellMar>
        </w:tblPrEx>
        <w:trPr>
          <w:trHeight w:val="480" w:hRule="atLeast"/>
          <w:jc w:val="center"/>
        </w:trPr>
        <w:tc>
          <w:tcPr>
            <w:tcW w:w="56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w:t>
            </w:r>
          </w:p>
        </w:tc>
        <w:tc>
          <w:tcPr>
            <w:tcW w:w="268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淠河灌区</w:t>
            </w:r>
          </w:p>
        </w:tc>
        <w:tc>
          <w:tcPr>
            <w:tcW w:w="3569"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沟渠衬砌，新建、改造建筑物，发展喷灌、微灌等</w:t>
            </w:r>
          </w:p>
        </w:tc>
        <w:tc>
          <w:tcPr>
            <w:tcW w:w="92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40</w:t>
            </w:r>
          </w:p>
        </w:tc>
        <w:tc>
          <w:tcPr>
            <w:tcW w:w="1207"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17058</w:t>
            </w:r>
          </w:p>
        </w:tc>
      </w:tr>
      <w:tr>
        <w:tblPrEx>
          <w:tblCellMar>
            <w:top w:w="0" w:type="dxa"/>
            <w:left w:w="108" w:type="dxa"/>
            <w:bottom w:w="0" w:type="dxa"/>
            <w:right w:w="108" w:type="dxa"/>
          </w:tblCellMar>
        </w:tblPrEx>
        <w:trPr>
          <w:trHeight w:val="480" w:hRule="atLeast"/>
          <w:jc w:val="center"/>
        </w:trPr>
        <w:tc>
          <w:tcPr>
            <w:tcW w:w="56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w:t>
            </w:r>
          </w:p>
        </w:tc>
        <w:tc>
          <w:tcPr>
            <w:tcW w:w="268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永幸河灌区</w:t>
            </w:r>
          </w:p>
        </w:tc>
        <w:tc>
          <w:tcPr>
            <w:tcW w:w="3569"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沟渠衬砌，新建、改造建筑物，发展喷灌、微灌等</w:t>
            </w:r>
          </w:p>
        </w:tc>
        <w:tc>
          <w:tcPr>
            <w:tcW w:w="92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12.0</w:t>
            </w:r>
          </w:p>
        </w:tc>
        <w:tc>
          <w:tcPr>
            <w:tcW w:w="1207"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6624</w:t>
            </w:r>
          </w:p>
        </w:tc>
      </w:tr>
      <w:tr>
        <w:tblPrEx>
          <w:tblCellMar>
            <w:top w:w="0" w:type="dxa"/>
            <w:left w:w="108" w:type="dxa"/>
            <w:bottom w:w="0" w:type="dxa"/>
            <w:right w:w="108" w:type="dxa"/>
          </w:tblCellMar>
        </w:tblPrEx>
        <w:trPr>
          <w:trHeight w:val="480" w:hRule="atLeast"/>
          <w:jc w:val="center"/>
        </w:trPr>
        <w:tc>
          <w:tcPr>
            <w:tcW w:w="56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4</w:t>
            </w:r>
          </w:p>
        </w:tc>
        <w:tc>
          <w:tcPr>
            <w:tcW w:w="268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架河灌区、朱集灌区、董峰湖灌区</w:t>
            </w:r>
          </w:p>
        </w:tc>
        <w:tc>
          <w:tcPr>
            <w:tcW w:w="3569"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沟渠衬砌，新建、改造建筑物，发展喷灌、微灌等</w:t>
            </w:r>
          </w:p>
        </w:tc>
        <w:tc>
          <w:tcPr>
            <w:tcW w:w="92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8.5</w:t>
            </w:r>
          </w:p>
        </w:tc>
        <w:tc>
          <w:tcPr>
            <w:tcW w:w="1207"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5498</w:t>
            </w:r>
          </w:p>
        </w:tc>
      </w:tr>
      <w:tr>
        <w:tblPrEx>
          <w:tblCellMar>
            <w:top w:w="0" w:type="dxa"/>
            <w:left w:w="108" w:type="dxa"/>
            <w:bottom w:w="0" w:type="dxa"/>
            <w:right w:w="108" w:type="dxa"/>
          </w:tblCellMar>
        </w:tblPrEx>
        <w:trPr>
          <w:trHeight w:val="480" w:hRule="atLeast"/>
          <w:jc w:val="center"/>
        </w:trPr>
        <w:tc>
          <w:tcPr>
            <w:tcW w:w="56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w:t>
            </w:r>
          </w:p>
        </w:tc>
        <w:tc>
          <w:tcPr>
            <w:tcW w:w="268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岳张集灌区、新集站灌区、毛集区朱岗灌区</w:t>
            </w:r>
          </w:p>
        </w:tc>
        <w:tc>
          <w:tcPr>
            <w:tcW w:w="3569"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渠道防渗、发展管灌、喷灌、微灌等</w:t>
            </w:r>
          </w:p>
        </w:tc>
        <w:tc>
          <w:tcPr>
            <w:tcW w:w="92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5.4</w:t>
            </w:r>
          </w:p>
        </w:tc>
        <w:tc>
          <w:tcPr>
            <w:tcW w:w="1207"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1786</w:t>
            </w:r>
          </w:p>
        </w:tc>
      </w:tr>
      <w:tr>
        <w:tblPrEx>
          <w:tblCellMar>
            <w:top w:w="0" w:type="dxa"/>
            <w:left w:w="108" w:type="dxa"/>
            <w:bottom w:w="0" w:type="dxa"/>
            <w:right w:w="108" w:type="dxa"/>
          </w:tblCellMar>
        </w:tblPrEx>
        <w:trPr>
          <w:trHeight w:val="480" w:hRule="atLeast"/>
          <w:jc w:val="center"/>
        </w:trPr>
        <w:tc>
          <w:tcPr>
            <w:tcW w:w="56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6</w:t>
            </w:r>
          </w:p>
        </w:tc>
        <w:tc>
          <w:tcPr>
            <w:tcW w:w="268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王咀灌区、屯头站灌区</w:t>
            </w:r>
          </w:p>
        </w:tc>
        <w:tc>
          <w:tcPr>
            <w:tcW w:w="3569"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渠道防渗、发展管灌、喷灌、微灌等</w:t>
            </w:r>
          </w:p>
        </w:tc>
        <w:tc>
          <w:tcPr>
            <w:tcW w:w="92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0.6</w:t>
            </w:r>
          </w:p>
        </w:tc>
        <w:tc>
          <w:tcPr>
            <w:tcW w:w="1207"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305</w:t>
            </w:r>
          </w:p>
        </w:tc>
      </w:tr>
      <w:tr>
        <w:tblPrEx>
          <w:tblCellMar>
            <w:top w:w="0" w:type="dxa"/>
            <w:left w:w="108" w:type="dxa"/>
            <w:bottom w:w="0" w:type="dxa"/>
            <w:right w:w="108" w:type="dxa"/>
          </w:tblCellMar>
        </w:tblPrEx>
        <w:trPr>
          <w:trHeight w:val="720" w:hRule="atLeast"/>
          <w:jc w:val="center"/>
        </w:trPr>
        <w:tc>
          <w:tcPr>
            <w:tcW w:w="56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w:t>
            </w:r>
          </w:p>
        </w:tc>
        <w:tc>
          <w:tcPr>
            <w:tcW w:w="268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祁集灌区、汤渔湖灌区、泥河灌区、老庙灌区、夹沟灌区、龚集灌区</w:t>
            </w:r>
          </w:p>
        </w:tc>
        <w:tc>
          <w:tcPr>
            <w:tcW w:w="3569"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渠道防渗、发展管灌、喷灌、微灌等</w:t>
            </w:r>
          </w:p>
        </w:tc>
        <w:tc>
          <w:tcPr>
            <w:tcW w:w="92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8.2</w:t>
            </w:r>
          </w:p>
        </w:tc>
        <w:tc>
          <w:tcPr>
            <w:tcW w:w="1207"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2635</w:t>
            </w:r>
          </w:p>
        </w:tc>
      </w:tr>
      <w:tr>
        <w:tblPrEx>
          <w:tblCellMar>
            <w:top w:w="0" w:type="dxa"/>
            <w:left w:w="108" w:type="dxa"/>
            <w:bottom w:w="0" w:type="dxa"/>
            <w:right w:w="108" w:type="dxa"/>
          </w:tblCellMar>
        </w:tblPrEx>
        <w:trPr>
          <w:trHeight w:val="480" w:hRule="atLeast"/>
          <w:jc w:val="center"/>
        </w:trPr>
        <w:tc>
          <w:tcPr>
            <w:tcW w:w="56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8</w:t>
            </w:r>
          </w:p>
        </w:tc>
        <w:tc>
          <w:tcPr>
            <w:tcW w:w="268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新河灌区、施家湖灌区、孤堆灌区、爱国灌区</w:t>
            </w:r>
          </w:p>
        </w:tc>
        <w:tc>
          <w:tcPr>
            <w:tcW w:w="3569"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渠道防渗、发展管灌、喷灌、微灌等</w:t>
            </w:r>
          </w:p>
        </w:tc>
        <w:tc>
          <w:tcPr>
            <w:tcW w:w="92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2.1</w:t>
            </w:r>
          </w:p>
        </w:tc>
        <w:tc>
          <w:tcPr>
            <w:tcW w:w="1207"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804</w:t>
            </w:r>
          </w:p>
        </w:tc>
      </w:tr>
      <w:tr>
        <w:tblPrEx>
          <w:tblCellMar>
            <w:top w:w="0" w:type="dxa"/>
            <w:left w:w="108" w:type="dxa"/>
            <w:bottom w:w="0" w:type="dxa"/>
            <w:right w:w="108" w:type="dxa"/>
          </w:tblCellMar>
        </w:tblPrEx>
        <w:trPr>
          <w:trHeight w:val="660" w:hRule="atLeast"/>
          <w:jc w:val="center"/>
        </w:trPr>
        <w:tc>
          <w:tcPr>
            <w:tcW w:w="56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9</w:t>
            </w:r>
          </w:p>
        </w:tc>
        <w:tc>
          <w:tcPr>
            <w:tcW w:w="268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正阳关农场灌区、寿西湖农场灌区</w:t>
            </w:r>
          </w:p>
        </w:tc>
        <w:tc>
          <w:tcPr>
            <w:tcW w:w="3569"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渠道防渗、发展管灌、喷灌、微灌等</w:t>
            </w:r>
          </w:p>
        </w:tc>
        <w:tc>
          <w:tcPr>
            <w:tcW w:w="92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2.5</w:t>
            </w:r>
          </w:p>
        </w:tc>
        <w:tc>
          <w:tcPr>
            <w:tcW w:w="1207"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784</w:t>
            </w:r>
          </w:p>
        </w:tc>
      </w:tr>
    </w:tbl>
    <w:p>
      <w:pPr>
        <w:keepNext w:val="0"/>
        <w:keepLines w:val="0"/>
        <w:pageBreakBefore w:val="0"/>
        <w:widowControl w:val="0"/>
        <w:kinsoku/>
        <w:wordWrap/>
        <w:overflowPunct/>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（二）工业及城市节水工程</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在优化调整区域产业布局的基础上，鼓励工业企业对生产工艺进行节水改造，开发和完善高浓缩倍数工况下的循环冷却水处理技术。推广供水、排水和水处理的在线监控技术。在工业集中的园区推进企业用水网络集成技术的开发与应用，鼓励外排废（污）水深度处理后回用，推广外排水处理后回用于循环冷却系统的技术，力争实现少排放，甚至零排放。</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加快城市供水干、支管网系统的技术改造，降低输配水管网漏失率。全面推行节水型用水器具，发展“节水型住宅”，节水设施与主体工程同时设计、同时施工、同时投产。实施分质供水，推广中水回用和雨水集蓄利用。</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eastAsia" w:ascii="方正楷体_GBK" w:hAnsi="方正楷体_GBK" w:eastAsia="方正楷体_GBK" w:cs="方正楷体_GBK"/>
          <w:sz w:val="32"/>
          <w:szCs w:val="32"/>
        </w:rPr>
      </w:pPr>
      <w:bookmarkStart w:id="219" w:name="_Toc10735"/>
      <w:r>
        <w:rPr>
          <w:rFonts w:hint="eastAsia" w:ascii="方正楷体_GBK" w:hAnsi="方正楷体_GBK" w:eastAsia="方正楷体_GBK" w:cs="方正楷体_GBK"/>
          <w:sz w:val="32"/>
          <w:szCs w:val="32"/>
        </w:rPr>
        <w:t>三、其他工程</w:t>
      </w:r>
      <w:bookmarkEnd w:id="219"/>
    </w:p>
    <w:p>
      <w:pPr>
        <w:keepNext w:val="0"/>
        <w:keepLines w:val="0"/>
        <w:pageBreakBefore w:val="0"/>
        <w:widowControl w:val="0"/>
        <w:kinsoku/>
        <w:wordWrap/>
        <w:overflowPunct/>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（一）再生水利用</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随着淮南市城镇化进程的加快，城镇污水量不断增加，不仅成为导致江河湖泊等地表水体污染的重要原因，也是制约城镇可持续发展的主要原因之一，城镇污水收集系统、城镇污水处理设施和污水再生利用等设施的建设不仅是完善城镇重要的基础设施，同时也是防治水污染、改善水环境的重要手段。</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按照《淮南市水污染防治工作方案》，淮南再生水利用工程将于2018年至2019年计划实施4个项目：山南污水处理厂再生水利用工程（规模为1万t/d）、凤台县污水处理厂再生水利用工程（规模为2.5万t/d）、市第一污水处理厂再生利用工程（规模为6万t/d）、八公山污水处理厂再生水利用工程（规模为1万t/d）在运行。</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目前全市运行的污水处理能力有23万t/d，再加上规划10.5万t/d，至2020年污水处理能力可达33.5万t/d。</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规划至2020年，淮南市再生水年利用量达到0.82亿m³，再生水年利用率达30%；至2030年，再生水年利用量达到1.32亿m³，再生水年利用率达50%。再生水利用主要途径有：煤电用水和市政杂用水等，规划未来淮南市新增火电装机用水全以再生水为水源，同时加大对现有电厂水源的调整。市政杂用水包括城市景观用水、绿化用水、街道喷洒用水、建筑施工用水。</w:t>
      </w:r>
    </w:p>
    <w:p>
      <w:pPr>
        <w:keepNext w:val="0"/>
        <w:keepLines w:val="0"/>
        <w:pageBreakBefore w:val="0"/>
        <w:widowControl w:val="0"/>
        <w:kinsoku/>
        <w:wordWrap/>
        <w:overflowPunct/>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（二）矿坑水利用</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淮南市《矿区总体开发规划》，预测到2020年以后，生产规模将达到1.0亿t，规划2020年原煤开采8919万t，规划2030年原煤开采10557万t，考虑到煤炭开采过程中产生的矿坑涌水的不稳定性（开采初期较大，后期逐渐减小至稳定），本次根据规划水平年煤炭开采量，规划2020年矿坑涌水利用量在0.4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，2030年煤炭开采量与2020年基本一致，则矿坑涌水利用量也在0.4亿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左右。根据规划对矿坑用水量的配置，在各矿区开采过程中，要优先利用各矿区产生的矿坑用水，新建调蓄池，最大限度利用矿坑水，减少取用新水，减少矿坑水外排。</w:t>
      </w:r>
    </w:p>
    <w:p>
      <w:pPr>
        <w:keepNext w:val="0"/>
        <w:keepLines w:val="0"/>
        <w:pageBreakBefore w:val="0"/>
        <w:widowControl w:val="0"/>
        <w:kinsoku/>
        <w:wordWrap/>
        <w:overflowPunct/>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（三）洪水资源利用</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结合治淮工程建设进展情况，洪水资源利用选择抬高城西湖（同时扩大蓄水范围）、城东湖、瓦埠湖、高塘湖、天河洼、蚌埠闸上、临淮岗坝上蓄水位，拦蓄淮河干流或湖洼地、支流来水，共可增加调蓄库容9.9亿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。多年平均可向淮南增加供水量0.95亿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eastAsia" w:ascii="方正楷体_GBK" w:hAnsi="方正楷体_GBK" w:eastAsia="方正楷体_GBK" w:cs="方正楷体_GBK"/>
          <w:sz w:val="32"/>
          <w:szCs w:val="32"/>
          <w:lang w:val="en-US" w:eastAsia="zh-CN"/>
        </w:rPr>
      </w:pPr>
      <w:bookmarkStart w:id="220" w:name="_Toc3132"/>
      <w:r>
        <w:rPr>
          <w:rFonts w:hint="eastAsia" w:ascii="方正楷体_GBK" w:hAnsi="方正楷体_GBK" w:eastAsia="方正楷体_GBK" w:cs="方正楷体_GBK"/>
          <w:sz w:val="32"/>
          <w:szCs w:val="32"/>
          <w:lang w:val="en-US" w:eastAsia="zh-CN"/>
        </w:rPr>
        <w:t>四、采煤沉陷区综合利用工程</w:t>
      </w:r>
      <w:bookmarkEnd w:id="220"/>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潘谢矿区煤炭资源储量丰富，埋藏较深，属煤层群开采，分布集中，可采煤层11～13层，可采煤层总厚平均约20～30m，均采用井工开采，采煤方法采用全部冒落法。由于该区域属平原地区，地势平坦，煤炭地下开采必然形成地表沉陷，开采后沉陷范围广、沉陷深度大，造成土地资源破坏，影响区域内水系和水利设施，对生态环境造成一定的影响。矿区开采历史长，已形成相当规模的沉陷水域。区域内西淝河及其支流港河、济河，架河、泥河、永幸河等，已不同程度受到开采影响。另外，矿区内水系丰富，从东到西依次有泥河、架河、西淝河、港河、济河，这些河流均汇入淮河，河流的下游现多为蓄水洼地。随着采煤沉陷区扩大，沉陷区与水系、蓄水洼地交织，形成更大范围的蓄水体。淮南煤田属煤层群开采，可采煤层累计沉陷深度最终可达20m以上。采煤沉陷是个动态的、长期的过程，随着煤炭开采进展，沉陷范围和积水区范围从小到大，积水深度由浅到深，积水区从互相独立到连成一个整体。</w:t>
      </w:r>
    </w:p>
    <w:p>
      <w:pPr>
        <w:pStyle w:val="2"/>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中国水利水电科学研究院的《采煤沉陷区水资源利用关键技术研究》，2010年采煤沉陷区按不同河流的汇流区和沉陷区的范围分布，把淮南采煤沉陷区依次划分为西淝河沉陷区、永幸河沉陷区和泥河沉陷区，以明确不同沉陷范围的地表水汇流影响区，如图6.3-3。</w:t>
      </w:r>
    </w:p>
    <w:p>
      <w:pPr>
        <w:spacing w:line="360" w:lineRule="auto"/>
        <w:rPr>
          <w:sz w:val="24"/>
          <w:szCs w:val="28"/>
        </w:rPr>
      </w:pPr>
      <w:r>
        <w:rPr>
          <w:sz w:val="20"/>
        </w:rPr>
        <w:drawing>
          <wp:inline distT="0" distB="0" distL="114300" distR="114300">
            <wp:extent cx="5406390" cy="2527935"/>
            <wp:effectExtent l="0" t="0" r="3810" b="5715"/>
            <wp:docPr id="9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2"/>
                    <pic:cNvPicPr>
                      <a:picLocks noChangeAspect="1"/>
                    </pic:cNvPicPr>
                  </pic:nvPicPr>
                  <pic:blipFill>
                    <a:blip r:embed="rId41"/>
                    <a:srcRect l="3238" t="3088" r="7703" b="11337"/>
                    <a:stretch>
                      <a:fillRect/>
                    </a:stretch>
                  </pic:blipFill>
                  <pic:spPr>
                    <a:xfrm>
                      <a:off x="0" y="0"/>
                      <a:ext cx="5406390" cy="2527935"/>
                    </a:xfrm>
                    <a:prstGeom prst="rect">
                      <a:avLst/>
                    </a:prstGeom>
                    <a:noFill/>
                    <a:ln>
                      <a:noFill/>
                    </a:ln>
                  </pic:spPr>
                </pic:pic>
              </a:graphicData>
            </a:graphic>
          </wp:inline>
        </w:drawing>
      </w:r>
    </w:p>
    <w:p>
      <w:pPr>
        <w:spacing w:line="360" w:lineRule="auto"/>
        <w:ind w:firstLine="482" w:firstLineChars="200"/>
        <w:jc w:val="center"/>
        <w:rPr>
          <w:rFonts w:hint="eastAsia" w:ascii="方正黑体_GBK" w:hAnsi="方正黑体_GBK" w:eastAsia="方正黑体_GBK" w:cs="方正黑体_GBK"/>
          <w:b/>
          <w:bCs/>
          <w:sz w:val="24"/>
          <w:szCs w:val="28"/>
        </w:rPr>
      </w:pPr>
      <w:r>
        <w:rPr>
          <w:rFonts w:hint="eastAsia" w:ascii="方正黑体_GBK" w:hAnsi="方正黑体_GBK" w:eastAsia="方正黑体_GBK" w:cs="方正黑体_GBK"/>
          <w:b/>
          <w:bCs/>
          <w:sz w:val="24"/>
          <w:szCs w:val="28"/>
        </w:rPr>
        <w:t>图6.3-3  2010年采煤沉陷区分布示意图</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cs="Times New Roman"/>
          <w:sz w:val="24"/>
          <w:szCs w:val="20"/>
        </w:rPr>
      </w:pPr>
      <w:r>
        <w:rPr>
          <w:rFonts w:hint="default" w:ascii="Times New Roman" w:hAnsi="Times New Roman" w:eastAsia="方正仿宋_GBK" w:cs="Times New Roman"/>
          <w:sz w:val="32"/>
          <w:szCs w:val="32"/>
        </w:rPr>
        <w:t>根据中国矿大的预测结果，随着采煤作业的进行，地面沉陷逐渐扩大并加深，空间上的连续性增强，将主要形成5片沉陷盆地，按其地理位置分布，分别命名为西淝河片1洼地、西淝河片2洼地、永幸河片1洼地、永幸河片2洼地和泥河片洼地。其中西淝河片1由原谢桥洼地和张集洼地发展形成；永幸河片1由原顾北顾桥洼地发展形成；永幸河片2由原丁集西、丁集东洼地发展形成；泥河片洼地由原潘一潘三和潘北洼地发展形成。西淝河片1的沉陷面积约为93.8km2，西淝河片2的沉陷面积约为7.04km2，永幸河片1的沉陷面积约为48.51km2，永幸河片2的沉陷面积约为41.21km2，泥河片的沉陷面积约为140.54km2。本次主要考虑利用西淝河片采煤沉陷区及相连的花家湖和姬沟湖。</w:t>
      </w:r>
    </w:p>
    <w:p>
      <w:r>
        <w:drawing>
          <wp:inline distT="0" distB="0" distL="114300" distR="114300">
            <wp:extent cx="5158740" cy="2119630"/>
            <wp:effectExtent l="0" t="0" r="3810" b="1397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pic:cNvPicPr>
                  </pic:nvPicPr>
                  <pic:blipFill>
                    <a:blip r:embed="rId42"/>
                    <a:srcRect b="23351"/>
                    <a:stretch>
                      <a:fillRect/>
                    </a:stretch>
                  </pic:blipFill>
                  <pic:spPr>
                    <a:xfrm>
                      <a:off x="0" y="0"/>
                      <a:ext cx="5158740" cy="2119630"/>
                    </a:xfrm>
                    <a:prstGeom prst="rect">
                      <a:avLst/>
                    </a:prstGeom>
                    <a:noFill/>
                    <a:ln>
                      <a:noFill/>
                    </a:ln>
                  </pic:spPr>
                </pic:pic>
              </a:graphicData>
            </a:graphic>
          </wp:inline>
        </w:drawing>
      </w:r>
    </w:p>
    <w:p>
      <w:pPr>
        <w:spacing w:line="360" w:lineRule="auto"/>
        <w:jc w:val="center"/>
        <w:rPr>
          <w:rFonts w:hint="eastAsia" w:ascii="方正黑体_GBK" w:hAnsi="方正黑体_GBK" w:eastAsia="方正黑体_GBK" w:cs="方正黑体_GBK"/>
          <w:b/>
          <w:bCs/>
          <w:sz w:val="24"/>
          <w:szCs w:val="28"/>
        </w:rPr>
      </w:pPr>
      <w:r>
        <w:rPr>
          <w:rFonts w:hint="eastAsia" w:ascii="方正黑体_GBK" w:hAnsi="方正黑体_GBK" w:eastAsia="方正黑体_GBK" w:cs="方正黑体_GBK"/>
          <w:b/>
          <w:bCs/>
          <w:sz w:val="24"/>
          <w:szCs w:val="28"/>
        </w:rPr>
        <w:t>表6.3-4  2030年潘谢矿区地表沉陷范围</w:t>
      </w:r>
    </w:p>
    <w:p>
      <w:pPr>
        <w:pageBreakBefore w:val="0"/>
        <w:widowControl w:val="0"/>
        <w:kinsoku/>
        <w:wordWrap/>
        <w:overflowPunct/>
        <w:topLinePunct w:val="0"/>
        <w:autoSpaceDE/>
        <w:autoSpaceDN/>
        <w:bidi w:val="0"/>
        <w:spacing w:beforeAutospacing="0" w:afterAutospacing="0"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根据“西淝河洼地应急治理可研”，西淝河洼地出口泵站排涝设计起排（内）水位为20.00m，设计（内）水位20.50m。初步拟定西淝河沉陷区（含连片的天然湖洼）死水位17.50m，蓄水位20.00m，调节库容1.08亿m³。根据《引江济淮工程可行性研究报告》，西淝河采煤沉陷区将作为引江济淮西淝河输水线路上用水规避淮河干流污染团的重要手段之一。</w:t>
      </w:r>
    </w:p>
    <w:p>
      <w:pPr>
        <w:pageBreakBefore w:val="0"/>
        <w:widowControl w:val="0"/>
        <w:kinsoku/>
        <w:wordWrap/>
        <w:overflowPunct/>
        <w:topLinePunct w:val="0"/>
        <w:autoSpaceDE/>
        <w:autoSpaceDN/>
        <w:bidi w:val="0"/>
        <w:spacing w:beforeAutospacing="0" w:afterAutospacing="0" w:line="590" w:lineRule="exact"/>
        <w:jc w:val="left"/>
        <w:textAlignment w:val="auto"/>
        <w:rPr>
          <w:b/>
          <w:bCs/>
          <w:sz w:val="24"/>
        </w:rPr>
      </w:pPr>
    </w:p>
    <w:p>
      <w:pPr>
        <w:pageBreakBefore w:val="0"/>
        <w:widowControl w:val="0"/>
        <w:kinsoku/>
        <w:wordWrap/>
        <w:overflowPunct/>
        <w:topLinePunct w:val="0"/>
        <w:autoSpaceDE/>
        <w:autoSpaceDN/>
        <w:bidi w:val="0"/>
        <w:spacing w:beforeAutospacing="0" w:afterAutospacing="0" w:line="590" w:lineRule="exact"/>
        <w:ind w:firstLine="482" w:firstLineChars="200"/>
        <w:jc w:val="left"/>
        <w:textAlignment w:val="auto"/>
        <w:rPr>
          <w:b/>
          <w:bCs/>
          <w:kern w:val="0"/>
          <w:sz w:val="24"/>
        </w:rPr>
      </w:pPr>
    </w:p>
    <w:p>
      <w:pPr>
        <w:pStyle w:val="3"/>
        <w:pageBreakBefore w:val="0"/>
        <w:widowControl w:val="0"/>
        <w:kinsoku/>
        <w:wordWrap/>
        <w:overflowPunct/>
        <w:topLinePunct w:val="0"/>
        <w:autoSpaceDE/>
        <w:autoSpaceDN/>
        <w:bidi w:val="0"/>
        <w:adjustRightInd w:val="0"/>
        <w:spacing w:before="0" w:beforeAutospacing="0" w:after="0" w:afterAutospacing="0" w:line="590" w:lineRule="exact"/>
        <w:jc w:val="center"/>
        <w:textAlignment w:val="auto"/>
        <w:rPr>
          <w:rStyle w:val="16"/>
          <w:b w:val="0"/>
          <w:bCs w:val="0"/>
          <w:sz w:val="32"/>
        </w:rPr>
      </w:pPr>
      <w:r>
        <w:rPr>
          <w:rStyle w:val="16"/>
          <w:b w:val="0"/>
          <w:bCs w:val="0"/>
          <w:sz w:val="32"/>
        </w:rPr>
        <w:br w:type="page"/>
      </w:r>
      <w:bookmarkStart w:id="221" w:name="_Toc29034"/>
    </w:p>
    <w:p>
      <w:pPr>
        <w:pStyle w:val="3"/>
        <w:pageBreakBefore w:val="0"/>
        <w:widowControl w:val="0"/>
        <w:kinsoku/>
        <w:wordWrap/>
        <w:overflowPunct/>
        <w:topLinePunct w:val="0"/>
        <w:autoSpaceDE/>
        <w:autoSpaceDN/>
        <w:bidi w:val="0"/>
        <w:adjustRightInd w:val="0"/>
        <w:snapToGrid/>
        <w:spacing w:before="0" w:beforeAutospacing="0" w:after="0" w:afterAutospacing="0" w:line="590" w:lineRule="exact"/>
        <w:jc w:val="center"/>
        <w:textAlignment w:val="auto"/>
        <w:rPr>
          <w:rStyle w:val="16"/>
          <w:b w:val="0"/>
          <w:bCs w:val="0"/>
          <w:sz w:val="32"/>
        </w:rPr>
      </w:pPr>
    </w:p>
    <w:p>
      <w:pPr>
        <w:pStyle w:val="3"/>
        <w:pageBreakBefore w:val="0"/>
        <w:widowControl w:val="0"/>
        <w:kinsoku/>
        <w:wordWrap/>
        <w:overflowPunct/>
        <w:topLinePunct w:val="0"/>
        <w:autoSpaceDE/>
        <w:autoSpaceDN/>
        <w:bidi w:val="0"/>
        <w:adjustRightInd w:val="0"/>
        <w:snapToGrid/>
        <w:spacing w:before="0" w:beforeAutospacing="0" w:after="0" w:afterAutospacing="0" w:line="590" w:lineRule="exact"/>
        <w:jc w:val="center"/>
        <w:textAlignment w:val="auto"/>
        <w:rPr>
          <w:rStyle w:val="16"/>
          <w:rFonts w:hint="eastAsia" w:ascii="方正黑体_GBK" w:hAnsi="方正黑体_GBK" w:eastAsia="方正黑体_GBK" w:cs="方正黑体_GBK"/>
          <w:b w:val="0"/>
          <w:bCs w:val="0"/>
          <w:sz w:val="44"/>
          <w:szCs w:val="56"/>
        </w:rPr>
      </w:pPr>
      <w:r>
        <w:rPr>
          <w:rStyle w:val="16"/>
          <w:rFonts w:hint="eastAsia" w:ascii="方正小标宋_GBK" w:hAnsi="方正小标宋_GBK" w:eastAsia="方正小标宋_GBK" w:cs="方正小标宋_GBK"/>
          <w:b w:val="0"/>
          <w:bCs w:val="0"/>
          <w:sz w:val="44"/>
          <w:szCs w:val="56"/>
        </w:rPr>
        <w:t>第七章  水资源保护规划</w:t>
      </w:r>
      <w:bookmarkEnd w:id="221"/>
    </w:p>
    <w:p>
      <w:pPr>
        <w:pStyle w:val="4"/>
        <w:pageBreakBefore w:val="0"/>
        <w:widowControl w:val="0"/>
        <w:kinsoku/>
        <w:wordWrap/>
        <w:overflowPunct/>
        <w:topLinePunct w:val="0"/>
        <w:autoSpaceDE/>
        <w:autoSpaceDN/>
        <w:bidi w:val="0"/>
        <w:snapToGrid/>
        <w:spacing w:beforeAutospacing="0" w:afterAutospacing="0" w:line="590" w:lineRule="exact"/>
        <w:textAlignment w:val="auto"/>
        <w:rPr>
          <w:rFonts w:hint="eastAsia" w:ascii="方正黑体_GBK" w:hAnsi="方正黑体_GBK" w:eastAsia="方正黑体_GBK" w:cs="方正黑体_GBK"/>
          <w:b w:val="0"/>
          <w:bCs w:val="0"/>
          <w:sz w:val="32"/>
          <w:szCs w:val="36"/>
        </w:rPr>
      </w:pPr>
      <w:bookmarkStart w:id="222" w:name="_Toc312309918"/>
      <w:bookmarkStart w:id="223" w:name="_Toc29452"/>
      <w:r>
        <w:rPr>
          <w:rFonts w:hint="eastAsia" w:ascii="方正黑体_GBK" w:hAnsi="方正黑体_GBK" w:eastAsia="方正黑体_GBK" w:cs="方正黑体_GBK"/>
          <w:b w:val="0"/>
          <w:bCs w:val="0"/>
          <w:sz w:val="32"/>
          <w:szCs w:val="36"/>
        </w:rPr>
        <w:t>第一节  水功能区划</w:t>
      </w:r>
      <w:bookmarkEnd w:id="222"/>
      <w:bookmarkEnd w:id="223"/>
    </w:p>
    <w:p>
      <w:pPr>
        <w:pageBreakBefore w:val="0"/>
        <w:widowControl w:val="0"/>
        <w:kinsoku/>
        <w:wordWrap/>
        <w:overflowPunct/>
        <w:topLinePunct w:val="0"/>
        <w:autoSpaceDE/>
        <w:autoSpaceDN/>
        <w:bidi w:val="0"/>
        <w:adjustRightInd w:val="0"/>
        <w:snapToGrid w:val="0"/>
        <w:spacing w:beforeAutospacing="0" w:afterAutospacing="0"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由于现有2009年编制的《淮南市水功能区划》没有经过市政府批准，本规划中水功能区划采用现有安徽省政府批准实施的《安徽省水功能区划》相关资料。</w:t>
      </w:r>
    </w:p>
    <w:p>
      <w:pPr>
        <w:pageBreakBefore w:val="0"/>
        <w:widowControl w:val="0"/>
        <w:kinsoku/>
        <w:wordWrap/>
        <w:overflowPunct/>
        <w:topLinePunct w:val="0"/>
        <w:autoSpaceDE/>
        <w:autoSpaceDN/>
        <w:bidi w:val="0"/>
        <w:adjustRightInd w:val="0"/>
        <w:snapToGrid w:val="0"/>
        <w:spacing w:beforeAutospacing="0" w:afterAutospacing="0"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淮南市一级功区10个，开发用区9个，保护区1个，分别为：淮河阜阳六安滁州开发利用区、淠河六安开发利用区、西淝河（下段）亳州淮南开发利用区、济河阜阳淮南开发利用区、茨淮新河阜阳亳州淮南蚌埠开发利用区、淠东干渠金安寿县开发利用区、瓦西干渠金安寿县开发利用区、高塘湖淮南滁州合肥开发利用区、焦岗湖阜阳淮南开发利用区。东淝河瓦埠湖六安合肥淮南调用水水源保护区。详见表7.1-1。</w:t>
      </w:r>
    </w:p>
    <w:p>
      <w:pPr>
        <w:pageBreakBefore w:val="0"/>
        <w:widowControl w:val="0"/>
        <w:kinsoku/>
        <w:wordWrap/>
        <w:overflowPunct/>
        <w:topLinePunct w:val="0"/>
        <w:autoSpaceDE/>
        <w:autoSpaceDN/>
        <w:bidi w:val="0"/>
        <w:adjustRightInd w:val="0"/>
        <w:snapToGrid w:val="0"/>
        <w:spacing w:beforeAutospacing="0" w:afterAutospacing="0" w:line="59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淮南市二级功区14个：农业用区9个、工业用水区1个、饮用水源区1个、排污控制区1个、过渡区2个，分别是：淮河阜阳六安农业用水区、淮河凤台工业用水区、淮河凤台八公山过渡区、淮河淮南饮用水源区、淮河淮南排污控制区、淮河淮南蚌埠过渡区、西淝河（下段）利辛凤台农业渔业用水区、济河颍东凤台农业用水区、淠东干渠金安寿县农业用区、瓦西干渠金安寿县农业用区、焦岗湖颍上凤台渔业农业用水区、高塘湖淮南滁州合肥农业用区、淠河六安农业用水区、淠河灌区总干渠六安合肥开发利用区。详见表7.1-2和7.1-3。</w:t>
      </w:r>
    </w:p>
    <w:p>
      <w:pPr>
        <w:pStyle w:val="2"/>
        <w:jc w:val="left"/>
        <w:rPr>
          <w:rFonts w:hint="eastAsia" w:ascii="方正仿宋_GBK" w:hAnsi="方正仿宋_GBK" w:eastAsia="方正仿宋_GBK" w:cs="方正仿宋_GBK"/>
          <w:sz w:val="32"/>
          <w:szCs w:val="32"/>
        </w:rPr>
        <w:sectPr>
          <w:headerReference r:id="rId22" w:type="default"/>
          <w:footerReference r:id="rId23" w:type="default"/>
          <w:pgSz w:w="11906" w:h="16838"/>
          <w:pgMar w:top="1962" w:right="1474" w:bottom="1848" w:left="1587" w:header="851" w:footer="992" w:gutter="0"/>
          <w:pgNumType w:fmt="numberInDash"/>
          <w:cols w:space="0" w:num="1"/>
          <w:rtlGutter w:val="0"/>
          <w:docGrid w:type="lines" w:linePitch="312" w:charSpace="0"/>
        </w:sectPr>
      </w:pPr>
      <w:r>
        <w:rPr>
          <w:rFonts w:hint="eastAsia" w:ascii="方正仿宋_GBK" w:hAnsi="方正仿宋_GBK" w:eastAsia="方正仿宋_GBK" w:cs="方正仿宋_GBK"/>
          <w:sz w:val="32"/>
          <w:szCs w:val="32"/>
        </w:rPr>
        <w:t>鉴于行政区划调整，寿县划归淮南市管辖，加之现有《淮南市水功能区划》是2009年为基准年编制的，距2015基准年已6年，河湖水质及功能发生一定程度变化，建议淮南市尽快修订《淮南市水功能区划》，并经市政府批准后实施。同时修编、完善水资源保护专项规划。</w:t>
      </w:r>
    </w:p>
    <w:p>
      <w:pPr>
        <w:tabs>
          <w:tab w:val="left" w:pos="525"/>
        </w:tabs>
        <w:adjustRightInd w:val="0"/>
        <w:snapToGrid w:val="0"/>
        <w:jc w:val="center"/>
        <w:rPr>
          <w:rFonts w:hint="eastAsia" w:ascii="方正黑体_GBK" w:hAnsi="方正黑体_GBK" w:eastAsia="方正黑体_GBK" w:cs="方正黑体_GBK"/>
          <w:b/>
          <w:bCs/>
          <w:sz w:val="24"/>
        </w:rPr>
      </w:pPr>
    </w:p>
    <w:p>
      <w:pPr>
        <w:tabs>
          <w:tab w:val="left" w:pos="525"/>
        </w:tabs>
        <w:adjustRightInd w:val="0"/>
        <w:snapToGrid w:val="0"/>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表7.1-1  淮南市水功能一级区划表</w:t>
      </w:r>
    </w:p>
    <w:tbl>
      <w:tblPr>
        <w:tblStyle w:val="12"/>
        <w:tblW w:w="0" w:type="auto"/>
        <w:tblInd w:w="-3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81"/>
        <w:gridCol w:w="1090"/>
        <w:gridCol w:w="1453"/>
        <w:gridCol w:w="666"/>
        <w:gridCol w:w="757"/>
        <w:gridCol w:w="621"/>
        <w:gridCol w:w="715"/>
        <w:gridCol w:w="1525"/>
        <w:gridCol w:w="1007"/>
        <w:gridCol w:w="1044"/>
        <w:gridCol w:w="1038"/>
        <w:gridCol w:w="696"/>
        <w:gridCol w:w="893"/>
        <w:gridCol w:w="696"/>
        <w:gridCol w:w="757"/>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681"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序号</w:t>
            </w:r>
          </w:p>
        </w:tc>
        <w:tc>
          <w:tcPr>
            <w:tcW w:w="1090"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一级功能区编号</w:t>
            </w:r>
          </w:p>
        </w:tc>
        <w:tc>
          <w:tcPr>
            <w:tcW w:w="1453"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一级功能区名称</w:t>
            </w:r>
          </w:p>
        </w:tc>
        <w:tc>
          <w:tcPr>
            <w:tcW w:w="1423" w:type="dxa"/>
            <w:gridSpan w:val="2"/>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水资源分区</w:t>
            </w:r>
          </w:p>
        </w:tc>
        <w:tc>
          <w:tcPr>
            <w:tcW w:w="621"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水系</w:t>
            </w:r>
          </w:p>
        </w:tc>
        <w:tc>
          <w:tcPr>
            <w:tcW w:w="715"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湖（库）</w:t>
            </w:r>
          </w:p>
        </w:tc>
        <w:tc>
          <w:tcPr>
            <w:tcW w:w="1525"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所属区域</w:t>
            </w:r>
          </w:p>
        </w:tc>
        <w:tc>
          <w:tcPr>
            <w:tcW w:w="2051" w:type="dxa"/>
            <w:gridSpan w:val="2"/>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范围</w:t>
            </w:r>
          </w:p>
        </w:tc>
        <w:tc>
          <w:tcPr>
            <w:tcW w:w="1038"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水质代表断面</w:t>
            </w:r>
          </w:p>
        </w:tc>
        <w:tc>
          <w:tcPr>
            <w:tcW w:w="696"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长度（km）</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面积（km²）</w:t>
            </w:r>
          </w:p>
        </w:tc>
        <w:tc>
          <w:tcPr>
            <w:tcW w:w="893"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现状水质</w:t>
            </w:r>
          </w:p>
        </w:tc>
        <w:tc>
          <w:tcPr>
            <w:tcW w:w="1453" w:type="dxa"/>
            <w:gridSpan w:val="2"/>
            <w:noWrap w:val="0"/>
            <w:vAlign w:val="center"/>
          </w:tcPr>
          <w:p>
            <w:pPr>
              <w:adjustRightInd w:val="0"/>
              <w:snapToGrid w:val="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水质管理目标</w:t>
            </w:r>
          </w:p>
        </w:tc>
        <w:tc>
          <w:tcPr>
            <w:tcW w:w="1181" w:type="dxa"/>
            <w:vMerge w:val="restart"/>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区划依据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681" w:type="dxa"/>
            <w:vMerge w:val="continue"/>
            <w:noWrap w:val="0"/>
            <w:vAlign w:val="center"/>
          </w:tcPr>
          <w:p>
            <w:pPr>
              <w:adjustRightInd w:val="0"/>
              <w:snapToGrid w:val="0"/>
              <w:jc w:val="center"/>
              <w:rPr>
                <w:rFonts w:hint="default" w:ascii="Times New Roman" w:hAnsi="Times New Roman" w:eastAsia="方正仿宋_GBK" w:cs="Times New Roman"/>
                <w:color w:val="000000"/>
                <w:sz w:val="20"/>
                <w:szCs w:val="20"/>
              </w:rPr>
            </w:pPr>
          </w:p>
        </w:tc>
        <w:tc>
          <w:tcPr>
            <w:tcW w:w="1090" w:type="dxa"/>
            <w:vMerge w:val="continue"/>
            <w:noWrap w:val="0"/>
            <w:vAlign w:val="center"/>
          </w:tcPr>
          <w:p>
            <w:pPr>
              <w:adjustRightInd w:val="0"/>
              <w:snapToGrid w:val="0"/>
              <w:jc w:val="center"/>
              <w:rPr>
                <w:rFonts w:hint="default" w:ascii="Times New Roman" w:hAnsi="Times New Roman" w:eastAsia="方正仿宋_GBK" w:cs="Times New Roman"/>
                <w:color w:val="000000"/>
                <w:sz w:val="20"/>
                <w:szCs w:val="20"/>
              </w:rPr>
            </w:pPr>
          </w:p>
        </w:tc>
        <w:tc>
          <w:tcPr>
            <w:tcW w:w="1453" w:type="dxa"/>
            <w:vMerge w:val="continue"/>
            <w:noWrap w:val="0"/>
            <w:vAlign w:val="center"/>
          </w:tcPr>
          <w:p>
            <w:pPr>
              <w:adjustRightInd w:val="0"/>
              <w:snapToGrid w:val="0"/>
              <w:jc w:val="center"/>
              <w:rPr>
                <w:rFonts w:hint="default" w:ascii="Times New Roman" w:hAnsi="Times New Roman" w:eastAsia="方正仿宋_GBK" w:cs="Times New Roman"/>
                <w:color w:val="000000"/>
                <w:sz w:val="20"/>
                <w:szCs w:val="20"/>
              </w:rPr>
            </w:pPr>
          </w:p>
        </w:tc>
        <w:tc>
          <w:tcPr>
            <w:tcW w:w="666"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二级区</w:t>
            </w:r>
          </w:p>
        </w:tc>
        <w:tc>
          <w:tcPr>
            <w:tcW w:w="757"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三级区</w:t>
            </w:r>
          </w:p>
        </w:tc>
        <w:tc>
          <w:tcPr>
            <w:tcW w:w="621" w:type="dxa"/>
            <w:vMerge w:val="continue"/>
            <w:noWrap w:val="0"/>
            <w:vAlign w:val="center"/>
          </w:tcPr>
          <w:p>
            <w:pPr>
              <w:adjustRightInd w:val="0"/>
              <w:snapToGrid w:val="0"/>
              <w:jc w:val="center"/>
              <w:rPr>
                <w:rFonts w:hint="default" w:ascii="Times New Roman" w:hAnsi="Times New Roman" w:eastAsia="方正仿宋_GBK" w:cs="Times New Roman"/>
                <w:color w:val="000000"/>
                <w:sz w:val="20"/>
                <w:szCs w:val="20"/>
              </w:rPr>
            </w:pPr>
          </w:p>
        </w:tc>
        <w:tc>
          <w:tcPr>
            <w:tcW w:w="715" w:type="dxa"/>
            <w:vMerge w:val="continue"/>
            <w:noWrap w:val="0"/>
            <w:vAlign w:val="center"/>
          </w:tcPr>
          <w:p>
            <w:pPr>
              <w:adjustRightInd w:val="0"/>
              <w:snapToGrid w:val="0"/>
              <w:jc w:val="center"/>
              <w:rPr>
                <w:rFonts w:hint="default" w:ascii="Times New Roman" w:hAnsi="Times New Roman" w:eastAsia="方正仿宋_GBK" w:cs="Times New Roman"/>
                <w:color w:val="000000"/>
                <w:sz w:val="20"/>
                <w:szCs w:val="20"/>
              </w:rPr>
            </w:pPr>
          </w:p>
        </w:tc>
        <w:tc>
          <w:tcPr>
            <w:tcW w:w="1525" w:type="dxa"/>
            <w:vMerge w:val="continue"/>
            <w:noWrap w:val="0"/>
            <w:vAlign w:val="center"/>
          </w:tcPr>
          <w:p>
            <w:pPr>
              <w:adjustRightInd w:val="0"/>
              <w:snapToGrid w:val="0"/>
              <w:jc w:val="center"/>
              <w:rPr>
                <w:rFonts w:hint="default" w:ascii="Times New Roman" w:hAnsi="Times New Roman" w:eastAsia="方正仿宋_GBK" w:cs="Times New Roman"/>
                <w:color w:val="000000"/>
                <w:sz w:val="20"/>
                <w:szCs w:val="20"/>
              </w:rPr>
            </w:pPr>
          </w:p>
        </w:tc>
        <w:tc>
          <w:tcPr>
            <w:tcW w:w="1007"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起始断面</w:t>
            </w:r>
          </w:p>
        </w:tc>
        <w:tc>
          <w:tcPr>
            <w:tcW w:w="1044"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终止断面</w:t>
            </w:r>
          </w:p>
        </w:tc>
        <w:tc>
          <w:tcPr>
            <w:tcW w:w="1038" w:type="dxa"/>
            <w:vMerge w:val="continue"/>
            <w:noWrap w:val="0"/>
            <w:vAlign w:val="center"/>
          </w:tcPr>
          <w:p>
            <w:pPr>
              <w:adjustRightInd w:val="0"/>
              <w:snapToGrid w:val="0"/>
              <w:jc w:val="center"/>
              <w:rPr>
                <w:rFonts w:hint="default" w:ascii="Times New Roman" w:hAnsi="Times New Roman" w:eastAsia="方正仿宋_GBK" w:cs="Times New Roman"/>
                <w:color w:val="000000"/>
                <w:sz w:val="20"/>
                <w:szCs w:val="20"/>
              </w:rPr>
            </w:pPr>
          </w:p>
        </w:tc>
        <w:tc>
          <w:tcPr>
            <w:tcW w:w="696" w:type="dxa"/>
            <w:vMerge w:val="continue"/>
            <w:noWrap w:val="0"/>
            <w:vAlign w:val="center"/>
          </w:tcPr>
          <w:p>
            <w:pPr>
              <w:adjustRightInd w:val="0"/>
              <w:snapToGrid w:val="0"/>
              <w:jc w:val="center"/>
              <w:rPr>
                <w:rFonts w:hint="default" w:ascii="Times New Roman" w:hAnsi="Times New Roman" w:eastAsia="方正仿宋_GBK" w:cs="Times New Roman"/>
                <w:color w:val="000000"/>
                <w:sz w:val="20"/>
                <w:szCs w:val="20"/>
              </w:rPr>
            </w:pPr>
          </w:p>
        </w:tc>
        <w:tc>
          <w:tcPr>
            <w:tcW w:w="893" w:type="dxa"/>
            <w:vMerge w:val="continue"/>
            <w:noWrap w:val="0"/>
            <w:vAlign w:val="center"/>
          </w:tcPr>
          <w:p>
            <w:pPr>
              <w:adjustRightInd w:val="0"/>
              <w:snapToGrid w:val="0"/>
              <w:jc w:val="center"/>
              <w:rPr>
                <w:rFonts w:hint="default" w:ascii="Times New Roman" w:hAnsi="Times New Roman" w:eastAsia="方正仿宋_GBK" w:cs="Times New Roman"/>
                <w:color w:val="000000"/>
                <w:sz w:val="20"/>
                <w:szCs w:val="20"/>
              </w:rPr>
            </w:pPr>
          </w:p>
        </w:tc>
        <w:tc>
          <w:tcPr>
            <w:tcW w:w="696"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2010年</w:t>
            </w:r>
          </w:p>
        </w:tc>
        <w:tc>
          <w:tcPr>
            <w:tcW w:w="757"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2020年</w:t>
            </w:r>
          </w:p>
        </w:tc>
        <w:tc>
          <w:tcPr>
            <w:tcW w:w="1181" w:type="dxa"/>
            <w:vMerge w:val="continue"/>
            <w:noWrap w:val="0"/>
            <w:vAlign w:val="center"/>
          </w:tcPr>
          <w:p>
            <w:pPr>
              <w:adjustRightInd w:val="0"/>
              <w:snapToGrid w:val="0"/>
              <w:jc w:val="center"/>
              <w:rPr>
                <w:rFonts w:hint="default" w:ascii="Times New Roman" w:hAnsi="Times New Roman" w:eastAsia="方正仿宋_GBK"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68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1</w:t>
            </w:r>
          </w:p>
        </w:tc>
        <w:tc>
          <w:tcPr>
            <w:tcW w:w="1090"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E0202001303000</w:t>
            </w:r>
          </w:p>
        </w:tc>
        <w:tc>
          <w:tcPr>
            <w:tcW w:w="1453"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淠河六安开</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发利用区</w:t>
            </w:r>
          </w:p>
        </w:tc>
        <w:tc>
          <w:tcPr>
            <w:tcW w:w="666"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淮河</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中游</w:t>
            </w:r>
          </w:p>
        </w:tc>
        <w:tc>
          <w:tcPr>
            <w:tcW w:w="757"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王蚌区</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间南岸</w:t>
            </w:r>
          </w:p>
        </w:tc>
        <w:tc>
          <w:tcPr>
            <w:tcW w:w="62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淠河</w:t>
            </w:r>
          </w:p>
        </w:tc>
        <w:tc>
          <w:tcPr>
            <w:tcW w:w="715"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淠河</w:t>
            </w:r>
          </w:p>
        </w:tc>
        <w:tc>
          <w:tcPr>
            <w:tcW w:w="1525"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六安市裕安区、霍邱县、寿县</w:t>
            </w:r>
          </w:p>
        </w:tc>
        <w:tc>
          <w:tcPr>
            <w:tcW w:w="1007"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横排头</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枢纽坝下</w:t>
            </w:r>
          </w:p>
        </w:tc>
        <w:tc>
          <w:tcPr>
            <w:tcW w:w="1044"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淠河入</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淮河口</w:t>
            </w:r>
          </w:p>
        </w:tc>
        <w:tc>
          <w:tcPr>
            <w:tcW w:w="1038"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二级区</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划确定</w:t>
            </w:r>
          </w:p>
        </w:tc>
        <w:tc>
          <w:tcPr>
            <w:tcW w:w="696"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122</w:t>
            </w:r>
          </w:p>
        </w:tc>
        <w:tc>
          <w:tcPr>
            <w:tcW w:w="893"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V--劣V</w:t>
            </w:r>
          </w:p>
        </w:tc>
        <w:tc>
          <w:tcPr>
            <w:tcW w:w="1453" w:type="dxa"/>
            <w:gridSpan w:val="2"/>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二级区</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划确定</w:t>
            </w:r>
          </w:p>
        </w:tc>
        <w:tc>
          <w:tcPr>
            <w:tcW w:w="118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开发利用</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程度较高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68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2</w:t>
            </w:r>
          </w:p>
        </w:tc>
        <w:tc>
          <w:tcPr>
            <w:tcW w:w="1090"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E0202001903000</w:t>
            </w:r>
          </w:p>
        </w:tc>
        <w:tc>
          <w:tcPr>
            <w:tcW w:w="1453"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淠东干渠金安寿县开发利用区</w:t>
            </w:r>
          </w:p>
        </w:tc>
        <w:tc>
          <w:tcPr>
            <w:tcW w:w="666"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淮河</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中游</w:t>
            </w:r>
          </w:p>
        </w:tc>
        <w:tc>
          <w:tcPr>
            <w:tcW w:w="757"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王蚌区</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间南岸</w:t>
            </w:r>
          </w:p>
        </w:tc>
        <w:tc>
          <w:tcPr>
            <w:tcW w:w="62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淠河</w:t>
            </w:r>
          </w:p>
        </w:tc>
        <w:tc>
          <w:tcPr>
            <w:tcW w:w="715"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淠东</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干渠</w:t>
            </w:r>
          </w:p>
        </w:tc>
        <w:tc>
          <w:tcPr>
            <w:tcW w:w="1525"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六安市金安区、寿县</w:t>
            </w:r>
          </w:p>
        </w:tc>
        <w:tc>
          <w:tcPr>
            <w:tcW w:w="1007"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六安市</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九里沟</w:t>
            </w:r>
          </w:p>
        </w:tc>
        <w:tc>
          <w:tcPr>
            <w:tcW w:w="1044"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寿县</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城南</w:t>
            </w:r>
          </w:p>
        </w:tc>
        <w:tc>
          <w:tcPr>
            <w:tcW w:w="1038"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二级区</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划确定</w:t>
            </w:r>
          </w:p>
        </w:tc>
        <w:tc>
          <w:tcPr>
            <w:tcW w:w="696"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94.5</w:t>
            </w:r>
          </w:p>
        </w:tc>
        <w:tc>
          <w:tcPr>
            <w:tcW w:w="893"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II--III</w:t>
            </w:r>
          </w:p>
        </w:tc>
        <w:tc>
          <w:tcPr>
            <w:tcW w:w="1453" w:type="dxa"/>
            <w:gridSpan w:val="2"/>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二级区</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划确定</w:t>
            </w:r>
          </w:p>
        </w:tc>
        <w:tc>
          <w:tcPr>
            <w:tcW w:w="118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农田灌溉</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用水量大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68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3</w:t>
            </w:r>
          </w:p>
        </w:tc>
        <w:tc>
          <w:tcPr>
            <w:tcW w:w="1090"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E0202002103000</w:t>
            </w:r>
          </w:p>
        </w:tc>
        <w:tc>
          <w:tcPr>
            <w:tcW w:w="1453"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瓦西干渠金安寿县开发利用区</w:t>
            </w:r>
          </w:p>
        </w:tc>
        <w:tc>
          <w:tcPr>
            <w:tcW w:w="666"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淮河</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中游</w:t>
            </w:r>
          </w:p>
        </w:tc>
        <w:tc>
          <w:tcPr>
            <w:tcW w:w="757"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王蚌区</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间南岸</w:t>
            </w:r>
          </w:p>
        </w:tc>
        <w:tc>
          <w:tcPr>
            <w:tcW w:w="62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淠河</w:t>
            </w:r>
          </w:p>
        </w:tc>
        <w:tc>
          <w:tcPr>
            <w:tcW w:w="715"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瓦西</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干渠</w:t>
            </w:r>
          </w:p>
        </w:tc>
        <w:tc>
          <w:tcPr>
            <w:tcW w:w="1525"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六安市金安区、寿县</w:t>
            </w:r>
          </w:p>
        </w:tc>
        <w:tc>
          <w:tcPr>
            <w:tcW w:w="1007"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淠河总干</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渠白家堰</w:t>
            </w:r>
          </w:p>
        </w:tc>
        <w:tc>
          <w:tcPr>
            <w:tcW w:w="1044"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寿县</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渠尾</w:t>
            </w:r>
          </w:p>
        </w:tc>
        <w:tc>
          <w:tcPr>
            <w:tcW w:w="1038"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二级区</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划确定</w:t>
            </w:r>
          </w:p>
        </w:tc>
        <w:tc>
          <w:tcPr>
            <w:tcW w:w="696"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61.2</w:t>
            </w:r>
          </w:p>
        </w:tc>
        <w:tc>
          <w:tcPr>
            <w:tcW w:w="893"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II--III</w:t>
            </w:r>
          </w:p>
        </w:tc>
        <w:tc>
          <w:tcPr>
            <w:tcW w:w="1453" w:type="dxa"/>
            <w:gridSpan w:val="2"/>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二级区</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划确定</w:t>
            </w:r>
          </w:p>
        </w:tc>
        <w:tc>
          <w:tcPr>
            <w:tcW w:w="118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农田灌溉</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用水量大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68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4</w:t>
            </w:r>
          </w:p>
        </w:tc>
        <w:tc>
          <w:tcPr>
            <w:tcW w:w="1090"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E0201000903000</w:t>
            </w:r>
          </w:p>
        </w:tc>
        <w:tc>
          <w:tcPr>
            <w:tcW w:w="1453"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西淝河（下端）亳州淮南开发利用区</w:t>
            </w:r>
          </w:p>
        </w:tc>
        <w:tc>
          <w:tcPr>
            <w:tcW w:w="666"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淮河</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中游</w:t>
            </w:r>
          </w:p>
        </w:tc>
        <w:tc>
          <w:tcPr>
            <w:tcW w:w="757"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王蚌区</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间北岸</w:t>
            </w:r>
          </w:p>
        </w:tc>
        <w:tc>
          <w:tcPr>
            <w:tcW w:w="62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w:t>
            </w:r>
          </w:p>
        </w:tc>
        <w:tc>
          <w:tcPr>
            <w:tcW w:w="715"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西淝河</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（下段）</w:t>
            </w:r>
          </w:p>
        </w:tc>
        <w:tc>
          <w:tcPr>
            <w:tcW w:w="1525"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利辛县</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凤台县</w:t>
            </w:r>
          </w:p>
        </w:tc>
        <w:tc>
          <w:tcPr>
            <w:tcW w:w="1007"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利辛县</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中元湾</w:t>
            </w:r>
          </w:p>
        </w:tc>
        <w:tc>
          <w:tcPr>
            <w:tcW w:w="1044"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凤台县</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西淝闸</w:t>
            </w:r>
          </w:p>
        </w:tc>
        <w:tc>
          <w:tcPr>
            <w:tcW w:w="1038"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二级区</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划确定</w:t>
            </w:r>
          </w:p>
        </w:tc>
        <w:tc>
          <w:tcPr>
            <w:tcW w:w="696"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64</w:t>
            </w:r>
          </w:p>
        </w:tc>
        <w:tc>
          <w:tcPr>
            <w:tcW w:w="893"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IV--V</w:t>
            </w:r>
          </w:p>
        </w:tc>
        <w:tc>
          <w:tcPr>
            <w:tcW w:w="1453" w:type="dxa"/>
            <w:gridSpan w:val="2"/>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二级区</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划确定</w:t>
            </w:r>
          </w:p>
        </w:tc>
        <w:tc>
          <w:tcPr>
            <w:tcW w:w="118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开发利用</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程度较高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68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5</w:t>
            </w:r>
          </w:p>
        </w:tc>
        <w:tc>
          <w:tcPr>
            <w:tcW w:w="1090"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E0201001003000</w:t>
            </w:r>
          </w:p>
        </w:tc>
        <w:tc>
          <w:tcPr>
            <w:tcW w:w="1453"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济河阜阳淮南开发利用区</w:t>
            </w:r>
          </w:p>
        </w:tc>
        <w:tc>
          <w:tcPr>
            <w:tcW w:w="666"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淮河</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中游</w:t>
            </w:r>
          </w:p>
        </w:tc>
        <w:tc>
          <w:tcPr>
            <w:tcW w:w="757"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王蚌区</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间北岸</w:t>
            </w:r>
          </w:p>
        </w:tc>
        <w:tc>
          <w:tcPr>
            <w:tcW w:w="62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w:t>
            </w:r>
          </w:p>
        </w:tc>
        <w:tc>
          <w:tcPr>
            <w:tcW w:w="715"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济河</w:t>
            </w:r>
          </w:p>
        </w:tc>
        <w:tc>
          <w:tcPr>
            <w:tcW w:w="1525"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阜阳市颍东区、凤台县</w:t>
            </w:r>
          </w:p>
        </w:tc>
        <w:tc>
          <w:tcPr>
            <w:tcW w:w="1007"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阜阳市颍东区伍明沟</w:t>
            </w:r>
          </w:p>
        </w:tc>
        <w:tc>
          <w:tcPr>
            <w:tcW w:w="1044"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凤台县老集东入西淝河口</w:t>
            </w:r>
          </w:p>
        </w:tc>
        <w:tc>
          <w:tcPr>
            <w:tcW w:w="1038"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二级区</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划确定</w:t>
            </w:r>
          </w:p>
        </w:tc>
        <w:tc>
          <w:tcPr>
            <w:tcW w:w="696"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74</w:t>
            </w:r>
          </w:p>
        </w:tc>
        <w:tc>
          <w:tcPr>
            <w:tcW w:w="893"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V--劣V</w:t>
            </w:r>
          </w:p>
        </w:tc>
        <w:tc>
          <w:tcPr>
            <w:tcW w:w="1453" w:type="dxa"/>
            <w:gridSpan w:val="2"/>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二级区</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划确定</w:t>
            </w:r>
          </w:p>
        </w:tc>
        <w:tc>
          <w:tcPr>
            <w:tcW w:w="118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开发利用</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程度较高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68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6</w:t>
            </w:r>
          </w:p>
        </w:tc>
        <w:tc>
          <w:tcPr>
            <w:tcW w:w="1090"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E0201001103000</w:t>
            </w:r>
          </w:p>
        </w:tc>
        <w:tc>
          <w:tcPr>
            <w:tcW w:w="1453"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茨淮新河阜阳亳州淮南蚌埠开发利用区</w:t>
            </w:r>
          </w:p>
        </w:tc>
        <w:tc>
          <w:tcPr>
            <w:tcW w:w="666"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淮河</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中游</w:t>
            </w:r>
          </w:p>
        </w:tc>
        <w:tc>
          <w:tcPr>
            <w:tcW w:w="757"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王蚌区</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间北岸</w:t>
            </w:r>
          </w:p>
        </w:tc>
        <w:tc>
          <w:tcPr>
            <w:tcW w:w="62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w:t>
            </w:r>
          </w:p>
        </w:tc>
        <w:tc>
          <w:tcPr>
            <w:tcW w:w="715"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茨淮新河</w:t>
            </w:r>
          </w:p>
        </w:tc>
        <w:tc>
          <w:tcPr>
            <w:tcW w:w="1525"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阜阳市、亳州市、淮南市、蚌埠市</w:t>
            </w:r>
          </w:p>
        </w:tc>
        <w:tc>
          <w:tcPr>
            <w:tcW w:w="1007"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阜阳市茨</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河铺闸</w:t>
            </w:r>
          </w:p>
        </w:tc>
        <w:tc>
          <w:tcPr>
            <w:tcW w:w="1044"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怀远县</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上桥闸</w:t>
            </w:r>
          </w:p>
        </w:tc>
        <w:tc>
          <w:tcPr>
            <w:tcW w:w="1038"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二级区</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划确定</w:t>
            </w:r>
          </w:p>
        </w:tc>
        <w:tc>
          <w:tcPr>
            <w:tcW w:w="696"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132</w:t>
            </w:r>
          </w:p>
        </w:tc>
        <w:tc>
          <w:tcPr>
            <w:tcW w:w="893"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III--V</w:t>
            </w:r>
          </w:p>
        </w:tc>
        <w:tc>
          <w:tcPr>
            <w:tcW w:w="1453" w:type="dxa"/>
            <w:gridSpan w:val="2"/>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二级区</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划确定</w:t>
            </w:r>
          </w:p>
        </w:tc>
        <w:tc>
          <w:tcPr>
            <w:tcW w:w="118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开发利用</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程度较高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68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7</w:t>
            </w:r>
          </w:p>
        </w:tc>
        <w:tc>
          <w:tcPr>
            <w:tcW w:w="1090"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E0200000203000</w:t>
            </w:r>
          </w:p>
        </w:tc>
        <w:tc>
          <w:tcPr>
            <w:tcW w:w="1453"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16"/>
                <w:szCs w:val="16"/>
                <w:lang w:bidi="ar"/>
              </w:rPr>
            </w:pPr>
            <w:r>
              <w:rPr>
                <w:rFonts w:hint="default" w:ascii="Times New Roman" w:hAnsi="Times New Roman" w:eastAsia="方正仿宋_GBK" w:cs="Times New Roman"/>
                <w:color w:val="000000"/>
                <w:kern w:val="0"/>
                <w:sz w:val="16"/>
                <w:szCs w:val="16"/>
                <w:lang w:bidi="ar"/>
              </w:rPr>
              <w:t>淮河阜阳六安滁州开发利用区</w:t>
            </w:r>
          </w:p>
        </w:tc>
        <w:tc>
          <w:tcPr>
            <w:tcW w:w="666"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16"/>
                <w:szCs w:val="16"/>
                <w:lang w:eastAsia="zh-CN" w:bidi="ar"/>
              </w:rPr>
            </w:pPr>
            <w:r>
              <w:rPr>
                <w:rFonts w:hint="default" w:ascii="Times New Roman" w:hAnsi="Times New Roman" w:eastAsia="方正仿宋_GBK" w:cs="Times New Roman"/>
                <w:color w:val="000000"/>
                <w:kern w:val="0"/>
                <w:sz w:val="16"/>
                <w:szCs w:val="16"/>
                <w:lang w:bidi="ar"/>
              </w:rPr>
              <w:t>淮河</w:t>
            </w:r>
          </w:p>
          <w:p>
            <w:pPr>
              <w:widowControl/>
              <w:adjustRightInd w:val="0"/>
              <w:snapToGrid w:val="0"/>
              <w:jc w:val="center"/>
              <w:textAlignment w:val="center"/>
              <w:rPr>
                <w:rFonts w:hint="default" w:ascii="Times New Roman" w:hAnsi="Times New Roman" w:eastAsia="方正仿宋_GBK" w:cs="Times New Roman"/>
                <w:color w:val="000000"/>
                <w:kern w:val="0"/>
                <w:sz w:val="16"/>
                <w:szCs w:val="16"/>
                <w:lang w:bidi="ar"/>
              </w:rPr>
            </w:pPr>
            <w:r>
              <w:rPr>
                <w:rFonts w:hint="default" w:ascii="Times New Roman" w:hAnsi="Times New Roman" w:eastAsia="方正仿宋_GBK" w:cs="Times New Roman"/>
                <w:color w:val="000000"/>
                <w:kern w:val="0"/>
                <w:sz w:val="16"/>
                <w:szCs w:val="16"/>
                <w:lang w:bidi="ar"/>
              </w:rPr>
              <w:t>中游</w:t>
            </w:r>
          </w:p>
        </w:tc>
        <w:tc>
          <w:tcPr>
            <w:tcW w:w="757"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16"/>
                <w:szCs w:val="16"/>
                <w:lang w:eastAsia="zh-CN" w:bidi="ar"/>
              </w:rPr>
            </w:pPr>
            <w:r>
              <w:rPr>
                <w:rFonts w:hint="default" w:ascii="Times New Roman" w:hAnsi="Times New Roman" w:eastAsia="方正仿宋_GBK" w:cs="Times New Roman"/>
                <w:color w:val="000000"/>
                <w:kern w:val="0"/>
                <w:sz w:val="16"/>
                <w:szCs w:val="16"/>
                <w:lang w:bidi="ar"/>
              </w:rPr>
              <w:t>王蚌区</w:t>
            </w:r>
          </w:p>
          <w:p>
            <w:pPr>
              <w:widowControl/>
              <w:adjustRightInd w:val="0"/>
              <w:snapToGrid w:val="0"/>
              <w:jc w:val="center"/>
              <w:textAlignment w:val="center"/>
              <w:rPr>
                <w:rFonts w:hint="default" w:ascii="Times New Roman" w:hAnsi="Times New Roman" w:eastAsia="方正仿宋_GBK" w:cs="Times New Roman"/>
                <w:color w:val="000000"/>
                <w:kern w:val="0"/>
                <w:sz w:val="16"/>
                <w:szCs w:val="16"/>
                <w:lang w:bidi="ar"/>
              </w:rPr>
            </w:pPr>
            <w:r>
              <w:rPr>
                <w:rFonts w:hint="default" w:ascii="Times New Roman" w:hAnsi="Times New Roman" w:eastAsia="方正仿宋_GBK" w:cs="Times New Roman"/>
                <w:color w:val="000000"/>
                <w:kern w:val="0"/>
                <w:sz w:val="16"/>
                <w:szCs w:val="16"/>
                <w:lang w:bidi="ar"/>
              </w:rPr>
              <w:t>间</w:t>
            </w:r>
          </w:p>
        </w:tc>
        <w:tc>
          <w:tcPr>
            <w:tcW w:w="62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淮河</w:t>
            </w:r>
          </w:p>
        </w:tc>
        <w:tc>
          <w:tcPr>
            <w:tcW w:w="715"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淮河</w:t>
            </w:r>
          </w:p>
        </w:tc>
        <w:tc>
          <w:tcPr>
            <w:tcW w:w="1525"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沿淮五市</w:t>
            </w:r>
          </w:p>
        </w:tc>
        <w:tc>
          <w:tcPr>
            <w:tcW w:w="1007"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霍邱县陈村</w:t>
            </w:r>
          </w:p>
        </w:tc>
        <w:tc>
          <w:tcPr>
            <w:tcW w:w="1044"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明光市黄盆窑</w:t>
            </w:r>
          </w:p>
        </w:tc>
        <w:tc>
          <w:tcPr>
            <w:tcW w:w="1038"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二级区</w:t>
            </w:r>
          </w:p>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划确定</w:t>
            </w:r>
          </w:p>
        </w:tc>
        <w:tc>
          <w:tcPr>
            <w:tcW w:w="696"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315</w:t>
            </w:r>
          </w:p>
        </w:tc>
        <w:tc>
          <w:tcPr>
            <w:tcW w:w="893"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III--劣V</w:t>
            </w:r>
          </w:p>
        </w:tc>
        <w:tc>
          <w:tcPr>
            <w:tcW w:w="1453" w:type="dxa"/>
            <w:gridSpan w:val="2"/>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二级区</w:t>
            </w:r>
          </w:p>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划确定</w:t>
            </w:r>
          </w:p>
        </w:tc>
        <w:tc>
          <w:tcPr>
            <w:tcW w:w="118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开发利用</w:t>
            </w:r>
          </w:p>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程度较高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68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1</w:t>
            </w:r>
          </w:p>
        </w:tc>
        <w:tc>
          <w:tcPr>
            <w:tcW w:w="1090"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E020100</w:t>
            </w:r>
          </w:p>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0803000</w:t>
            </w:r>
          </w:p>
        </w:tc>
        <w:tc>
          <w:tcPr>
            <w:tcW w:w="1453"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16"/>
                <w:szCs w:val="16"/>
                <w:lang w:bidi="ar"/>
              </w:rPr>
            </w:pPr>
            <w:r>
              <w:rPr>
                <w:rFonts w:hint="default" w:ascii="Times New Roman" w:hAnsi="Times New Roman" w:eastAsia="方正仿宋_GBK" w:cs="Times New Roman"/>
                <w:color w:val="000000"/>
                <w:kern w:val="0"/>
                <w:sz w:val="20"/>
                <w:szCs w:val="20"/>
                <w:lang w:bidi="ar"/>
              </w:rPr>
              <w:t>焦岗湖阜阳淮南开发利用区</w:t>
            </w:r>
          </w:p>
        </w:tc>
        <w:tc>
          <w:tcPr>
            <w:tcW w:w="666"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淮河</w:t>
            </w:r>
          </w:p>
          <w:p>
            <w:pPr>
              <w:widowControl/>
              <w:adjustRightInd w:val="0"/>
              <w:snapToGrid w:val="0"/>
              <w:jc w:val="center"/>
              <w:textAlignment w:val="center"/>
              <w:rPr>
                <w:rFonts w:hint="default" w:ascii="Times New Roman" w:hAnsi="Times New Roman" w:eastAsia="方正仿宋_GBK" w:cs="Times New Roman"/>
                <w:color w:val="000000"/>
                <w:kern w:val="0"/>
                <w:sz w:val="16"/>
                <w:szCs w:val="16"/>
                <w:lang w:bidi="ar"/>
              </w:rPr>
            </w:pPr>
            <w:r>
              <w:rPr>
                <w:rFonts w:hint="default" w:ascii="Times New Roman" w:hAnsi="Times New Roman" w:eastAsia="方正仿宋_GBK" w:cs="Times New Roman"/>
                <w:color w:val="000000"/>
                <w:kern w:val="0"/>
                <w:sz w:val="20"/>
                <w:szCs w:val="20"/>
                <w:lang w:bidi="ar"/>
              </w:rPr>
              <w:t>中游</w:t>
            </w:r>
          </w:p>
        </w:tc>
        <w:tc>
          <w:tcPr>
            <w:tcW w:w="757"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16"/>
                <w:szCs w:val="16"/>
                <w:lang w:bidi="ar"/>
              </w:rPr>
            </w:pPr>
            <w:r>
              <w:rPr>
                <w:rFonts w:hint="default" w:ascii="Times New Roman" w:hAnsi="Times New Roman" w:eastAsia="方正仿宋_GBK" w:cs="Times New Roman"/>
                <w:color w:val="000000"/>
                <w:kern w:val="0"/>
                <w:sz w:val="20"/>
                <w:szCs w:val="20"/>
                <w:lang w:bidi="ar"/>
              </w:rPr>
              <w:t>王蚌区间北岸</w:t>
            </w:r>
          </w:p>
        </w:tc>
        <w:tc>
          <w:tcPr>
            <w:tcW w:w="62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淮河</w:t>
            </w:r>
          </w:p>
        </w:tc>
        <w:tc>
          <w:tcPr>
            <w:tcW w:w="715"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焦岗湖</w:t>
            </w:r>
          </w:p>
        </w:tc>
        <w:tc>
          <w:tcPr>
            <w:tcW w:w="1525"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颍上县、凤台县</w:t>
            </w:r>
          </w:p>
        </w:tc>
        <w:tc>
          <w:tcPr>
            <w:tcW w:w="2051" w:type="dxa"/>
            <w:gridSpan w:val="2"/>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湖区</w:t>
            </w:r>
          </w:p>
        </w:tc>
        <w:tc>
          <w:tcPr>
            <w:tcW w:w="1038"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二级区划确定</w:t>
            </w:r>
          </w:p>
        </w:tc>
        <w:tc>
          <w:tcPr>
            <w:tcW w:w="696"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37.5</w:t>
            </w:r>
          </w:p>
        </w:tc>
        <w:tc>
          <w:tcPr>
            <w:tcW w:w="893"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II-III</w:t>
            </w:r>
          </w:p>
        </w:tc>
        <w:tc>
          <w:tcPr>
            <w:tcW w:w="1453" w:type="dxa"/>
            <w:gridSpan w:val="2"/>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二级区</w:t>
            </w:r>
          </w:p>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划确定</w:t>
            </w:r>
          </w:p>
        </w:tc>
        <w:tc>
          <w:tcPr>
            <w:tcW w:w="118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开发利用</w:t>
            </w:r>
          </w:p>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程度较高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68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2</w:t>
            </w:r>
          </w:p>
        </w:tc>
        <w:tc>
          <w:tcPr>
            <w:tcW w:w="1090"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E020200</w:t>
            </w:r>
          </w:p>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2501000</w:t>
            </w:r>
          </w:p>
        </w:tc>
        <w:tc>
          <w:tcPr>
            <w:tcW w:w="1453"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16"/>
                <w:szCs w:val="16"/>
                <w:lang w:bidi="ar"/>
              </w:rPr>
            </w:pPr>
            <w:r>
              <w:rPr>
                <w:rFonts w:hint="default" w:ascii="Times New Roman" w:hAnsi="Times New Roman" w:eastAsia="方正仿宋_GBK" w:cs="Times New Roman"/>
                <w:color w:val="000000"/>
                <w:kern w:val="0"/>
                <w:sz w:val="20"/>
                <w:szCs w:val="20"/>
                <w:lang w:bidi="ar"/>
              </w:rPr>
              <w:t>东淝河瓦埠湖六安合肥淮南调水水源保护区</w:t>
            </w:r>
          </w:p>
        </w:tc>
        <w:tc>
          <w:tcPr>
            <w:tcW w:w="666"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淮河</w:t>
            </w:r>
          </w:p>
          <w:p>
            <w:pPr>
              <w:widowControl/>
              <w:adjustRightInd w:val="0"/>
              <w:snapToGrid w:val="0"/>
              <w:jc w:val="center"/>
              <w:textAlignment w:val="center"/>
              <w:rPr>
                <w:rFonts w:hint="default" w:ascii="Times New Roman" w:hAnsi="Times New Roman" w:eastAsia="方正仿宋_GBK" w:cs="Times New Roman"/>
                <w:color w:val="000000"/>
                <w:kern w:val="0"/>
                <w:sz w:val="16"/>
                <w:szCs w:val="16"/>
                <w:lang w:bidi="ar"/>
              </w:rPr>
            </w:pPr>
            <w:r>
              <w:rPr>
                <w:rFonts w:hint="default" w:ascii="Times New Roman" w:hAnsi="Times New Roman" w:eastAsia="方正仿宋_GBK" w:cs="Times New Roman"/>
                <w:color w:val="000000"/>
                <w:kern w:val="0"/>
                <w:sz w:val="20"/>
                <w:szCs w:val="20"/>
                <w:lang w:bidi="ar"/>
              </w:rPr>
              <w:t>中游</w:t>
            </w:r>
          </w:p>
        </w:tc>
        <w:tc>
          <w:tcPr>
            <w:tcW w:w="757"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16"/>
                <w:szCs w:val="16"/>
                <w:lang w:bidi="ar"/>
              </w:rPr>
            </w:pPr>
            <w:r>
              <w:rPr>
                <w:rFonts w:hint="default" w:ascii="Times New Roman" w:hAnsi="Times New Roman" w:eastAsia="方正仿宋_GBK" w:cs="Times New Roman"/>
                <w:color w:val="000000"/>
                <w:kern w:val="0"/>
                <w:sz w:val="20"/>
                <w:szCs w:val="20"/>
                <w:lang w:bidi="ar"/>
              </w:rPr>
              <w:t>王蚌区间南岸</w:t>
            </w:r>
          </w:p>
        </w:tc>
        <w:tc>
          <w:tcPr>
            <w:tcW w:w="62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淮河</w:t>
            </w:r>
          </w:p>
        </w:tc>
        <w:tc>
          <w:tcPr>
            <w:tcW w:w="715"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瓦埠湖</w:t>
            </w:r>
          </w:p>
        </w:tc>
        <w:tc>
          <w:tcPr>
            <w:tcW w:w="1525"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六安市、合肥市、淮南市</w:t>
            </w:r>
          </w:p>
        </w:tc>
        <w:tc>
          <w:tcPr>
            <w:tcW w:w="2051" w:type="dxa"/>
            <w:gridSpan w:val="2"/>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湖区</w:t>
            </w:r>
          </w:p>
        </w:tc>
        <w:tc>
          <w:tcPr>
            <w:tcW w:w="1038"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寿淮公路桥</w:t>
            </w:r>
          </w:p>
        </w:tc>
        <w:tc>
          <w:tcPr>
            <w:tcW w:w="696"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156</w:t>
            </w:r>
          </w:p>
        </w:tc>
        <w:tc>
          <w:tcPr>
            <w:tcW w:w="893"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II-III</w:t>
            </w:r>
          </w:p>
        </w:tc>
        <w:tc>
          <w:tcPr>
            <w:tcW w:w="1453" w:type="dxa"/>
            <w:gridSpan w:val="2"/>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II-III</w:t>
            </w:r>
          </w:p>
        </w:tc>
        <w:tc>
          <w:tcPr>
            <w:tcW w:w="118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水源地、规划的引江济淮工程输水线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68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3</w:t>
            </w:r>
          </w:p>
        </w:tc>
        <w:tc>
          <w:tcPr>
            <w:tcW w:w="1090"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E020200</w:t>
            </w:r>
          </w:p>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2603000</w:t>
            </w:r>
          </w:p>
        </w:tc>
        <w:tc>
          <w:tcPr>
            <w:tcW w:w="1453"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16"/>
                <w:szCs w:val="16"/>
                <w:lang w:bidi="ar"/>
              </w:rPr>
            </w:pPr>
            <w:r>
              <w:rPr>
                <w:rFonts w:hint="default" w:ascii="Times New Roman" w:hAnsi="Times New Roman" w:eastAsia="方正仿宋_GBK" w:cs="Times New Roman"/>
                <w:color w:val="000000"/>
                <w:kern w:val="0"/>
                <w:sz w:val="20"/>
                <w:szCs w:val="20"/>
                <w:lang w:bidi="ar"/>
              </w:rPr>
              <w:t>高塘湖淮南滁州合肥开发利用区</w:t>
            </w:r>
          </w:p>
        </w:tc>
        <w:tc>
          <w:tcPr>
            <w:tcW w:w="666"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淮河</w:t>
            </w:r>
          </w:p>
          <w:p>
            <w:pPr>
              <w:widowControl/>
              <w:adjustRightInd w:val="0"/>
              <w:snapToGrid w:val="0"/>
              <w:jc w:val="center"/>
              <w:textAlignment w:val="center"/>
              <w:rPr>
                <w:rFonts w:hint="default" w:ascii="Times New Roman" w:hAnsi="Times New Roman" w:eastAsia="方正仿宋_GBK" w:cs="Times New Roman"/>
                <w:color w:val="000000"/>
                <w:kern w:val="0"/>
                <w:sz w:val="16"/>
                <w:szCs w:val="16"/>
                <w:lang w:bidi="ar"/>
              </w:rPr>
            </w:pPr>
            <w:r>
              <w:rPr>
                <w:rFonts w:hint="default" w:ascii="Times New Roman" w:hAnsi="Times New Roman" w:eastAsia="方正仿宋_GBK" w:cs="Times New Roman"/>
                <w:color w:val="000000"/>
                <w:kern w:val="0"/>
                <w:sz w:val="20"/>
                <w:szCs w:val="20"/>
                <w:lang w:bidi="ar"/>
              </w:rPr>
              <w:t>中游</w:t>
            </w:r>
          </w:p>
        </w:tc>
        <w:tc>
          <w:tcPr>
            <w:tcW w:w="757"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16"/>
                <w:szCs w:val="16"/>
                <w:lang w:bidi="ar"/>
              </w:rPr>
            </w:pPr>
            <w:r>
              <w:rPr>
                <w:rFonts w:hint="default" w:ascii="Times New Roman" w:hAnsi="Times New Roman" w:eastAsia="方正仿宋_GBK" w:cs="Times New Roman"/>
                <w:color w:val="000000"/>
                <w:kern w:val="0"/>
                <w:sz w:val="20"/>
                <w:szCs w:val="20"/>
                <w:lang w:bidi="ar"/>
              </w:rPr>
              <w:t>王蚌区间南岸</w:t>
            </w:r>
          </w:p>
        </w:tc>
        <w:tc>
          <w:tcPr>
            <w:tcW w:w="62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淮河</w:t>
            </w:r>
          </w:p>
        </w:tc>
        <w:tc>
          <w:tcPr>
            <w:tcW w:w="715"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高塘湖</w:t>
            </w:r>
          </w:p>
        </w:tc>
        <w:tc>
          <w:tcPr>
            <w:tcW w:w="1525"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淮南市、滁州市、合肥市</w:t>
            </w:r>
          </w:p>
        </w:tc>
        <w:tc>
          <w:tcPr>
            <w:tcW w:w="2051" w:type="dxa"/>
            <w:gridSpan w:val="2"/>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湖区</w:t>
            </w:r>
          </w:p>
        </w:tc>
        <w:tc>
          <w:tcPr>
            <w:tcW w:w="1038"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二级规划区确定</w:t>
            </w:r>
          </w:p>
        </w:tc>
        <w:tc>
          <w:tcPr>
            <w:tcW w:w="696"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50</w:t>
            </w:r>
          </w:p>
        </w:tc>
        <w:tc>
          <w:tcPr>
            <w:tcW w:w="893"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III-IV</w:t>
            </w:r>
          </w:p>
        </w:tc>
        <w:tc>
          <w:tcPr>
            <w:tcW w:w="1453" w:type="dxa"/>
            <w:gridSpan w:val="2"/>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二级区划确定</w:t>
            </w:r>
          </w:p>
        </w:tc>
        <w:tc>
          <w:tcPr>
            <w:tcW w:w="1181" w:type="dxa"/>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开发利用程度较高</w:t>
            </w:r>
          </w:p>
        </w:tc>
      </w:tr>
    </w:tbl>
    <w:p>
      <w:pPr>
        <w:tabs>
          <w:tab w:val="left" w:pos="525"/>
        </w:tabs>
        <w:adjustRightInd w:val="0"/>
        <w:snapToGrid w:val="0"/>
        <w:jc w:val="center"/>
        <w:rPr>
          <w:rFonts w:hint="eastAsia" w:ascii="方正黑体_GBK" w:hAnsi="方正黑体_GBK" w:eastAsia="方正黑体_GBK" w:cs="方正黑体_GBK"/>
          <w:b/>
          <w:bCs/>
          <w:sz w:val="24"/>
        </w:rPr>
      </w:pPr>
    </w:p>
    <w:p>
      <w:pPr>
        <w:tabs>
          <w:tab w:val="left" w:pos="525"/>
        </w:tabs>
        <w:adjustRightInd w:val="0"/>
        <w:snapToGrid w:val="0"/>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表7.1-2  淮南市水功能二级区划表（河流）</w:t>
      </w:r>
    </w:p>
    <w:tbl>
      <w:tblPr>
        <w:tblStyle w:val="12"/>
        <w:tblW w:w="0" w:type="auto"/>
        <w:jc w:val="center"/>
        <w:tblLayout w:type="fixed"/>
        <w:tblCellMar>
          <w:top w:w="15" w:type="dxa"/>
          <w:left w:w="15" w:type="dxa"/>
          <w:bottom w:w="15" w:type="dxa"/>
          <w:right w:w="15" w:type="dxa"/>
        </w:tblCellMar>
      </w:tblPr>
      <w:tblGrid>
        <w:gridCol w:w="616"/>
        <w:gridCol w:w="852"/>
        <w:gridCol w:w="890"/>
        <w:gridCol w:w="1034"/>
        <w:gridCol w:w="647"/>
        <w:gridCol w:w="645"/>
        <w:gridCol w:w="522"/>
        <w:gridCol w:w="582"/>
        <w:gridCol w:w="1245"/>
        <w:gridCol w:w="980"/>
        <w:gridCol w:w="1306"/>
        <w:gridCol w:w="1344"/>
        <w:gridCol w:w="709"/>
        <w:gridCol w:w="726"/>
        <w:gridCol w:w="605"/>
        <w:gridCol w:w="750"/>
        <w:gridCol w:w="47"/>
        <w:gridCol w:w="775"/>
        <w:gridCol w:w="1025"/>
      </w:tblGrid>
      <w:tr>
        <w:tblPrEx>
          <w:tblCellMar>
            <w:top w:w="15" w:type="dxa"/>
            <w:left w:w="15" w:type="dxa"/>
            <w:bottom w:w="15" w:type="dxa"/>
            <w:right w:w="15" w:type="dxa"/>
          </w:tblCellMar>
        </w:tblPrEx>
        <w:trPr>
          <w:trHeight w:val="90" w:hRule="atLeast"/>
          <w:tblHeader/>
          <w:jc w:val="center"/>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序号</w:t>
            </w:r>
          </w:p>
        </w:tc>
        <w:tc>
          <w:tcPr>
            <w:tcW w:w="85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二级功能区编号</w:t>
            </w:r>
          </w:p>
        </w:tc>
        <w:tc>
          <w:tcPr>
            <w:tcW w:w="89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一级功能区名称</w:t>
            </w:r>
          </w:p>
        </w:tc>
        <w:tc>
          <w:tcPr>
            <w:tcW w:w="10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二级功能区名称</w:t>
            </w:r>
          </w:p>
        </w:tc>
        <w:tc>
          <w:tcPr>
            <w:tcW w:w="129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水资源分区</w:t>
            </w:r>
          </w:p>
        </w:tc>
        <w:tc>
          <w:tcPr>
            <w:tcW w:w="52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水系</w:t>
            </w:r>
          </w:p>
        </w:tc>
        <w:tc>
          <w:tcPr>
            <w:tcW w:w="58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河流</w:t>
            </w:r>
          </w:p>
        </w:tc>
        <w:tc>
          <w:tcPr>
            <w:tcW w:w="124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所属区域</w:t>
            </w:r>
          </w:p>
        </w:tc>
        <w:tc>
          <w:tcPr>
            <w:tcW w:w="228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范围</w:t>
            </w:r>
          </w:p>
        </w:tc>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水质代表断面</w:t>
            </w:r>
          </w:p>
        </w:tc>
        <w:tc>
          <w:tcPr>
            <w:tcW w:w="709"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长度（km）</w:t>
            </w:r>
          </w:p>
        </w:tc>
        <w:tc>
          <w:tcPr>
            <w:tcW w:w="72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功能</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排序</w:t>
            </w:r>
          </w:p>
        </w:tc>
        <w:tc>
          <w:tcPr>
            <w:tcW w:w="60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现状</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水质</w:t>
            </w:r>
          </w:p>
        </w:tc>
        <w:tc>
          <w:tcPr>
            <w:tcW w:w="1572"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水质管理目标</w:t>
            </w:r>
          </w:p>
        </w:tc>
        <w:tc>
          <w:tcPr>
            <w:tcW w:w="102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区划依据</w:t>
            </w:r>
          </w:p>
        </w:tc>
      </w:tr>
      <w:tr>
        <w:tblPrEx>
          <w:tblCellMar>
            <w:top w:w="15" w:type="dxa"/>
            <w:left w:w="15" w:type="dxa"/>
            <w:bottom w:w="15" w:type="dxa"/>
            <w:right w:w="15" w:type="dxa"/>
          </w:tblCellMar>
        </w:tblPrEx>
        <w:trPr>
          <w:trHeight w:val="90" w:hRule="atLeast"/>
          <w:tblHeader/>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color w:val="000000"/>
                <w:sz w:val="20"/>
                <w:szCs w:val="20"/>
              </w:rPr>
            </w:pPr>
          </w:p>
        </w:tc>
        <w:tc>
          <w:tcPr>
            <w:tcW w:w="85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color w:val="000000"/>
                <w:sz w:val="20"/>
                <w:szCs w:val="20"/>
              </w:rPr>
            </w:pPr>
          </w:p>
        </w:tc>
        <w:tc>
          <w:tcPr>
            <w:tcW w:w="89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color w:val="000000"/>
                <w:sz w:val="20"/>
                <w:szCs w:val="20"/>
              </w:rPr>
            </w:pPr>
          </w:p>
        </w:tc>
        <w:tc>
          <w:tcPr>
            <w:tcW w:w="1034"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color w:val="000000"/>
                <w:sz w:val="20"/>
                <w:szCs w:val="20"/>
              </w:rPr>
            </w:pP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二级区</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三级区</w:t>
            </w:r>
          </w:p>
        </w:tc>
        <w:tc>
          <w:tcPr>
            <w:tcW w:w="52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color w:val="000000"/>
                <w:sz w:val="20"/>
                <w:szCs w:val="20"/>
              </w:rPr>
            </w:pPr>
          </w:p>
        </w:tc>
        <w:tc>
          <w:tcPr>
            <w:tcW w:w="58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color w:val="000000"/>
                <w:sz w:val="20"/>
                <w:szCs w:val="20"/>
              </w:rPr>
            </w:pPr>
          </w:p>
        </w:tc>
        <w:tc>
          <w:tcPr>
            <w:tcW w:w="1245"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color w:val="000000"/>
                <w:sz w:val="20"/>
                <w:szCs w:val="20"/>
              </w:rPr>
            </w:pPr>
          </w:p>
        </w:tc>
        <w:tc>
          <w:tcPr>
            <w:tcW w:w="9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起始断面</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终止断面</w:t>
            </w:r>
          </w:p>
        </w:tc>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color w:val="000000"/>
                <w:sz w:val="20"/>
                <w:szCs w:val="20"/>
              </w:rPr>
            </w:pPr>
          </w:p>
        </w:tc>
        <w:tc>
          <w:tcPr>
            <w:tcW w:w="709"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color w:val="000000"/>
                <w:sz w:val="20"/>
                <w:szCs w:val="20"/>
              </w:rPr>
            </w:pPr>
          </w:p>
        </w:tc>
        <w:tc>
          <w:tcPr>
            <w:tcW w:w="72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color w:val="000000"/>
                <w:sz w:val="20"/>
                <w:szCs w:val="20"/>
              </w:rPr>
            </w:pPr>
          </w:p>
        </w:tc>
        <w:tc>
          <w:tcPr>
            <w:tcW w:w="797"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2010年</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2020年</w:t>
            </w:r>
          </w:p>
        </w:tc>
        <w:tc>
          <w:tcPr>
            <w:tcW w:w="1025"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color w:val="000000"/>
                <w:sz w:val="20"/>
                <w:szCs w:val="20"/>
              </w:rPr>
            </w:pPr>
          </w:p>
        </w:tc>
      </w:tr>
      <w:tr>
        <w:tblPrEx>
          <w:tblCellMar>
            <w:top w:w="15" w:type="dxa"/>
            <w:left w:w="15" w:type="dxa"/>
            <w:bottom w:w="15" w:type="dxa"/>
            <w:right w:w="15" w:type="dxa"/>
          </w:tblCellMar>
        </w:tblPrEx>
        <w:trPr>
          <w:trHeight w:val="90" w:hRule="atLeast"/>
          <w:jc w:val="center"/>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1</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E0200000203013</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淮河阜阳六安滁州开发利用区</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淮河阜阳六安农业用水区</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淮河</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中游</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王蚌</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区间</w:t>
            </w:r>
          </w:p>
        </w:tc>
        <w:tc>
          <w:tcPr>
            <w:tcW w:w="52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阜南县、霍邱县、寿县、凤台县</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霍邱县陈村</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凤台县菱角湖电灌站</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南照集淮河大桥、润河集水文站、鲁台子水文站</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139</w:t>
            </w:r>
          </w:p>
        </w:tc>
        <w:tc>
          <w:tcPr>
            <w:tcW w:w="72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农业饮用渔业</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III-IV</w:t>
            </w:r>
          </w:p>
        </w:tc>
        <w:tc>
          <w:tcPr>
            <w:tcW w:w="1572"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II-III</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农田灌溉取水区</w:t>
            </w:r>
          </w:p>
        </w:tc>
      </w:tr>
      <w:tr>
        <w:tblPrEx>
          <w:tblCellMar>
            <w:top w:w="15" w:type="dxa"/>
            <w:left w:w="15" w:type="dxa"/>
            <w:bottom w:w="15" w:type="dxa"/>
            <w:right w:w="15" w:type="dxa"/>
          </w:tblCellMar>
        </w:tblPrEx>
        <w:trPr>
          <w:trHeight w:val="90" w:hRule="atLeast"/>
          <w:jc w:val="center"/>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2</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E0200000203022</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淮河阜阳六安滁州开发利用区</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淮河凤台工业用水区</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淮河</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中游</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王蚌</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区间</w:t>
            </w:r>
          </w:p>
        </w:tc>
        <w:tc>
          <w:tcPr>
            <w:tcW w:w="52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凤台县</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凤台县菱角湖电灌站</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凤台县大桥下1km</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凤台县菱角湖、凤台淮河大桥</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5</w:t>
            </w:r>
          </w:p>
        </w:tc>
        <w:tc>
          <w:tcPr>
            <w:tcW w:w="72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工业排污</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V</w:t>
            </w:r>
          </w:p>
        </w:tc>
        <w:tc>
          <w:tcPr>
            <w:tcW w:w="1572"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III</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工业取水区及排污沟口集中河段</w:t>
            </w:r>
          </w:p>
        </w:tc>
      </w:tr>
      <w:tr>
        <w:tblPrEx>
          <w:tblCellMar>
            <w:top w:w="15" w:type="dxa"/>
            <w:left w:w="15" w:type="dxa"/>
            <w:bottom w:w="15" w:type="dxa"/>
            <w:right w:w="15" w:type="dxa"/>
          </w:tblCellMar>
        </w:tblPrEx>
        <w:trPr>
          <w:trHeight w:val="90" w:hRule="atLeast"/>
          <w:jc w:val="center"/>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3</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E0200000203036</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淮河阜阳六安滁州开发利用区</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淮河凤台八公山过渡区</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淮河</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中游</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王蚌</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区间</w:t>
            </w:r>
          </w:p>
        </w:tc>
        <w:tc>
          <w:tcPr>
            <w:tcW w:w="52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凤台县、淮南市八公山区</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凤台县大桥下1km</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淮南市李嘴孜取水口上游1km</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李嘴孜（上）</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10</w:t>
            </w:r>
          </w:p>
        </w:tc>
        <w:tc>
          <w:tcPr>
            <w:tcW w:w="72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过渡农业</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V</w:t>
            </w:r>
          </w:p>
        </w:tc>
        <w:tc>
          <w:tcPr>
            <w:tcW w:w="1572"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III</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上下两个功能区水质要求不同</w:t>
            </w:r>
          </w:p>
        </w:tc>
      </w:tr>
      <w:tr>
        <w:tblPrEx>
          <w:tblCellMar>
            <w:top w:w="15" w:type="dxa"/>
            <w:left w:w="15" w:type="dxa"/>
            <w:bottom w:w="15" w:type="dxa"/>
            <w:right w:w="15" w:type="dxa"/>
          </w:tblCellMar>
        </w:tblPrEx>
        <w:trPr>
          <w:trHeight w:val="90" w:hRule="atLeast"/>
          <w:jc w:val="center"/>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4</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E0200000203041</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淮河阜阳六安滁州开发利用区</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淮河淮南饮用水源区</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淮河</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中游</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王蚌</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区间</w:t>
            </w:r>
          </w:p>
        </w:tc>
        <w:tc>
          <w:tcPr>
            <w:tcW w:w="52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淮南市</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淮南市李嘴孜取水口上游1km</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姚家湾上游</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淮南市淮河公铁大桥、水厂取水口</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23</w:t>
            </w:r>
          </w:p>
        </w:tc>
        <w:tc>
          <w:tcPr>
            <w:tcW w:w="72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饮用</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III-IV</w:t>
            </w:r>
          </w:p>
        </w:tc>
        <w:tc>
          <w:tcPr>
            <w:tcW w:w="1572"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II-III</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淮南市饮用水源地</w:t>
            </w:r>
          </w:p>
        </w:tc>
      </w:tr>
      <w:tr>
        <w:tblPrEx>
          <w:tblCellMar>
            <w:top w:w="15" w:type="dxa"/>
            <w:left w:w="15" w:type="dxa"/>
            <w:bottom w:w="15" w:type="dxa"/>
            <w:right w:w="15" w:type="dxa"/>
          </w:tblCellMar>
        </w:tblPrEx>
        <w:trPr>
          <w:trHeight w:val="90" w:hRule="atLeast"/>
          <w:jc w:val="center"/>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5</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E0200000203057</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淮河阜阳六安滁州开发利用区</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淮河淮南排污控制区</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淮河</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中游</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王蚌</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区间</w:t>
            </w:r>
          </w:p>
        </w:tc>
        <w:tc>
          <w:tcPr>
            <w:tcW w:w="52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淮南市</w:t>
            </w:r>
          </w:p>
        </w:tc>
        <w:tc>
          <w:tcPr>
            <w:tcW w:w="98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姚家湾上游</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大涧沟轮渡码头</w:t>
            </w:r>
          </w:p>
        </w:tc>
        <w:tc>
          <w:tcPr>
            <w:tcW w:w="134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大涧沟下渡口</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5</w:t>
            </w:r>
          </w:p>
        </w:tc>
        <w:tc>
          <w:tcPr>
            <w:tcW w:w="72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排污农业工业</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V-劣V</w:t>
            </w:r>
          </w:p>
        </w:tc>
        <w:tc>
          <w:tcPr>
            <w:tcW w:w="1572"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暂不执行</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排污沟口集中河段</w:t>
            </w:r>
          </w:p>
        </w:tc>
      </w:tr>
      <w:tr>
        <w:tblPrEx>
          <w:tblCellMar>
            <w:top w:w="15" w:type="dxa"/>
            <w:left w:w="15" w:type="dxa"/>
            <w:bottom w:w="15" w:type="dxa"/>
            <w:right w:w="15" w:type="dxa"/>
          </w:tblCellMar>
        </w:tblPrEx>
        <w:trPr>
          <w:trHeight w:val="1893" w:hRule="atLeast"/>
          <w:jc w:val="center"/>
        </w:trPr>
        <w:tc>
          <w:tcPr>
            <w:tcW w:w="616" w:type="dxa"/>
            <w:tcBorders>
              <w:top w:val="single" w:color="000000" w:sz="4" w:space="0"/>
              <w:left w:val="single" w:color="000000" w:sz="4" w:space="0"/>
              <w:bottom w:val="single" w:color="auto"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6</w:t>
            </w:r>
          </w:p>
        </w:tc>
        <w:tc>
          <w:tcPr>
            <w:tcW w:w="852" w:type="dxa"/>
            <w:tcBorders>
              <w:top w:val="single" w:color="000000" w:sz="4" w:space="0"/>
              <w:left w:val="single" w:color="000000" w:sz="4" w:space="0"/>
              <w:bottom w:val="single" w:color="auto"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E0200000203066</w:t>
            </w:r>
          </w:p>
        </w:tc>
        <w:tc>
          <w:tcPr>
            <w:tcW w:w="890" w:type="dxa"/>
            <w:tcBorders>
              <w:top w:val="single" w:color="000000" w:sz="4" w:space="0"/>
              <w:left w:val="single" w:color="000000" w:sz="4" w:space="0"/>
              <w:bottom w:val="single" w:color="auto"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淮河阜阳六安滁州开发利用区</w:t>
            </w:r>
          </w:p>
        </w:tc>
        <w:tc>
          <w:tcPr>
            <w:tcW w:w="1034" w:type="dxa"/>
            <w:tcBorders>
              <w:top w:val="single" w:color="000000" w:sz="4" w:space="0"/>
              <w:left w:val="single" w:color="000000" w:sz="4" w:space="0"/>
              <w:bottom w:val="single" w:color="auto"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淮河淮南蚌埠过渡区</w:t>
            </w:r>
          </w:p>
        </w:tc>
        <w:tc>
          <w:tcPr>
            <w:tcW w:w="647" w:type="dxa"/>
            <w:tcBorders>
              <w:top w:val="single" w:color="000000" w:sz="4" w:space="0"/>
              <w:left w:val="single" w:color="000000" w:sz="4" w:space="0"/>
              <w:bottom w:val="single" w:color="auto"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淮河</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中游</w:t>
            </w: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王蚌</w:t>
            </w:r>
          </w:p>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区间</w:t>
            </w:r>
          </w:p>
        </w:tc>
        <w:tc>
          <w:tcPr>
            <w:tcW w:w="522" w:type="dxa"/>
            <w:tcBorders>
              <w:top w:val="single" w:color="000000" w:sz="4" w:space="0"/>
              <w:left w:val="single" w:color="000000" w:sz="4" w:space="0"/>
              <w:bottom w:val="single" w:color="auto"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w:t>
            </w:r>
          </w:p>
        </w:tc>
        <w:tc>
          <w:tcPr>
            <w:tcW w:w="582" w:type="dxa"/>
            <w:tcBorders>
              <w:top w:val="single" w:color="000000" w:sz="4" w:space="0"/>
              <w:left w:val="single" w:color="000000" w:sz="4" w:space="0"/>
              <w:bottom w:val="single" w:color="auto"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w:t>
            </w:r>
          </w:p>
        </w:tc>
        <w:tc>
          <w:tcPr>
            <w:tcW w:w="1245" w:type="dxa"/>
            <w:tcBorders>
              <w:top w:val="single" w:color="000000" w:sz="4" w:space="0"/>
              <w:left w:val="single" w:color="000000" w:sz="4" w:space="0"/>
              <w:bottom w:val="single" w:color="auto"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淮南市、怀远县</w:t>
            </w:r>
          </w:p>
        </w:tc>
        <w:tc>
          <w:tcPr>
            <w:tcW w:w="980" w:type="dxa"/>
            <w:tcBorders>
              <w:top w:val="single" w:color="000000" w:sz="4" w:space="0"/>
              <w:left w:val="single" w:color="000000" w:sz="4" w:space="0"/>
              <w:bottom w:val="single" w:color="auto"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大涧沟轮渡码头</w:t>
            </w:r>
          </w:p>
        </w:tc>
        <w:tc>
          <w:tcPr>
            <w:tcW w:w="1306" w:type="dxa"/>
            <w:tcBorders>
              <w:top w:val="single" w:color="000000" w:sz="4" w:space="0"/>
              <w:left w:val="single" w:color="000000" w:sz="4" w:space="0"/>
              <w:bottom w:val="single" w:color="auto"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怀远县马城镇</w:t>
            </w:r>
          </w:p>
        </w:tc>
        <w:tc>
          <w:tcPr>
            <w:tcW w:w="1344" w:type="dxa"/>
            <w:tcBorders>
              <w:top w:val="single" w:color="000000" w:sz="4" w:space="0"/>
              <w:left w:val="single" w:color="000000" w:sz="4" w:space="0"/>
              <w:bottom w:val="single" w:color="auto"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新城口、马城镇</w:t>
            </w:r>
          </w:p>
        </w:tc>
        <w:tc>
          <w:tcPr>
            <w:tcW w:w="709" w:type="dxa"/>
            <w:tcBorders>
              <w:top w:val="single" w:color="000000" w:sz="4" w:space="0"/>
              <w:left w:val="single" w:color="000000" w:sz="4" w:space="0"/>
              <w:bottom w:val="single" w:color="auto"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26</w:t>
            </w:r>
          </w:p>
        </w:tc>
        <w:tc>
          <w:tcPr>
            <w:tcW w:w="726" w:type="dxa"/>
            <w:tcBorders>
              <w:top w:val="single" w:color="000000" w:sz="4" w:space="0"/>
              <w:left w:val="single" w:color="000000" w:sz="4" w:space="0"/>
              <w:bottom w:val="single" w:color="auto"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过渡农业</w:t>
            </w:r>
          </w:p>
        </w:tc>
        <w:tc>
          <w:tcPr>
            <w:tcW w:w="605" w:type="dxa"/>
            <w:tcBorders>
              <w:top w:val="single" w:color="000000" w:sz="4" w:space="0"/>
              <w:left w:val="single" w:color="000000" w:sz="4" w:space="0"/>
              <w:bottom w:val="single" w:color="auto"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IV-V</w:t>
            </w:r>
          </w:p>
        </w:tc>
        <w:tc>
          <w:tcPr>
            <w:tcW w:w="1572" w:type="dxa"/>
            <w:gridSpan w:val="3"/>
            <w:tcBorders>
              <w:top w:val="single" w:color="000000" w:sz="4" w:space="0"/>
              <w:left w:val="single" w:color="000000" w:sz="4" w:space="0"/>
              <w:bottom w:val="single" w:color="auto"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III</w:t>
            </w:r>
          </w:p>
        </w:tc>
        <w:tc>
          <w:tcPr>
            <w:tcW w:w="1025" w:type="dxa"/>
            <w:tcBorders>
              <w:top w:val="single" w:color="000000" w:sz="4" w:space="0"/>
              <w:left w:val="single" w:color="000000" w:sz="4" w:space="0"/>
              <w:bottom w:val="single" w:color="auto"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上下两个功能区水质要求不同</w:t>
            </w:r>
          </w:p>
        </w:tc>
      </w:tr>
      <w:tr>
        <w:tblPrEx>
          <w:tblCellMar>
            <w:top w:w="15" w:type="dxa"/>
            <w:left w:w="15" w:type="dxa"/>
            <w:bottom w:w="15" w:type="dxa"/>
            <w:right w:w="15" w:type="dxa"/>
          </w:tblCellMar>
        </w:tblPrEx>
        <w:trPr>
          <w:trHeight w:val="90" w:hRule="atLeast"/>
          <w:jc w:val="center"/>
        </w:trPr>
        <w:tc>
          <w:tcPr>
            <w:tcW w:w="61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7</w:t>
            </w:r>
          </w:p>
        </w:tc>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E02001903013</w:t>
            </w:r>
          </w:p>
        </w:tc>
        <w:tc>
          <w:tcPr>
            <w:tcW w:w="89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淠东干渠金安寿县开发利用区</w:t>
            </w:r>
          </w:p>
        </w:tc>
        <w:tc>
          <w:tcPr>
            <w:tcW w:w="10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淠东干渠金安寿县农业用水区</w:t>
            </w:r>
          </w:p>
        </w:tc>
        <w:tc>
          <w:tcPr>
            <w:tcW w:w="64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淮河</w:t>
            </w:r>
          </w:p>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中游</w:t>
            </w:r>
          </w:p>
        </w:tc>
        <w:tc>
          <w:tcPr>
            <w:tcW w:w="64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王埠区</w:t>
            </w:r>
          </w:p>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间南岸</w:t>
            </w:r>
          </w:p>
        </w:tc>
        <w:tc>
          <w:tcPr>
            <w:tcW w:w="52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淠河</w:t>
            </w:r>
          </w:p>
        </w:tc>
        <w:tc>
          <w:tcPr>
            <w:tcW w:w="58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淠东干渠</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六安市金安区、寿县</w:t>
            </w:r>
          </w:p>
        </w:tc>
        <w:tc>
          <w:tcPr>
            <w:tcW w:w="98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九里沟</w:t>
            </w:r>
          </w:p>
        </w:tc>
        <w:tc>
          <w:tcPr>
            <w:tcW w:w="130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寿县城南</w:t>
            </w:r>
          </w:p>
        </w:tc>
        <w:tc>
          <w:tcPr>
            <w:tcW w:w="134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木厂埠</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94.5</w:t>
            </w:r>
          </w:p>
        </w:tc>
        <w:tc>
          <w:tcPr>
            <w:tcW w:w="72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农业</w:t>
            </w:r>
          </w:p>
        </w:tc>
        <w:tc>
          <w:tcPr>
            <w:tcW w:w="60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II-III</w:t>
            </w:r>
          </w:p>
        </w:tc>
        <w:tc>
          <w:tcPr>
            <w:tcW w:w="1572" w:type="dxa"/>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II-III</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农田灌溉取水区</w:t>
            </w:r>
          </w:p>
        </w:tc>
      </w:tr>
      <w:tr>
        <w:tblPrEx>
          <w:tblCellMar>
            <w:top w:w="15" w:type="dxa"/>
            <w:left w:w="15" w:type="dxa"/>
            <w:bottom w:w="15" w:type="dxa"/>
            <w:right w:w="15" w:type="dxa"/>
          </w:tblCellMar>
        </w:tblPrEx>
        <w:trPr>
          <w:trHeight w:val="90" w:hRule="atLeast"/>
          <w:jc w:val="center"/>
        </w:trPr>
        <w:tc>
          <w:tcPr>
            <w:tcW w:w="61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8</w:t>
            </w:r>
          </w:p>
        </w:tc>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E0202002003013</w:t>
            </w:r>
          </w:p>
        </w:tc>
        <w:tc>
          <w:tcPr>
            <w:tcW w:w="89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瓦西干渠金安寿县开发利用区</w:t>
            </w:r>
          </w:p>
        </w:tc>
        <w:tc>
          <w:tcPr>
            <w:tcW w:w="10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瓦西干渠金安寿县农业用水区</w:t>
            </w:r>
          </w:p>
        </w:tc>
        <w:tc>
          <w:tcPr>
            <w:tcW w:w="64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淮河</w:t>
            </w:r>
          </w:p>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中游</w:t>
            </w:r>
          </w:p>
        </w:tc>
        <w:tc>
          <w:tcPr>
            <w:tcW w:w="64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王埠区</w:t>
            </w:r>
          </w:p>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间南岸</w:t>
            </w:r>
          </w:p>
        </w:tc>
        <w:tc>
          <w:tcPr>
            <w:tcW w:w="52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淠河</w:t>
            </w:r>
          </w:p>
        </w:tc>
        <w:tc>
          <w:tcPr>
            <w:tcW w:w="58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瓦西干渠</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六安市金安区、寿县</w:t>
            </w:r>
          </w:p>
        </w:tc>
        <w:tc>
          <w:tcPr>
            <w:tcW w:w="98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六安市金安百家宴</w:t>
            </w:r>
          </w:p>
        </w:tc>
        <w:tc>
          <w:tcPr>
            <w:tcW w:w="130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寿县渠尾</w:t>
            </w:r>
          </w:p>
        </w:tc>
        <w:tc>
          <w:tcPr>
            <w:tcW w:w="134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百家堰</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61.2</w:t>
            </w:r>
          </w:p>
        </w:tc>
        <w:tc>
          <w:tcPr>
            <w:tcW w:w="72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农业</w:t>
            </w:r>
          </w:p>
        </w:tc>
        <w:tc>
          <w:tcPr>
            <w:tcW w:w="60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II-III</w:t>
            </w:r>
          </w:p>
        </w:tc>
        <w:tc>
          <w:tcPr>
            <w:tcW w:w="1572" w:type="dxa"/>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II-III</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农田灌溉取水区</w:t>
            </w:r>
          </w:p>
        </w:tc>
      </w:tr>
      <w:tr>
        <w:tblPrEx>
          <w:tblCellMar>
            <w:top w:w="15" w:type="dxa"/>
            <w:left w:w="15" w:type="dxa"/>
            <w:bottom w:w="15" w:type="dxa"/>
            <w:right w:w="15" w:type="dxa"/>
          </w:tblCellMar>
        </w:tblPrEx>
        <w:trPr>
          <w:trHeight w:val="90" w:hRule="atLeast"/>
          <w:jc w:val="center"/>
        </w:trPr>
        <w:tc>
          <w:tcPr>
            <w:tcW w:w="61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9</w:t>
            </w:r>
          </w:p>
        </w:tc>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E0201000903013</w:t>
            </w:r>
          </w:p>
        </w:tc>
        <w:tc>
          <w:tcPr>
            <w:tcW w:w="89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西淝河（下段）亳州淮南开发利用区</w:t>
            </w:r>
          </w:p>
        </w:tc>
        <w:tc>
          <w:tcPr>
            <w:tcW w:w="10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西淝河（下段）利辛凤台农业渔业用水区</w:t>
            </w:r>
          </w:p>
        </w:tc>
        <w:tc>
          <w:tcPr>
            <w:tcW w:w="64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淮河</w:t>
            </w:r>
          </w:p>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中游</w:t>
            </w:r>
          </w:p>
        </w:tc>
        <w:tc>
          <w:tcPr>
            <w:tcW w:w="64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王埠区</w:t>
            </w:r>
          </w:p>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间北岸</w:t>
            </w:r>
          </w:p>
        </w:tc>
        <w:tc>
          <w:tcPr>
            <w:tcW w:w="52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淮河</w:t>
            </w:r>
          </w:p>
        </w:tc>
        <w:tc>
          <w:tcPr>
            <w:tcW w:w="58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西淝河</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凤台县</w:t>
            </w:r>
          </w:p>
        </w:tc>
        <w:tc>
          <w:tcPr>
            <w:tcW w:w="98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利辛县中元湾</w:t>
            </w:r>
          </w:p>
        </w:tc>
        <w:tc>
          <w:tcPr>
            <w:tcW w:w="130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凤台县西淝闸</w:t>
            </w:r>
          </w:p>
        </w:tc>
        <w:tc>
          <w:tcPr>
            <w:tcW w:w="134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凤台县西淝闸</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64</w:t>
            </w:r>
          </w:p>
        </w:tc>
        <w:tc>
          <w:tcPr>
            <w:tcW w:w="72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农业渔业</w:t>
            </w:r>
          </w:p>
        </w:tc>
        <w:tc>
          <w:tcPr>
            <w:tcW w:w="60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IV-V</w:t>
            </w:r>
          </w:p>
        </w:tc>
        <w:tc>
          <w:tcPr>
            <w:tcW w:w="1572" w:type="dxa"/>
            <w:gridSpan w:val="3"/>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III</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农田灌溉取水区及渔业养殖河段</w:t>
            </w:r>
          </w:p>
        </w:tc>
      </w:tr>
      <w:tr>
        <w:tblPrEx>
          <w:tblCellMar>
            <w:top w:w="15" w:type="dxa"/>
            <w:left w:w="15" w:type="dxa"/>
            <w:bottom w:w="15" w:type="dxa"/>
            <w:right w:w="15" w:type="dxa"/>
          </w:tblCellMar>
        </w:tblPrEx>
        <w:trPr>
          <w:trHeight w:val="90" w:hRule="atLeast"/>
          <w:jc w:val="center"/>
        </w:trPr>
        <w:tc>
          <w:tcPr>
            <w:tcW w:w="61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10</w:t>
            </w:r>
          </w:p>
        </w:tc>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E0201001003013</w:t>
            </w:r>
          </w:p>
        </w:tc>
        <w:tc>
          <w:tcPr>
            <w:tcW w:w="89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济河阜阳淮南开发利用区</w:t>
            </w:r>
          </w:p>
        </w:tc>
        <w:tc>
          <w:tcPr>
            <w:tcW w:w="10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济河颍东凤台农业用水区</w:t>
            </w:r>
          </w:p>
        </w:tc>
        <w:tc>
          <w:tcPr>
            <w:tcW w:w="64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淮河</w:t>
            </w:r>
          </w:p>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中游</w:t>
            </w:r>
          </w:p>
        </w:tc>
        <w:tc>
          <w:tcPr>
            <w:tcW w:w="64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eastAsia="zh-CN" w:bidi="ar"/>
              </w:rPr>
            </w:pPr>
            <w:r>
              <w:rPr>
                <w:rFonts w:hint="default" w:ascii="Times New Roman" w:hAnsi="Times New Roman" w:eastAsia="方正仿宋_GBK" w:cs="Times New Roman"/>
                <w:color w:val="000000"/>
                <w:kern w:val="0"/>
                <w:sz w:val="20"/>
                <w:szCs w:val="20"/>
                <w:lang w:bidi="ar"/>
              </w:rPr>
              <w:t>王埠区</w:t>
            </w:r>
          </w:p>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间北岸</w:t>
            </w:r>
          </w:p>
        </w:tc>
        <w:tc>
          <w:tcPr>
            <w:tcW w:w="52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淮河</w:t>
            </w:r>
          </w:p>
        </w:tc>
        <w:tc>
          <w:tcPr>
            <w:tcW w:w="58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济河</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 xml:space="preserve">阜阳市颍东区、凤台县 </w:t>
            </w:r>
          </w:p>
        </w:tc>
        <w:tc>
          <w:tcPr>
            <w:tcW w:w="98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阜阳市颍东区伍明沟</w:t>
            </w:r>
          </w:p>
        </w:tc>
        <w:tc>
          <w:tcPr>
            <w:tcW w:w="130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凤台县老集东入西淝河口</w:t>
            </w:r>
          </w:p>
        </w:tc>
        <w:tc>
          <w:tcPr>
            <w:tcW w:w="134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阜阳市京九铁路</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74</w:t>
            </w:r>
          </w:p>
        </w:tc>
        <w:tc>
          <w:tcPr>
            <w:tcW w:w="72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农业排污</w:t>
            </w:r>
          </w:p>
        </w:tc>
        <w:tc>
          <w:tcPr>
            <w:tcW w:w="60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V-劣V</w:t>
            </w:r>
          </w:p>
        </w:tc>
        <w:tc>
          <w:tcPr>
            <w:tcW w:w="75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IV</w:t>
            </w:r>
          </w:p>
        </w:tc>
        <w:tc>
          <w:tcPr>
            <w:tcW w:w="82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color w:val="000000"/>
                <w:kern w:val="0"/>
                <w:sz w:val="20"/>
                <w:szCs w:val="20"/>
                <w:lang w:bidi="ar"/>
              </w:rPr>
              <w:t>III</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农田灌溉取水区</w:t>
            </w:r>
          </w:p>
        </w:tc>
      </w:tr>
      <w:tr>
        <w:tblPrEx>
          <w:tblCellMar>
            <w:top w:w="15" w:type="dxa"/>
            <w:left w:w="15" w:type="dxa"/>
            <w:bottom w:w="15" w:type="dxa"/>
            <w:right w:w="15" w:type="dxa"/>
          </w:tblCellMar>
        </w:tblPrEx>
        <w:trPr>
          <w:trHeight w:val="90" w:hRule="atLeast"/>
          <w:jc w:val="center"/>
        </w:trPr>
        <w:tc>
          <w:tcPr>
            <w:tcW w:w="61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11</w:t>
            </w:r>
          </w:p>
        </w:tc>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E0202001303013</w:t>
            </w:r>
          </w:p>
        </w:tc>
        <w:tc>
          <w:tcPr>
            <w:tcW w:w="89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淠河六安开发利用区</w:t>
            </w:r>
          </w:p>
        </w:tc>
        <w:tc>
          <w:tcPr>
            <w:tcW w:w="10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淠河六安农业用水区</w:t>
            </w:r>
          </w:p>
        </w:tc>
        <w:tc>
          <w:tcPr>
            <w:tcW w:w="64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淮河中游</w:t>
            </w:r>
          </w:p>
        </w:tc>
        <w:tc>
          <w:tcPr>
            <w:tcW w:w="64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王蚌区间南岸</w:t>
            </w:r>
          </w:p>
        </w:tc>
        <w:tc>
          <w:tcPr>
            <w:tcW w:w="52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淠河</w:t>
            </w:r>
          </w:p>
        </w:tc>
        <w:tc>
          <w:tcPr>
            <w:tcW w:w="58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淠河</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六安市、淮南市</w:t>
            </w:r>
          </w:p>
        </w:tc>
        <w:tc>
          <w:tcPr>
            <w:tcW w:w="98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横排头枢纽坝下</w:t>
            </w:r>
          </w:p>
        </w:tc>
        <w:tc>
          <w:tcPr>
            <w:tcW w:w="130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寿县正阳关入淮口</w:t>
            </w:r>
          </w:p>
        </w:tc>
        <w:tc>
          <w:tcPr>
            <w:tcW w:w="134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下龙爪、李渡口、大店岗</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122</w:t>
            </w:r>
          </w:p>
        </w:tc>
        <w:tc>
          <w:tcPr>
            <w:tcW w:w="72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农业</w:t>
            </w:r>
          </w:p>
        </w:tc>
        <w:tc>
          <w:tcPr>
            <w:tcW w:w="60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V-劣V</w:t>
            </w:r>
          </w:p>
        </w:tc>
        <w:tc>
          <w:tcPr>
            <w:tcW w:w="75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IV</w:t>
            </w:r>
          </w:p>
        </w:tc>
        <w:tc>
          <w:tcPr>
            <w:tcW w:w="82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color w:val="000000"/>
                <w:kern w:val="0"/>
                <w:sz w:val="20"/>
                <w:szCs w:val="20"/>
                <w:lang w:bidi="ar"/>
              </w:rPr>
              <w:t>III</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农业灌溉用水区</w:t>
            </w:r>
          </w:p>
        </w:tc>
      </w:tr>
      <w:tr>
        <w:tblPrEx>
          <w:tblCellMar>
            <w:top w:w="15" w:type="dxa"/>
            <w:left w:w="15" w:type="dxa"/>
            <w:bottom w:w="15" w:type="dxa"/>
            <w:right w:w="15" w:type="dxa"/>
          </w:tblCellMar>
        </w:tblPrEx>
        <w:trPr>
          <w:trHeight w:val="90" w:hRule="atLeast"/>
          <w:jc w:val="center"/>
        </w:trPr>
        <w:tc>
          <w:tcPr>
            <w:tcW w:w="61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12</w:t>
            </w:r>
          </w:p>
        </w:tc>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E0202001803011</w:t>
            </w:r>
          </w:p>
        </w:tc>
        <w:tc>
          <w:tcPr>
            <w:tcW w:w="89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淠河灌区总干渠六安合肥开发利用区</w:t>
            </w:r>
          </w:p>
        </w:tc>
        <w:tc>
          <w:tcPr>
            <w:tcW w:w="10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淠河灌区总干渠六安合肥饮用水源农业用水区</w:t>
            </w:r>
          </w:p>
        </w:tc>
        <w:tc>
          <w:tcPr>
            <w:tcW w:w="64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淮河中游</w:t>
            </w:r>
          </w:p>
        </w:tc>
        <w:tc>
          <w:tcPr>
            <w:tcW w:w="64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王蚌区间南岸</w:t>
            </w:r>
          </w:p>
        </w:tc>
        <w:tc>
          <w:tcPr>
            <w:tcW w:w="52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淠河</w:t>
            </w:r>
          </w:p>
        </w:tc>
        <w:tc>
          <w:tcPr>
            <w:tcW w:w="58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淠河总干渠</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六安市、淮南市、合肥市</w:t>
            </w:r>
          </w:p>
        </w:tc>
        <w:tc>
          <w:tcPr>
            <w:tcW w:w="98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横排头枢纽闸下</w:t>
            </w:r>
          </w:p>
        </w:tc>
        <w:tc>
          <w:tcPr>
            <w:tcW w:w="130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肥西县将军令闸</w:t>
            </w:r>
          </w:p>
        </w:tc>
        <w:tc>
          <w:tcPr>
            <w:tcW w:w="134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九里沟、罗管闸</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111.5</w:t>
            </w:r>
          </w:p>
        </w:tc>
        <w:tc>
          <w:tcPr>
            <w:tcW w:w="72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应用、农业</w:t>
            </w:r>
          </w:p>
        </w:tc>
        <w:tc>
          <w:tcPr>
            <w:tcW w:w="60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II-III</w:t>
            </w:r>
          </w:p>
        </w:tc>
        <w:tc>
          <w:tcPr>
            <w:tcW w:w="75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II-III</w:t>
            </w:r>
          </w:p>
        </w:tc>
        <w:tc>
          <w:tcPr>
            <w:tcW w:w="82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color w:val="000000"/>
                <w:kern w:val="0"/>
                <w:sz w:val="20"/>
                <w:szCs w:val="20"/>
                <w:lang w:bidi="ar"/>
              </w:rPr>
              <w:t>II</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六安市合肥市饮用水源地，农业灌溉取水区</w:t>
            </w:r>
          </w:p>
        </w:tc>
      </w:tr>
    </w:tbl>
    <w:p>
      <w:pPr>
        <w:tabs>
          <w:tab w:val="left" w:pos="525"/>
        </w:tabs>
        <w:adjustRightInd w:val="0"/>
        <w:snapToGrid w:val="0"/>
        <w:spacing w:line="520" w:lineRule="exact"/>
        <w:jc w:val="center"/>
        <w:rPr>
          <w:rFonts w:hint="eastAsia" w:ascii="方正黑体_GBK" w:hAnsi="方正黑体_GBK" w:eastAsia="方正黑体_GBK" w:cs="方正黑体_GBK"/>
          <w:b/>
          <w:bCs/>
          <w:sz w:val="24"/>
        </w:rPr>
      </w:pPr>
    </w:p>
    <w:p>
      <w:pPr>
        <w:tabs>
          <w:tab w:val="left" w:pos="525"/>
        </w:tabs>
        <w:adjustRightInd w:val="0"/>
        <w:snapToGrid w:val="0"/>
        <w:spacing w:line="520" w:lineRule="exact"/>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表7.1-3 淮南市水功能二级区划表（湖泊）</w:t>
      </w:r>
    </w:p>
    <w:tbl>
      <w:tblPr>
        <w:tblStyle w:val="12"/>
        <w:tblW w:w="0" w:type="auto"/>
        <w:tblInd w:w="0" w:type="dxa"/>
        <w:tblLayout w:type="fixed"/>
        <w:tblCellMar>
          <w:top w:w="15" w:type="dxa"/>
          <w:left w:w="15" w:type="dxa"/>
          <w:bottom w:w="15" w:type="dxa"/>
          <w:right w:w="15" w:type="dxa"/>
        </w:tblCellMar>
      </w:tblPr>
      <w:tblGrid>
        <w:gridCol w:w="593"/>
        <w:gridCol w:w="1125"/>
        <w:gridCol w:w="1021"/>
        <w:gridCol w:w="888"/>
        <w:gridCol w:w="888"/>
        <w:gridCol w:w="651"/>
        <w:gridCol w:w="787"/>
        <w:gridCol w:w="1066"/>
        <w:gridCol w:w="608"/>
        <w:gridCol w:w="1229"/>
        <w:gridCol w:w="682"/>
        <w:gridCol w:w="787"/>
        <w:gridCol w:w="803"/>
        <w:gridCol w:w="683"/>
        <w:gridCol w:w="728"/>
        <w:gridCol w:w="1711"/>
      </w:tblGrid>
      <w:tr>
        <w:tblPrEx>
          <w:tblCellMar>
            <w:top w:w="15" w:type="dxa"/>
            <w:left w:w="15" w:type="dxa"/>
            <w:bottom w:w="15" w:type="dxa"/>
            <w:right w:w="15" w:type="dxa"/>
          </w:tblCellMar>
        </w:tblPrEx>
        <w:trPr>
          <w:trHeight w:val="285" w:hRule="atLeast"/>
        </w:trPr>
        <w:tc>
          <w:tcPr>
            <w:tcW w:w="59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序号</w:t>
            </w:r>
          </w:p>
        </w:tc>
        <w:tc>
          <w:tcPr>
            <w:tcW w:w="112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一级功能区名称</w:t>
            </w:r>
          </w:p>
        </w:tc>
        <w:tc>
          <w:tcPr>
            <w:tcW w:w="102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二级功能区名称</w:t>
            </w:r>
          </w:p>
        </w:tc>
        <w:tc>
          <w:tcPr>
            <w:tcW w:w="177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水资源分区</w:t>
            </w:r>
          </w:p>
        </w:tc>
        <w:tc>
          <w:tcPr>
            <w:tcW w:w="65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水系</w:t>
            </w:r>
          </w:p>
        </w:tc>
        <w:tc>
          <w:tcPr>
            <w:tcW w:w="78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湖（库）</w:t>
            </w:r>
          </w:p>
        </w:tc>
        <w:tc>
          <w:tcPr>
            <w:tcW w:w="106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所属区域</w:t>
            </w:r>
          </w:p>
        </w:tc>
        <w:tc>
          <w:tcPr>
            <w:tcW w:w="60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范围</w:t>
            </w:r>
          </w:p>
        </w:tc>
        <w:tc>
          <w:tcPr>
            <w:tcW w:w="1229"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水质代表断面</w:t>
            </w:r>
          </w:p>
        </w:tc>
        <w:tc>
          <w:tcPr>
            <w:tcW w:w="68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面积（km</w:t>
            </w:r>
            <w:r>
              <w:rPr>
                <w:rFonts w:hint="default" w:ascii="Times New Roman" w:hAnsi="Times New Roman" w:eastAsia="方正仿宋_GBK" w:cs="Times New Roman"/>
                <w:color w:val="000000"/>
                <w:kern w:val="0"/>
                <w:sz w:val="20"/>
                <w:szCs w:val="20"/>
                <w:vertAlign w:val="superscript"/>
                <w:lang w:bidi="ar"/>
              </w:rPr>
              <w:t>2</w:t>
            </w:r>
            <w:r>
              <w:rPr>
                <w:rFonts w:hint="default" w:ascii="Times New Roman" w:hAnsi="Times New Roman" w:eastAsia="方正仿宋_GBK" w:cs="Times New Roman"/>
                <w:color w:val="000000"/>
                <w:kern w:val="0"/>
                <w:sz w:val="20"/>
                <w:szCs w:val="20"/>
                <w:lang w:bidi="ar"/>
              </w:rPr>
              <w:t>）</w:t>
            </w:r>
          </w:p>
        </w:tc>
        <w:tc>
          <w:tcPr>
            <w:tcW w:w="78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 xml:space="preserve">功能排序 </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现状水质</w:t>
            </w:r>
          </w:p>
        </w:tc>
        <w:tc>
          <w:tcPr>
            <w:tcW w:w="1411"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水质管理目标</w:t>
            </w:r>
          </w:p>
        </w:tc>
        <w:tc>
          <w:tcPr>
            <w:tcW w:w="171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区划依据</w:t>
            </w:r>
          </w:p>
        </w:tc>
      </w:tr>
      <w:tr>
        <w:tblPrEx>
          <w:tblCellMar>
            <w:top w:w="15" w:type="dxa"/>
            <w:left w:w="15" w:type="dxa"/>
            <w:bottom w:w="15" w:type="dxa"/>
            <w:right w:w="15" w:type="dxa"/>
          </w:tblCellMar>
        </w:tblPrEx>
        <w:trPr>
          <w:trHeight w:val="285" w:hRule="atLeast"/>
        </w:trPr>
        <w:tc>
          <w:tcPr>
            <w:tcW w:w="59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 w:val="20"/>
                <w:szCs w:val="20"/>
              </w:rPr>
            </w:pPr>
          </w:p>
        </w:tc>
        <w:tc>
          <w:tcPr>
            <w:tcW w:w="112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 w:val="20"/>
                <w:szCs w:val="20"/>
              </w:rPr>
            </w:pPr>
          </w:p>
        </w:tc>
        <w:tc>
          <w:tcPr>
            <w:tcW w:w="102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 w:val="20"/>
                <w:szCs w:val="20"/>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二级区</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三级区</w:t>
            </w:r>
          </w:p>
        </w:tc>
        <w:tc>
          <w:tcPr>
            <w:tcW w:w="65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 w:val="20"/>
                <w:szCs w:val="20"/>
              </w:rPr>
            </w:pPr>
          </w:p>
        </w:tc>
        <w:tc>
          <w:tcPr>
            <w:tcW w:w="78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 w:val="20"/>
                <w:szCs w:val="20"/>
              </w:rPr>
            </w:pPr>
          </w:p>
        </w:tc>
        <w:tc>
          <w:tcPr>
            <w:tcW w:w="10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 w:val="20"/>
                <w:szCs w:val="20"/>
              </w:rPr>
            </w:pPr>
          </w:p>
        </w:tc>
        <w:tc>
          <w:tcPr>
            <w:tcW w:w="6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 w:val="20"/>
                <w:szCs w:val="20"/>
              </w:rPr>
            </w:pPr>
          </w:p>
        </w:tc>
        <w:tc>
          <w:tcPr>
            <w:tcW w:w="12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 w:val="20"/>
                <w:szCs w:val="20"/>
              </w:rPr>
            </w:pPr>
          </w:p>
        </w:tc>
        <w:tc>
          <w:tcPr>
            <w:tcW w:w="6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 w:val="20"/>
                <w:szCs w:val="20"/>
              </w:rPr>
            </w:pPr>
          </w:p>
        </w:tc>
        <w:tc>
          <w:tcPr>
            <w:tcW w:w="78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 w:val="20"/>
                <w:szCs w:val="20"/>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 w:val="20"/>
                <w:szCs w:val="20"/>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2010年</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2020年</w:t>
            </w: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K" w:cs="Times New Roman"/>
                <w:color w:val="000000"/>
                <w:sz w:val="20"/>
                <w:szCs w:val="20"/>
              </w:rPr>
            </w:pPr>
          </w:p>
        </w:tc>
      </w:tr>
      <w:tr>
        <w:tblPrEx>
          <w:tblCellMar>
            <w:top w:w="15" w:type="dxa"/>
            <w:left w:w="15" w:type="dxa"/>
            <w:bottom w:w="15" w:type="dxa"/>
            <w:right w:w="15" w:type="dxa"/>
          </w:tblCellMar>
        </w:tblPrEx>
        <w:trPr>
          <w:trHeight w:val="810" w:hRule="atLeast"/>
        </w:trPr>
        <w:tc>
          <w:tcPr>
            <w:tcW w:w="5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1</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焦岗湖阜阳淮南开发利用区</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焦岗湖颍上凤台渔业农业用水区</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淮河中游</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王蚌区</w:t>
            </w:r>
          </w:p>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间北岸</w:t>
            </w:r>
          </w:p>
        </w:tc>
        <w:tc>
          <w:tcPr>
            <w:tcW w:w="6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焦岗湖</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颍上县、凤台县</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湖区</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湖区按技术规范设置的监测点</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37.5</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渔业、农业</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II--III</w:t>
            </w:r>
          </w:p>
        </w:tc>
        <w:tc>
          <w:tcPr>
            <w:tcW w:w="1411"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II--III</w:t>
            </w:r>
          </w:p>
        </w:tc>
        <w:tc>
          <w:tcPr>
            <w:tcW w:w="1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渔业开发程度高，周边农田灌溉取水区</w:t>
            </w:r>
          </w:p>
        </w:tc>
      </w:tr>
      <w:tr>
        <w:tblPrEx>
          <w:tblCellMar>
            <w:top w:w="15" w:type="dxa"/>
            <w:left w:w="15" w:type="dxa"/>
            <w:bottom w:w="15" w:type="dxa"/>
            <w:right w:w="15" w:type="dxa"/>
          </w:tblCellMar>
        </w:tblPrEx>
        <w:trPr>
          <w:trHeight w:val="795" w:hRule="atLeast"/>
        </w:trPr>
        <w:tc>
          <w:tcPr>
            <w:tcW w:w="5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2</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高塘湖淮南滁州合肥开发利用区</w:t>
            </w:r>
          </w:p>
        </w:tc>
        <w:tc>
          <w:tcPr>
            <w:tcW w:w="102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高塘湖淮南滁州合肥农业用水区</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淮河中游</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王蚌区</w:t>
            </w:r>
          </w:p>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间南岸</w:t>
            </w:r>
          </w:p>
        </w:tc>
        <w:tc>
          <w:tcPr>
            <w:tcW w:w="6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淮河</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高塘湖</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淮南市、滁州市、合肥市</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湖区</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湖区按技术规范设置的监测点</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50</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农业、渔业、饮用</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III--IV</w:t>
            </w:r>
          </w:p>
        </w:tc>
        <w:tc>
          <w:tcPr>
            <w:tcW w:w="1411"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II--III</w:t>
            </w:r>
          </w:p>
        </w:tc>
        <w:tc>
          <w:tcPr>
            <w:tcW w:w="1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农田灌溉取水区，渔业开发程度高，淮南市备用水源</w:t>
            </w:r>
          </w:p>
        </w:tc>
      </w:tr>
    </w:tbl>
    <w:p>
      <w:pPr>
        <w:pStyle w:val="2"/>
        <w:jc w:val="left"/>
        <w:rPr>
          <w:rFonts w:hint="default" w:ascii="方正仿宋_GBK" w:hAnsi="方正仿宋_GBK" w:eastAsia="方正仿宋_GBK" w:cs="方正仿宋_GBK"/>
          <w:sz w:val="32"/>
          <w:szCs w:val="32"/>
          <w:lang w:val="en-US" w:eastAsia="zh-CN"/>
        </w:rPr>
        <w:sectPr>
          <w:headerReference r:id="rId24" w:type="default"/>
          <w:footerReference r:id="rId25" w:type="default"/>
          <w:pgSz w:w="16838" w:h="11906" w:orient="landscape"/>
          <w:pgMar w:top="1587" w:right="1962" w:bottom="1474" w:left="1848" w:header="851" w:footer="992" w:gutter="0"/>
          <w:pgNumType w:fmt="numberInDash"/>
          <w:cols w:space="0" w:num="1"/>
          <w:rtlGutter w:val="0"/>
          <w:docGrid w:type="lines" w:linePitch="312" w:charSpace="0"/>
        </w:sectPr>
      </w:pPr>
    </w:p>
    <w:p>
      <w:pPr>
        <w:pStyle w:val="4"/>
        <w:pageBreakBefore w:val="0"/>
        <w:widowControl w:val="0"/>
        <w:kinsoku/>
        <w:wordWrap/>
        <w:overflowPunct/>
        <w:autoSpaceDE/>
        <w:autoSpaceDN/>
        <w:bidi w:val="0"/>
        <w:spacing w:line="590" w:lineRule="exact"/>
        <w:rPr>
          <w:rFonts w:hint="default" w:ascii="Times New Roman" w:hAnsi="Times New Roman" w:eastAsia="方正黑体_GBK" w:cs="Times New Roman"/>
          <w:b w:val="0"/>
          <w:bCs w:val="0"/>
          <w:sz w:val="32"/>
          <w:szCs w:val="32"/>
        </w:rPr>
      </w:pPr>
      <w:bookmarkStart w:id="224" w:name="_Toc312309926"/>
      <w:bookmarkStart w:id="225" w:name="_Toc6738"/>
      <w:r>
        <w:rPr>
          <w:rFonts w:hint="default" w:ascii="Times New Roman" w:hAnsi="Times New Roman" w:eastAsia="方正黑体_GBK" w:cs="Times New Roman"/>
          <w:b w:val="0"/>
          <w:bCs w:val="0"/>
          <w:sz w:val="32"/>
          <w:szCs w:val="32"/>
        </w:rPr>
        <w:t>第</w:t>
      </w:r>
      <w:r>
        <w:rPr>
          <w:rFonts w:hint="default" w:ascii="Times New Roman" w:hAnsi="Times New Roman" w:eastAsia="方正黑体_GBK" w:cs="Times New Roman"/>
          <w:b w:val="0"/>
          <w:bCs w:val="0"/>
          <w:sz w:val="32"/>
          <w:szCs w:val="32"/>
          <w:lang w:eastAsia="zh-CN"/>
        </w:rPr>
        <w:t>二</w:t>
      </w:r>
      <w:r>
        <w:rPr>
          <w:rFonts w:hint="default" w:ascii="Times New Roman" w:hAnsi="Times New Roman" w:eastAsia="方正黑体_GBK" w:cs="Times New Roman"/>
          <w:b w:val="0"/>
          <w:bCs w:val="0"/>
          <w:sz w:val="32"/>
          <w:szCs w:val="32"/>
        </w:rPr>
        <w:t>节  水资源保护规划目标与布局</w:t>
      </w:r>
      <w:bookmarkEnd w:id="224"/>
      <w:bookmarkEnd w:id="225"/>
    </w:p>
    <w:p>
      <w:pPr>
        <w:pStyle w:val="5"/>
        <w:pageBreakBefore w:val="0"/>
        <w:widowControl w:val="0"/>
        <w:kinsoku/>
        <w:wordWrap/>
        <w:overflowPunct/>
        <w:autoSpaceDE/>
        <w:autoSpaceDN/>
        <w:bidi w:val="0"/>
        <w:spacing w:line="590" w:lineRule="exact"/>
        <w:ind w:firstLine="568"/>
        <w:rPr>
          <w:rFonts w:hint="eastAsia" w:ascii="方正楷体_GBK" w:hAnsi="方正楷体_GBK" w:eastAsia="方正楷体_GBK" w:cs="方正楷体_GBK"/>
          <w:sz w:val="28"/>
          <w:szCs w:val="28"/>
        </w:rPr>
      </w:pPr>
      <w:bookmarkStart w:id="226" w:name="_Toc8429"/>
      <w:bookmarkStart w:id="227" w:name="_Toc312309927"/>
      <w:r>
        <w:rPr>
          <w:rFonts w:hint="eastAsia" w:ascii="方正楷体_GBK" w:hAnsi="方正楷体_GBK" w:eastAsia="方正楷体_GBK" w:cs="方正楷体_GBK"/>
          <w:b w:val="0"/>
          <w:bCs w:val="0"/>
          <w:sz w:val="32"/>
          <w:szCs w:val="32"/>
        </w:rPr>
        <w:t>一、规划目标</w:t>
      </w:r>
      <w:bookmarkEnd w:id="226"/>
      <w:bookmarkEnd w:id="227"/>
    </w:p>
    <w:p>
      <w:pPr>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（1）2020年规划目标</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通过污染源治理和入河排污总量控制，实现集中式饮用水供水水源地水质全面达标，河湖功能区水质总体达标率提高到95%以上。通过水资源调配改善生态用水状况，使区域内重要河湖和湿地最小生态水量得到保障，水生态系统得到有效保护。</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进一步减少中深层地下水开采量，逐渐恢复中深层地下水合理的生态水位。具有生活供水功能的区域，水质标准不低于Ⅲ类水的标准，地下水水位（或埋深）控制标准是一个区域范围，上限是防治土壤次生盐渍化和满足城市基础实施保护要求，以及考虑地下水补给和蒸发作用的最小地下水埋深；下限为满足生态系统保护、地址灾害预防、泉水保护等需要的最大地下水埋深。</w:t>
      </w:r>
    </w:p>
    <w:p>
      <w:pPr>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（2）2030年规划目标</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全面实现入河排污总量控制目标和功能区水质达标率提高到100%，重要河湖生态用水得到有效保障，水生态系统和生态功能恢复取得显著成效，基本实现区域水生态系统的良性循环。</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全面禁止中深层地下水开发利用活动（部分满足城市饮用的水量除外），恢复中深层地下水合理的生态水位。</w:t>
      </w:r>
    </w:p>
    <w:p>
      <w:pPr>
        <w:pStyle w:val="5"/>
        <w:pageBreakBefore w:val="0"/>
        <w:widowControl w:val="0"/>
        <w:kinsoku/>
        <w:wordWrap/>
        <w:overflowPunct/>
        <w:autoSpaceDE/>
        <w:autoSpaceDN/>
        <w:bidi w:val="0"/>
        <w:spacing w:line="590" w:lineRule="exact"/>
        <w:ind w:firstLine="568"/>
        <w:rPr>
          <w:rFonts w:hint="eastAsia" w:ascii="方正楷体_GBK" w:hAnsi="方正楷体_GBK" w:eastAsia="方正楷体_GBK" w:cs="方正楷体_GBK"/>
          <w:b w:val="0"/>
          <w:bCs w:val="0"/>
          <w:sz w:val="32"/>
          <w:szCs w:val="32"/>
        </w:rPr>
      </w:pPr>
      <w:bookmarkStart w:id="228" w:name="_Toc312309928"/>
      <w:bookmarkStart w:id="229" w:name="_Toc21764"/>
      <w:r>
        <w:rPr>
          <w:rFonts w:hint="eastAsia" w:ascii="方正楷体_GBK" w:hAnsi="方正楷体_GBK" w:eastAsia="方正楷体_GBK" w:cs="方正楷体_GBK"/>
          <w:b w:val="0"/>
          <w:bCs w:val="0"/>
          <w:sz w:val="32"/>
          <w:szCs w:val="32"/>
        </w:rPr>
        <w:t>二、规划总体布局</w:t>
      </w:r>
      <w:bookmarkEnd w:id="228"/>
      <w:bookmarkEnd w:id="229"/>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以功能区划为基础，通过对区域现状水质、污染源调查和分析，制定入河排污总量控制方案，以入河控制量和河流生态需水为水资源保护的控制目标，重点区域重点保护，采用多种措施保护水资源质量。</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针对境内存在的主要水污染问题，采取有效措施予以缓解，直至解决。严格执行水功能区污染物入河控制方案，加快淮河、西淝河（下段）、泥河、永幸河等河流水污染治理，减少淮河干流的污染负荷，抓紧对瓦埠湖、高塘湖、十涧湖、刘岗塘、老鳖塘及其他采煤沉陷区的综合治理，重视对境内淮河以南水库群的水资源保护工作，预防优质水源受到破坏。控制面源污染产生量，降低面源入河、湖的污染负荷，减轻面源污染造成的危害，进一步加大水资源保护力度，保障城乡供水安全。全面开展对地下水的研究和监测工作，防治浅层地下水受到更多的人为污染。严格控制和减少中深层地下水开发利用，逐渐恢复中深层地下水合理的生态水位。</w:t>
      </w:r>
    </w:p>
    <w:p>
      <w:pPr>
        <w:pStyle w:val="5"/>
        <w:pageBreakBefore w:val="0"/>
        <w:widowControl w:val="0"/>
        <w:kinsoku/>
        <w:wordWrap/>
        <w:overflowPunct/>
        <w:autoSpaceDE/>
        <w:autoSpaceDN/>
        <w:bidi w:val="0"/>
        <w:spacing w:line="590" w:lineRule="exact"/>
        <w:ind w:firstLine="568"/>
        <w:jc w:val="center"/>
        <w:rPr>
          <w:rFonts w:hint="default" w:ascii="Times New Roman" w:hAnsi="Times New Roman" w:eastAsia="方正黑体_GBK" w:cs="Times New Roman"/>
          <w:b w:val="0"/>
          <w:bCs w:val="0"/>
          <w:sz w:val="32"/>
          <w:szCs w:val="32"/>
        </w:rPr>
      </w:pPr>
      <w:bookmarkStart w:id="230" w:name="_Toc27001"/>
      <w:bookmarkStart w:id="231" w:name="_Toc312309929"/>
      <w:r>
        <w:rPr>
          <w:rFonts w:hint="default" w:ascii="Times New Roman" w:hAnsi="Times New Roman" w:eastAsia="方正黑体_GBK" w:cs="Times New Roman"/>
          <w:b w:val="0"/>
          <w:bCs w:val="0"/>
          <w:sz w:val="32"/>
          <w:szCs w:val="32"/>
        </w:rPr>
        <w:t>第</w:t>
      </w:r>
      <w:r>
        <w:rPr>
          <w:rFonts w:hint="default" w:ascii="Times New Roman" w:hAnsi="Times New Roman" w:eastAsia="方正黑体_GBK" w:cs="Times New Roman"/>
          <w:b w:val="0"/>
          <w:bCs w:val="0"/>
          <w:sz w:val="32"/>
          <w:szCs w:val="32"/>
          <w:lang w:eastAsia="zh-CN"/>
        </w:rPr>
        <w:t>三</w:t>
      </w:r>
      <w:r>
        <w:rPr>
          <w:rFonts w:hint="default" w:ascii="Times New Roman" w:hAnsi="Times New Roman" w:eastAsia="方正黑体_GBK" w:cs="Times New Roman"/>
          <w:b w:val="0"/>
          <w:bCs w:val="0"/>
          <w:sz w:val="32"/>
          <w:szCs w:val="32"/>
        </w:rPr>
        <w:t>节  入河排污总量控制方案</w:t>
      </w:r>
      <w:bookmarkEnd w:id="230"/>
      <w:bookmarkEnd w:id="231"/>
    </w:p>
    <w:p>
      <w:pPr>
        <w:pStyle w:val="5"/>
        <w:pageBreakBefore w:val="0"/>
        <w:widowControl w:val="0"/>
        <w:kinsoku/>
        <w:wordWrap/>
        <w:overflowPunct/>
        <w:autoSpaceDE/>
        <w:autoSpaceDN/>
        <w:bidi w:val="0"/>
        <w:spacing w:line="590" w:lineRule="exact"/>
        <w:ind w:firstLine="568"/>
        <w:rPr>
          <w:rFonts w:hint="eastAsia" w:ascii="方正楷体_GBK" w:hAnsi="方正楷体_GBK" w:eastAsia="方正楷体_GBK" w:cs="方正楷体_GBK"/>
          <w:b w:val="0"/>
          <w:bCs w:val="0"/>
          <w:sz w:val="32"/>
          <w:szCs w:val="32"/>
        </w:rPr>
      </w:pPr>
      <w:bookmarkStart w:id="232" w:name="_Toc312309930"/>
      <w:bookmarkStart w:id="233" w:name="_Toc16542"/>
      <w:r>
        <w:rPr>
          <w:rFonts w:hint="eastAsia" w:ascii="方正楷体_GBK" w:hAnsi="方正楷体_GBK" w:eastAsia="方正楷体_GBK" w:cs="方正楷体_GBK"/>
          <w:b w:val="0"/>
          <w:bCs w:val="0"/>
          <w:sz w:val="32"/>
          <w:szCs w:val="32"/>
        </w:rPr>
        <w:t>一、水域纳污能力</w:t>
      </w:r>
      <w:bookmarkEnd w:id="232"/>
      <w:bookmarkEnd w:id="233"/>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楷体_GBK" w:cs="Times New Roman"/>
          <w:b w:val="0"/>
          <w:bCs/>
          <w:sz w:val="32"/>
          <w:szCs w:val="32"/>
        </w:rPr>
      </w:pPr>
      <w:r>
        <w:rPr>
          <w:rFonts w:hint="default" w:ascii="Times New Roman" w:hAnsi="Times New Roman" w:eastAsia="方正楷体_GBK" w:cs="Times New Roman"/>
          <w:b w:val="0"/>
          <w:bCs/>
          <w:sz w:val="32"/>
          <w:szCs w:val="32"/>
        </w:rPr>
        <w:t>① 主要河流水功能区纳污能力</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主要污染物化学需氧量最枯月平均流量90％保证率、最枯月月平均流量、枯水期月平均流量及多年平均流量下的纳污能力分别为：43676t/a、72579t/a、156012t/a、195553t/a。主要污染物氨氮最枯月平均流量90％保证率、最枯月月平均流量、枯水期月平均流量及多年平均流量下的纳污能力分别为：2666t/a、4626t/a、8940t/a、10782t/a。</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楷体_GBK" w:cs="Times New Roman"/>
          <w:b w:val="0"/>
          <w:bCs/>
          <w:sz w:val="32"/>
          <w:szCs w:val="32"/>
        </w:rPr>
      </w:pPr>
      <w:r>
        <w:rPr>
          <w:rFonts w:hint="default" w:ascii="Times New Roman" w:hAnsi="Times New Roman" w:eastAsia="方正楷体_GBK" w:cs="Times New Roman"/>
          <w:b w:val="0"/>
          <w:bCs/>
          <w:sz w:val="32"/>
          <w:szCs w:val="32"/>
        </w:rPr>
        <w:t>② 主要湖泊及沉陷区纳污能力</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市区、凤台及毛集区主要污染物化学需氧量最枯月平均水位90％保证率、最枯月月平均水位、枯水期月平均水位及多年平均水位下的纳污能力分别为：759t/a、1145t/a、1855t/a、2305t/a。主要污染物氨氮最枯月平均水位90％保证率、最枯月月平均水位、枯水期月平均水位及多年平均水位下的纳污能力分别为：180t/a、272t/a、443t/a、549t/a。</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楷体_GBK" w:cs="Times New Roman"/>
          <w:b w:val="0"/>
          <w:bCs/>
          <w:sz w:val="32"/>
          <w:szCs w:val="32"/>
        </w:rPr>
        <w:t>③ 寿县部分湖库主要污染物正常蓄水位、死水位下的纳污能力为：</w:t>
      </w:r>
      <w:r>
        <w:rPr>
          <w:rFonts w:hint="default" w:ascii="Times New Roman" w:hAnsi="Times New Roman" w:eastAsia="方正仿宋_GBK" w:cs="Times New Roman"/>
          <w:b w:val="0"/>
          <w:bCs/>
          <w:sz w:val="32"/>
          <w:szCs w:val="32"/>
        </w:rPr>
        <w:t>2</w:t>
      </w:r>
      <w:r>
        <w:rPr>
          <w:rFonts w:hint="default" w:ascii="Times New Roman" w:hAnsi="Times New Roman" w:eastAsia="方正仿宋_GBK" w:cs="Times New Roman"/>
          <w:sz w:val="32"/>
          <w:szCs w:val="32"/>
        </w:rPr>
        <w:t>43t/a、40t/a；主要污染物氨氮正常水位、死水位下的纳污能力为：58t/a、9 t/a。见表7.3-3。</w:t>
      </w:r>
    </w:p>
    <w:p>
      <w:pPr>
        <w:tabs>
          <w:tab w:val="left" w:pos="525"/>
        </w:tabs>
        <w:adjustRightInd w:val="0"/>
        <w:snapToGrid w:val="0"/>
        <w:jc w:val="both"/>
        <w:rPr>
          <w:rFonts w:hint="eastAsia" w:ascii="方正黑体_GBK" w:hAnsi="方正黑体_GBK" w:eastAsia="方正黑体_GBK" w:cs="方正黑体_GBK"/>
          <w:b/>
          <w:bCs/>
          <w:sz w:val="24"/>
        </w:rPr>
      </w:pPr>
    </w:p>
    <w:p>
      <w:pPr>
        <w:tabs>
          <w:tab w:val="left" w:pos="525"/>
        </w:tabs>
        <w:adjustRightInd w:val="0"/>
        <w:snapToGrid w:val="0"/>
        <w:ind w:firstLine="482"/>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表7.3-1 淮南市主要河流不同条件下纳污能力</w:t>
      </w:r>
    </w:p>
    <w:tbl>
      <w:tblPr>
        <w:tblStyle w:val="12"/>
        <w:tblW w:w="0" w:type="auto"/>
        <w:jc w:val="center"/>
        <w:tblLayout w:type="fixed"/>
        <w:tblCellMar>
          <w:top w:w="15" w:type="dxa"/>
          <w:left w:w="15" w:type="dxa"/>
          <w:bottom w:w="15" w:type="dxa"/>
          <w:right w:w="15" w:type="dxa"/>
        </w:tblCellMar>
      </w:tblPr>
      <w:tblGrid>
        <w:gridCol w:w="391"/>
        <w:gridCol w:w="1493"/>
        <w:gridCol w:w="942"/>
        <w:gridCol w:w="942"/>
        <w:gridCol w:w="942"/>
        <w:gridCol w:w="942"/>
        <w:gridCol w:w="942"/>
        <w:gridCol w:w="942"/>
        <w:gridCol w:w="942"/>
        <w:gridCol w:w="942"/>
      </w:tblGrid>
      <w:tr>
        <w:tblPrEx>
          <w:tblCellMar>
            <w:top w:w="15" w:type="dxa"/>
            <w:left w:w="15" w:type="dxa"/>
            <w:bottom w:w="15" w:type="dxa"/>
            <w:right w:w="15" w:type="dxa"/>
          </w:tblCellMar>
        </w:tblPrEx>
        <w:trPr>
          <w:trHeight w:val="463" w:hRule="atLeast"/>
          <w:jc w:val="center"/>
        </w:trPr>
        <w:tc>
          <w:tcPr>
            <w:tcW w:w="1884" w:type="dxa"/>
            <w:gridSpan w:val="2"/>
            <w:vMerge w:val="restart"/>
            <w:tcBorders>
              <w:top w:val="single" w:color="000000" w:sz="4" w:space="0"/>
              <w:left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河流</w:t>
            </w:r>
          </w:p>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湖泊</w:t>
            </w:r>
          </w:p>
        </w:tc>
        <w:tc>
          <w:tcPr>
            <w:tcW w:w="3768"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化学耗氧量纳污能力(t/a)</w:t>
            </w:r>
          </w:p>
        </w:tc>
        <w:tc>
          <w:tcPr>
            <w:tcW w:w="3768"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氨氮纳污能力(t/a)</w:t>
            </w:r>
          </w:p>
        </w:tc>
      </w:tr>
      <w:tr>
        <w:tblPrEx>
          <w:tblCellMar>
            <w:top w:w="15" w:type="dxa"/>
            <w:left w:w="15" w:type="dxa"/>
            <w:bottom w:w="15" w:type="dxa"/>
            <w:right w:w="15" w:type="dxa"/>
          </w:tblCellMar>
        </w:tblPrEx>
        <w:trPr>
          <w:trHeight w:val="463" w:hRule="atLeast"/>
          <w:jc w:val="center"/>
        </w:trPr>
        <w:tc>
          <w:tcPr>
            <w:tcW w:w="1884" w:type="dxa"/>
            <w:gridSpan w:val="2"/>
            <w:vMerge w:val="continue"/>
            <w:tcBorders>
              <w:left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p>
        </w:tc>
        <w:tc>
          <w:tcPr>
            <w:tcW w:w="94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最枯月90%保证率</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最枯</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枯水期</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多年</w:t>
            </w:r>
          </w:p>
        </w:tc>
        <w:tc>
          <w:tcPr>
            <w:tcW w:w="94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最枯月90%保证率</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最枯</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枯水期</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多年</w:t>
            </w:r>
          </w:p>
        </w:tc>
      </w:tr>
      <w:tr>
        <w:tblPrEx>
          <w:tblCellMar>
            <w:top w:w="15" w:type="dxa"/>
            <w:left w:w="15" w:type="dxa"/>
            <w:bottom w:w="15" w:type="dxa"/>
            <w:right w:w="15" w:type="dxa"/>
          </w:tblCellMar>
        </w:tblPrEx>
        <w:trPr>
          <w:trHeight w:val="656" w:hRule="atLeast"/>
          <w:jc w:val="center"/>
        </w:trPr>
        <w:tc>
          <w:tcPr>
            <w:tcW w:w="1884" w:type="dxa"/>
            <w:gridSpan w:val="2"/>
            <w:vMerge w:val="continue"/>
            <w:tcBorders>
              <w:left w:val="single" w:color="000000" w:sz="4" w:space="0"/>
              <w:bottom w:val="single" w:color="000000" w:sz="4" w:space="0"/>
              <w:right w:val="single" w:color="000000" w:sz="4" w:space="0"/>
            </w:tcBorders>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94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月均</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月平均</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平均</w:t>
            </w:r>
          </w:p>
        </w:tc>
        <w:tc>
          <w:tcPr>
            <w:tcW w:w="94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月平均</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月平均</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平均</w:t>
            </w:r>
          </w:p>
        </w:tc>
      </w:tr>
      <w:tr>
        <w:tblPrEx>
          <w:tblCellMar>
            <w:top w:w="15" w:type="dxa"/>
            <w:left w:w="15" w:type="dxa"/>
            <w:bottom w:w="15" w:type="dxa"/>
            <w:right w:w="15" w:type="dxa"/>
          </w:tblCellMar>
        </w:tblPrEx>
        <w:trPr>
          <w:trHeight w:val="463" w:hRule="atLeast"/>
          <w:jc w:val="center"/>
        </w:trPr>
        <w:tc>
          <w:tcPr>
            <w:tcW w:w="39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河流</w:t>
            </w: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41050</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66089</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129138</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145835</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2490</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4218</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7379</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8180</w:t>
            </w:r>
          </w:p>
        </w:tc>
      </w:tr>
      <w:tr>
        <w:tblPrEx>
          <w:tblCellMar>
            <w:top w:w="15" w:type="dxa"/>
            <w:left w:w="15" w:type="dxa"/>
            <w:bottom w:w="15" w:type="dxa"/>
            <w:right w:w="15" w:type="dxa"/>
          </w:tblCellMar>
        </w:tblPrEx>
        <w:trPr>
          <w:trHeight w:val="463" w:hRule="atLeast"/>
          <w:jc w:val="center"/>
        </w:trPr>
        <w:tc>
          <w:tcPr>
            <w:tcW w:w="391"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西淝河</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514</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1229</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5534</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10790</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22</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53</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234</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438</w:t>
            </w:r>
          </w:p>
        </w:tc>
      </w:tr>
      <w:tr>
        <w:tblPrEx>
          <w:tblCellMar>
            <w:top w:w="15" w:type="dxa"/>
            <w:left w:w="15" w:type="dxa"/>
            <w:bottom w:w="15" w:type="dxa"/>
            <w:right w:w="15" w:type="dxa"/>
          </w:tblCellMar>
        </w:tblPrEx>
        <w:trPr>
          <w:trHeight w:val="463" w:hRule="atLeast"/>
          <w:jc w:val="center"/>
        </w:trPr>
        <w:tc>
          <w:tcPr>
            <w:tcW w:w="391"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永幸河</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290</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797</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3772</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5769</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10</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28</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118</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94</w:t>
            </w:r>
          </w:p>
        </w:tc>
      </w:tr>
      <w:tr>
        <w:tblPrEx>
          <w:tblCellMar>
            <w:top w:w="15" w:type="dxa"/>
            <w:left w:w="15" w:type="dxa"/>
            <w:bottom w:w="15" w:type="dxa"/>
            <w:right w:w="15" w:type="dxa"/>
          </w:tblCellMar>
        </w:tblPrEx>
        <w:trPr>
          <w:trHeight w:val="463" w:hRule="atLeast"/>
          <w:jc w:val="center"/>
        </w:trPr>
        <w:tc>
          <w:tcPr>
            <w:tcW w:w="391"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东淝河</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78</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222</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1069</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1369</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21</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75</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95</w:t>
            </w:r>
          </w:p>
        </w:tc>
      </w:tr>
      <w:tr>
        <w:tblPrEx>
          <w:tblCellMar>
            <w:top w:w="15" w:type="dxa"/>
            <w:left w:w="15" w:type="dxa"/>
            <w:bottom w:w="15" w:type="dxa"/>
            <w:right w:w="15" w:type="dxa"/>
          </w:tblCellMar>
        </w:tblPrEx>
        <w:trPr>
          <w:trHeight w:val="463" w:hRule="atLeast"/>
          <w:jc w:val="center"/>
        </w:trPr>
        <w:tc>
          <w:tcPr>
            <w:tcW w:w="391"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架河</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160</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267</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653</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1212</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16</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w:t>
            </w:r>
          </w:p>
        </w:tc>
      </w:tr>
      <w:tr>
        <w:tblPrEx>
          <w:tblCellMar>
            <w:top w:w="15" w:type="dxa"/>
            <w:left w:w="15" w:type="dxa"/>
            <w:bottom w:w="15" w:type="dxa"/>
            <w:right w:w="15" w:type="dxa"/>
          </w:tblCellMar>
        </w:tblPrEx>
        <w:trPr>
          <w:trHeight w:val="463" w:hRule="atLeast"/>
          <w:jc w:val="center"/>
        </w:trPr>
        <w:tc>
          <w:tcPr>
            <w:tcW w:w="391"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茨淮新河</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19</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385</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2408</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5812</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24</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148</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356</w:t>
            </w:r>
          </w:p>
        </w:tc>
      </w:tr>
      <w:tr>
        <w:tblPrEx>
          <w:tblCellMar>
            <w:top w:w="15" w:type="dxa"/>
            <w:left w:w="15" w:type="dxa"/>
            <w:bottom w:w="15" w:type="dxa"/>
            <w:right w:w="15" w:type="dxa"/>
          </w:tblCellMar>
        </w:tblPrEx>
        <w:trPr>
          <w:trHeight w:val="463" w:hRule="atLeast"/>
          <w:jc w:val="center"/>
        </w:trPr>
        <w:tc>
          <w:tcPr>
            <w:tcW w:w="391"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窑河</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89</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142</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273</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486</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17</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30</w:t>
            </w:r>
          </w:p>
        </w:tc>
      </w:tr>
      <w:tr>
        <w:tblPrEx>
          <w:tblCellMar>
            <w:top w:w="15" w:type="dxa"/>
            <w:left w:w="15" w:type="dxa"/>
            <w:bottom w:w="15" w:type="dxa"/>
            <w:right w:w="15" w:type="dxa"/>
          </w:tblCellMar>
        </w:tblPrEx>
        <w:trPr>
          <w:trHeight w:val="463" w:hRule="atLeast"/>
          <w:jc w:val="center"/>
        </w:trPr>
        <w:tc>
          <w:tcPr>
            <w:tcW w:w="391"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泥河</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306</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841</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3317</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4618</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13</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36</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122</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97</w:t>
            </w:r>
          </w:p>
        </w:tc>
      </w:tr>
      <w:tr>
        <w:tblPrEx>
          <w:tblCellMar>
            <w:top w:w="15" w:type="dxa"/>
            <w:left w:w="15" w:type="dxa"/>
            <w:bottom w:w="15" w:type="dxa"/>
            <w:right w:w="15" w:type="dxa"/>
          </w:tblCellMar>
        </w:tblPrEx>
        <w:trPr>
          <w:trHeight w:val="463" w:hRule="atLeast"/>
          <w:jc w:val="center"/>
        </w:trPr>
        <w:tc>
          <w:tcPr>
            <w:tcW w:w="391"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淠河</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1169</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2606</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9846</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19662</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113</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229</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831</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1477</w:t>
            </w:r>
          </w:p>
        </w:tc>
      </w:tr>
      <w:tr>
        <w:tblPrEx>
          <w:tblCellMar>
            <w:top w:w="15" w:type="dxa"/>
            <w:left w:w="15" w:type="dxa"/>
            <w:bottom w:w="15" w:type="dxa"/>
            <w:right w:w="15" w:type="dxa"/>
          </w:tblCellMar>
        </w:tblPrEx>
        <w:trPr>
          <w:trHeight w:val="508" w:hRule="atLeast"/>
          <w:jc w:val="center"/>
        </w:trPr>
        <w:tc>
          <w:tcPr>
            <w:tcW w:w="391"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14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小  计</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43675</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72578</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156010</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195553</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2666</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4627</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8940</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b/>
                <w:szCs w:val="21"/>
              </w:rPr>
            </w:pPr>
            <w:r>
              <w:rPr>
                <w:rFonts w:hint="default" w:ascii="Times New Roman" w:hAnsi="Times New Roman" w:eastAsia="方正仿宋_GBK" w:cs="Times New Roman"/>
                <w:b/>
                <w:kern w:val="0"/>
                <w:szCs w:val="21"/>
                <w:lang w:bidi="ar"/>
              </w:rPr>
              <w:t>10782</w:t>
            </w:r>
          </w:p>
        </w:tc>
      </w:tr>
    </w:tbl>
    <w:p>
      <w:pPr>
        <w:tabs>
          <w:tab w:val="left" w:pos="525"/>
        </w:tabs>
        <w:adjustRightInd w:val="0"/>
        <w:snapToGrid w:val="0"/>
        <w:ind w:firstLine="482"/>
        <w:jc w:val="center"/>
        <w:rPr>
          <w:b/>
          <w:bCs/>
          <w:sz w:val="24"/>
        </w:rPr>
      </w:pPr>
    </w:p>
    <w:p>
      <w:pPr>
        <w:tabs>
          <w:tab w:val="left" w:pos="525"/>
        </w:tabs>
        <w:adjustRightInd w:val="0"/>
        <w:snapToGrid w:val="0"/>
        <w:ind w:firstLine="482"/>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表7.3-2 淮南市主要湖泊不同条件下纳污能力</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385"/>
        <w:gridCol w:w="1471"/>
        <w:gridCol w:w="928"/>
        <w:gridCol w:w="928"/>
        <w:gridCol w:w="928"/>
        <w:gridCol w:w="928"/>
        <w:gridCol w:w="928"/>
        <w:gridCol w:w="928"/>
        <w:gridCol w:w="928"/>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856" w:type="dxa"/>
            <w:gridSpan w:val="2"/>
            <w:vMerge w:val="restart"/>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河流</w:t>
            </w:r>
          </w:p>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湖泊</w:t>
            </w:r>
          </w:p>
        </w:tc>
        <w:tc>
          <w:tcPr>
            <w:tcW w:w="3712" w:type="dxa"/>
            <w:gridSpan w:val="4"/>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化学耗氧量纳污能力(t/a)</w:t>
            </w:r>
          </w:p>
        </w:tc>
        <w:tc>
          <w:tcPr>
            <w:tcW w:w="3712" w:type="dxa"/>
            <w:gridSpan w:val="4"/>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氨氮纳污能力(t/a)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856" w:type="dxa"/>
            <w:gridSpan w:val="2"/>
            <w:vMerge w:val="continue"/>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p>
        </w:tc>
        <w:tc>
          <w:tcPr>
            <w:tcW w:w="928" w:type="dxa"/>
            <w:vMerge w:val="restart"/>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最枯月90%保证率</w:t>
            </w:r>
          </w:p>
        </w:tc>
        <w:tc>
          <w:tcPr>
            <w:tcW w:w="928" w:type="dxa"/>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最枯</w:t>
            </w:r>
          </w:p>
        </w:tc>
        <w:tc>
          <w:tcPr>
            <w:tcW w:w="928" w:type="dxa"/>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枯水期</w:t>
            </w:r>
          </w:p>
        </w:tc>
        <w:tc>
          <w:tcPr>
            <w:tcW w:w="928" w:type="dxa"/>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多年</w:t>
            </w:r>
          </w:p>
        </w:tc>
        <w:tc>
          <w:tcPr>
            <w:tcW w:w="928" w:type="dxa"/>
            <w:vMerge w:val="restart"/>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最枯月90%保证率</w:t>
            </w:r>
          </w:p>
        </w:tc>
        <w:tc>
          <w:tcPr>
            <w:tcW w:w="928" w:type="dxa"/>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最枯</w:t>
            </w:r>
          </w:p>
        </w:tc>
        <w:tc>
          <w:tcPr>
            <w:tcW w:w="928" w:type="dxa"/>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枯水期</w:t>
            </w:r>
          </w:p>
        </w:tc>
        <w:tc>
          <w:tcPr>
            <w:tcW w:w="928" w:type="dxa"/>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多年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856" w:type="dxa"/>
            <w:gridSpan w:val="2"/>
            <w:vMerge w:val="continue"/>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928" w:type="dxa"/>
            <w:vMerge w:val="continue"/>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928" w:type="dxa"/>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月均</w:t>
            </w:r>
          </w:p>
        </w:tc>
        <w:tc>
          <w:tcPr>
            <w:tcW w:w="928" w:type="dxa"/>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月平均</w:t>
            </w:r>
          </w:p>
        </w:tc>
        <w:tc>
          <w:tcPr>
            <w:tcW w:w="928" w:type="dxa"/>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平均</w:t>
            </w:r>
          </w:p>
        </w:tc>
        <w:tc>
          <w:tcPr>
            <w:tcW w:w="928" w:type="dxa"/>
            <w:vMerge w:val="continue"/>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928" w:type="dxa"/>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月平均</w:t>
            </w:r>
          </w:p>
        </w:tc>
        <w:tc>
          <w:tcPr>
            <w:tcW w:w="928" w:type="dxa"/>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月平均</w:t>
            </w:r>
          </w:p>
        </w:tc>
        <w:tc>
          <w:tcPr>
            <w:tcW w:w="928" w:type="dxa"/>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385" w:type="dxa"/>
            <w:vMerge w:val="restart"/>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湖泊</w:t>
            </w:r>
          </w:p>
        </w:tc>
        <w:tc>
          <w:tcPr>
            <w:tcW w:w="1471"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焦岗湖</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84</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136</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169</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318</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32</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39</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385" w:type="dxa"/>
            <w:vMerge w:val="continue"/>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1471"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高塘湖</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161</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236</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319</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340</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38</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55</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74</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385" w:type="dxa"/>
            <w:vMerge w:val="continue"/>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1471"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十涧湖</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28</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42</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87</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94</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10</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31</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385" w:type="dxa"/>
            <w:vMerge w:val="continue"/>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1471"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瓦埠湖</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89</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127</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78</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198</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21</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30</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18</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385" w:type="dxa"/>
            <w:vMerge w:val="continue"/>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1471"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蔡城塘</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23</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24</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w:t>
            </w:r>
          </w:p>
        </w:tc>
        <w:tc>
          <w:tcPr>
            <w:tcW w:w="928" w:type="dxa"/>
            <w:noWrap w:val="0"/>
            <w:vAlign w:val="center"/>
          </w:tcPr>
          <w:p>
            <w:pPr>
              <w:widowControl/>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385" w:type="dxa"/>
            <w:vMerge w:val="continue"/>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1471" w:type="dxa"/>
            <w:noWrap w:val="0"/>
            <w:vAlign w:val="center"/>
          </w:tcPr>
          <w:p>
            <w:pPr>
              <w:widowControl/>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kern w:val="0"/>
                <w:szCs w:val="21"/>
                <w:lang w:bidi="ar"/>
              </w:rPr>
              <w:t>凤台岳张集沉陷区</w:t>
            </w:r>
          </w:p>
        </w:tc>
        <w:tc>
          <w:tcPr>
            <w:tcW w:w="928" w:type="dxa"/>
            <w:noWrap w:val="0"/>
            <w:vAlign w:val="center"/>
          </w:tcPr>
          <w:p>
            <w:pPr>
              <w:widowControl/>
              <w:jc w:val="center"/>
              <w:textAlignment w:val="center"/>
              <w:rPr>
                <w:rFonts w:hint="default" w:ascii="Times New Roman" w:hAnsi="Times New Roman" w:eastAsia="方正仿宋_GBK" w:cs="Times New Roman"/>
                <w:b/>
                <w:kern w:val="0"/>
                <w:szCs w:val="21"/>
                <w:lang w:bidi="ar"/>
              </w:rPr>
            </w:pPr>
            <w:r>
              <w:rPr>
                <w:rFonts w:hint="default" w:ascii="Times New Roman" w:hAnsi="Times New Roman" w:eastAsia="方正仿宋_GBK" w:cs="Times New Roman"/>
                <w:kern w:val="0"/>
                <w:szCs w:val="21"/>
                <w:lang w:bidi="ar"/>
              </w:rPr>
              <w:t>56</w:t>
            </w:r>
          </w:p>
        </w:tc>
        <w:tc>
          <w:tcPr>
            <w:tcW w:w="928" w:type="dxa"/>
            <w:noWrap w:val="0"/>
            <w:vAlign w:val="center"/>
          </w:tcPr>
          <w:p>
            <w:pPr>
              <w:widowControl/>
              <w:jc w:val="center"/>
              <w:textAlignment w:val="center"/>
              <w:rPr>
                <w:rFonts w:hint="default" w:ascii="Times New Roman" w:hAnsi="Times New Roman" w:eastAsia="方正仿宋_GBK" w:cs="Times New Roman"/>
                <w:b/>
                <w:kern w:val="0"/>
                <w:szCs w:val="21"/>
                <w:lang w:bidi="ar"/>
              </w:rPr>
            </w:pPr>
            <w:r>
              <w:rPr>
                <w:rFonts w:hint="default" w:ascii="Times New Roman" w:hAnsi="Times New Roman" w:eastAsia="方正仿宋_GBK" w:cs="Times New Roman"/>
                <w:kern w:val="0"/>
                <w:szCs w:val="21"/>
                <w:lang w:bidi="ar"/>
              </w:rPr>
              <w:t>94</w:t>
            </w:r>
          </w:p>
        </w:tc>
        <w:tc>
          <w:tcPr>
            <w:tcW w:w="928" w:type="dxa"/>
            <w:noWrap w:val="0"/>
            <w:vAlign w:val="center"/>
          </w:tcPr>
          <w:p>
            <w:pPr>
              <w:widowControl/>
              <w:jc w:val="center"/>
              <w:textAlignment w:val="center"/>
              <w:rPr>
                <w:rFonts w:hint="default" w:ascii="Times New Roman" w:hAnsi="Times New Roman" w:eastAsia="方正仿宋_GBK" w:cs="Times New Roman"/>
                <w:b/>
                <w:kern w:val="0"/>
                <w:szCs w:val="21"/>
                <w:lang w:bidi="ar"/>
              </w:rPr>
            </w:pPr>
            <w:r>
              <w:rPr>
                <w:rFonts w:hint="default" w:ascii="Times New Roman" w:hAnsi="Times New Roman" w:eastAsia="方正仿宋_GBK" w:cs="Times New Roman"/>
                <w:kern w:val="0"/>
                <w:szCs w:val="21"/>
                <w:lang w:bidi="ar"/>
              </w:rPr>
              <w:t>210</w:t>
            </w:r>
          </w:p>
        </w:tc>
        <w:tc>
          <w:tcPr>
            <w:tcW w:w="928" w:type="dxa"/>
            <w:noWrap w:val="0"/>
            <w:vAlign w:val="center"/>
          </w:tcPr>
          <w:p>
            <w:pPr>
              <w:widowControl/>
              <w:jc w:val="center"/>
              <w:textAlignment w:val="center"/>
              <w:rPr>
                <w:rFonts w:hint="default" w:ascii="Times New Roman" w:hAnsi="Times New Roman" w:eastAsia="方正仿宋_GBK" w:cs="Times New Roman"/>
                <w:b/>
                <w:kern w:val="0"/>
                <w:szCs w:val="21"/>
                <w:lang w:bidi="ar"/>
              </w:rPr>
            </w:pPr>
            <w:r>
              <w:rPr>
                <w:rFonts w:hint="default" w:ascii="Times New Roman" w:hAnsi="Times New Roman" w:eastAsia="方正仿宋_GBK" w:cs="Times New Roman"/>
                <w:kern w:val="0"/>
                <w:szCs w:val="21"/>
                <w:lang w:bidi="ar"/>
              </w:rPr>
              <w:t>212</w:t>
            </w:r>
          </w:p>
        </w:tc>
        <w:tc>
          <w:tcPr>
            <w:tcW w:w="928" w:type="dxa"/>
            <w:noWrap w:val="0"/>
            <w:vAlign w:val="center"/>
          </w:tcPr>
          <w:p>
            <w:pPr>
              <w:widowControl/>
              <w:jc w:val="center"/>
              <w:textAlignment w:val="center"/>
              <w:rPr>
                <w:rFonts w:hint="default" w:ascii="Times New Roman" w:hAnsi="Times New Roman" w:eastAsia="方正仿宋_GBK" w:cs="Times New Roman"/>
                <w:b/>
                <w:kern w:val="0"/>
                <w:szCs w:val="21"/>
                <w:lang w:bidi="ar"/>
              </w:rPr>
            </w:pPr>
            <w:r>
              <w:rPr>
                <w:rFonts w:hint="default" w:ascii="Times New Roman" w:hAnsi="Times New Roman" w:eastAsia="方正仿宋_GBK" w:cs="Times New Roman"/>
                <w:kern w:val="0"/>
                <w:szCs w:val="21"/>
                <w:lang w:bidi="ar"/>
              </w:rPr>
              <w:t>13</w:t>
            </w:r>
          </w:p>
        </w:tc>
        <w:tc>
          <w:tcPr>
            <w:tcW w:w="928" w:type="dxa"/>
            <w:noWrap w:val="0"/>
            <w:vAlign w:val="center"/>
          </w:tcPr>
          <w:p>
            <w:pPr>
              <w:widowControl/>
              <w:jc w:val="center"/>
              <w:textAlignment w:val="center"/>
              <w:rPr>
                <w:rFonts w:hint="default" w:ascii="Times New Roman" w:hAnsi="Times New Roman" w:eastAsia="方正仿宋_GBK" w:cs="Times New Roman"/>
                <w:b/>
                <w:kern w:val="0"/>
                <w:szCs w:val="21"/>
                <w:lang w:bidi="ar"/>
              </w:rPr>
            </w:pPr>
            <w:r>
              <w:rPr>
                <w:rFonts w:hint="default" w:ascii="Times New Roman" w:hAnsi="Times New Roman" w:eastAsia="方正仿宋_GBK" w:cs="Times New Roman"/>
                <w:kern w:val="0"/>
                <w:szCs w:val="21"/>
                <w:lang w:bidi="ar"/>
              </w:rPr>
              <w:t>22</w:t>
            </w:r>
          </w:p>
        </w:tc>
        <w:tc>
          <w:tcPr>
            <w:tcW w:w="928" w:type="dxa"/>
            <w:noWrap w:val="0"/>
            <w:vAlign w:val="center"/>
          </w:tcPr>
          <w:p>
            <w:pPr>
              <w:widowControl/>
              <w:jc w:val="center"/>
              <w:textAlignment w:val="center"/>
              <w:rPr>
                <w:rFonts w:hint="default" w:ascii="Times New Roman" w:hAnsi="Times New Roman" w:eastAsia="方正仿宋_GBK" w:cs="Times New Roman"/>
                <w:b/>
                <w:kern w:val="0"/>
                <w:szCs w:val="21"/>
                <w:lang w:bidi="ar"/>
              </w:rPr>
            </w:pPr>
            <w:r>
              <w:rPr>
                <w:rFonts w:hint="default" w:ascii="Times New Roman" w:hAnsi="Times New Roman" w:eastAsia="方正仿宋_GBK" w:cs="Times New Roman"/>
                <w:kern w:val="0"/>
                <w:szCs w:val="21"/>
                <w:lang w:bidi="ar"/>
              </w:rPr>
              <w:t>49</w:t>
            </w:r>
          </w:p>
        </w:tc>
        <w:tc>
          <w:tcPr>
            <w:tcW w:w="928" w:type="dxa"/>
            <w:noWrap w:val="0"/>
            <w:vAlign w:val="center"/>
          </w:tcPr>
          <w:p>
            <w:pPr>
              <w:widowControl/>
              <w:jc w:val="center"/>
              <w:textAlignment w:val="center"/>
              <w:rPr>
                <w:rFonts w:hint="default" w:ascii="Times New Roman" w:hAnsi="Times New Roman" w:eastAsia="方正仿宋_GBK" w:cs="Times New Roman"/>
                <w:b/>
                <w:kern w:val="0"/>
                <w:szCs w:val="21"/>
                <w:lang w:bidi="ar"/>
              </w:rPr>
            </w:pPr>
            <w:r>
              <w:rPr>
                <w:rFonts w:hint="default" w:ascii="Times New Roman" w:hAnsi="Times New Roman" w:eastAsia="方正仿宋_GBK" w:cs="Times New Roman"/>
                <w:kern w:val="0"/>
                <w:szCs w:val="21"/>
                <w:lang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385" w:type="dxa"/>
            <w:vMerge w:val="restart"/>
            <w:noWrap w:val="0"/>
            <w:vAlign w:val="center"/>
          </w:tcPr>
          <w:p>
            <w:pPr>
              <w:adjustRightInd w:val="0"/>
              <w:snapToGrid w:val="0"/>
              <w:spacing w:line="240" w:lineRule="atLeas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沉陷区</w:t>
            </w:r>
          </w:p>
        </w:tc>
        <w:tc>
          <w:tcPr>
            <w:tcW w:w="1471" w:type="dxa"/>
            <w:noWrap w:val="0"/>
            <w:vAlign w:val="center"/>
          </w:tcPr>
          <w:p>
            <w:pPr>
              <w:widowControl/>
              <w:jc w:val="center"/>
              <w:textAlignment w:val="center"/>
              <w:rPr>
                <w:rFonts w:hint="default" w:ascii="Times New Roman" w:hAnsi="Times New Roman" w:eastAsia="方正仿宋_GBK" w:cs="Times New Roman"/>
                <w:b/>
                <w:bCs/>
                <w:kern w:val="0"/>
                <w:szCs w:val="21"/>
                <w:lang w:bidi="ar"/>
              </w:rPr>
            </w:pPr>
            <w:r>
              <w:rPr>
                <w:rFonts w:hint="default" w:ascii="Times New Roman" w:hAnsi="Times New Roman" w:eastAsia="方正仿宋_GBK" w:cs="Times New Roman"/>
                <w:kern w:val="0"/>
                <w:szCs w:val="21"/>
                <w:lang w:bidi="ar"/>
              </w:rPr>
              <w:t>潘集沉陷区</w:t>
            </w:r>
          </w:p>
        </w:tc>
        <w:tc>
          <w:tcPr>
            <w:tcW w:w="928" w:type="dxa"/>
            <w:noWrap w:val="0"/>
            <w:vAlign w:val="center"/>
          </w:tcPr>
          <w:p>
            <w:pPr>
              <w:widowControl/>
              <w:jc w:val="center"/>
              <w:textAlignment w:val="center"/>
              <w:rPr>
                <w:rFonts w:hint="default" w:ascii="Times New Roman" w:hAnsi="Times New Roman" w:eastAsia="方正仿宋_GBK" w:cs="Times New Roman"/>
                <w:b/>
                <w:kern w:val="0"/>
                <w:szCs w:val="21"/>
                <w:lang w:bidi="ar"/>
              </w:rPr>
            </w:pPr>
            <w:r>
              <w:rPr>
                <w:rFonts w:hint="default" w:ascii="Times New Roman" w:hAnsi="Times New Roman" w:eastAsia="方正仿宋_GBK" w:cs="Times New Roman"/>
                <w:kern w:val="0"/>
                <w:szCs w:val="21"/>
                <w:lang w:bidi="ar"/>
              </w:rPr>
              <w:t>141</w:t>
            </w:r>
          </w:p>
        </w:tc>
        <w:tc>
          <w:tcPr>
            <w:tcW w:w="928" w:type="dxa"/>
            <w:noWrap w:val="0"/>
            <w:vAlign w:val="center"/>
          </w:tcPr>
          <w:p>
            <w:pPr>
              <w:widowControl/>
              <w:jc w:val="center"/>
              <w:textAlignment w:val="center"/>
              <w:rPr>
                <w:rFonts w:hint="default" w:ascii="Times New Roman" w:hAnsi="Times New Roman" w:eastAsia="方正仿宋_GBK" w:cs="Times New Roman"/>
                <w:b/>
                <w:kern w:val="0"/>
                <w:szCs w:val="21"/>
                <w:lang w:bidi="ar"/>
              </w:rPr>
            </w:pPr>
            <w:r>
              <w:rPr>
                <w:rFonts w:hint="default" w:ascii="Times New Roman" w:hAnsi="Times New Roman" w:eastAsia="方正仿宋_GBK" w:cs="Times New Roman"/>
                <w:kern w:val="0"/>
                <w:szCs w:val="21"/>
                <w:lang w:bidi="ar"/>
              </w:rPr>
              <w:t>204</w:t>
            </w:r>
          </w:p>
        </w:tc>
        <w:tc>
          <w:tcPr>
            <w:tcW w:w="928" w:type="dxa"/>
            <w:noWrap w:val="0"/>
            <w:vAlign w:val="center"/>
          </w:tcPr>
          <w:p>
            <w:pPr>
              <w:widowControl/>
              <w:jc w:val="center"/>
              <w:textAlignment w:val="center"/>
              <w:rPr>
                <w:rFonts w:hint="default" w:ascii="Times New Roman" w:hAnsi="Times New Roman" w:eastAsia="方正仿宋_GBK" w:cs="Times New Roman"/>
                <w:b/>
                <w:kern w:val="0"/>
                <w:szCs w:val="21"/>
                <w:lang w:bidi="ar"/>
              </w:rPr>
            </w:pPr>
            <w:r>
              <w:rPr>
                <w:rFonts w:hint="default" w:ascii="Times New Roman" w:hAnsi="Times New Roman" w:eastAsia="方正仿宋_GBK" w:cs="Times New Roman"/>
                <w:kern w:val="0"/>
                <w:szCs w:val="21"/>
                <w:lang w:bidi="ar"/>
              </w:rPr>
              <w:t>386</w:t>
            </w:r>
          </w:p>
        </w:tc>
        <w:tc>
          <w:tcPr>
            <w:tcW w:w="928" w:type="dxa"/>
            <w:noWrap w:val="0"/>
            <w:vAlign w:val="center"/>
          </w:tcPr>
          <w:p>
            <w:pPr>
              <w:widowControl/>
              <w:jc w:val="center"/>
              <w:textAlignment w:val="center"/>
              <w:rPr>
                <w:rFonts w:hint="default" w:ascii="Times New Roman" w:hAnsi="Times New Roman" w:eastAsia="方正仿宋_GBK" w:cs="Times New Roman"/>
                <w:b/>
                <w:kern w:val="0"/>
                <w:szCs w:val="21"/>
                <w:lang w:bidi="ar"/>
              </w:rPr>
            </w:pPr>
            <w:r>
              <w:rPr>
                <w:rFonts w:hint="default" w:ascii="Times New Roman" w:hAnsi="Times New Roman" w:eastAsia="方正仿宋_GBK" w:cs="Times New Roman"/>
                <w:kern w:val="0"/>
                <w:szCs w:val="21"/>
                <w:lang w:bidi="ar"/>
              </w:rPr>
              <w:t>460</w:t>
            </w:r>
          </w:p>
        </w:tc>
        <w:tc>
          <w:tcPr>
            <w:tcW w:w="928" w:type="dxa"/>
            <w:noWrap w:val="0"/>
            <w:vAlign w:val="center"/>
          </w:tcPr>
          <w:p>
            <w:pPr>
              <w:widowControl/>
              <w:jc w:val="center"/>
              <w:textAlignment w:val="center"/>
              <w:rPr>
                <w:rFonts w:hint="default" w:ascii="Times New Roman" w:hAnsi="Times New Roman" w:eastAsia="方正仿宋_GBK" w:cs="Times New Roman"/>
                <w:b/>
                <w:kern w:val="0"/>
                <w:szCs w:val="21"/>
                <w:lang w:bidi="ar"/>
              </w:rPr>
            </w:pPr>
            <w:r>
              <w:rPr>
                <w:rFonts w:hint="default" w:ascii="Times New Roman" w:hAnsi="Times New Roman" w:eastAsia="方正仿宋_GBK" w:cs="Times New Roman"/>
                <w:kern w:val="0"/>
                <w:szCs w:val="21"/>
                <w:lang w:bidi="ar"/>
              </w:rPr>
              <w:t>33</w:t>
            </w:r>
          </w:p>
        </w:tc>
        <w:tc>
          <w:tcPr>
            <w:tcW w:w="928" w:type="dxa"/>
            <w:noWrap w:val="0"/>
            <w:vAlign w:val="center"/>
          </w:tcPr>
          <w:p>
            <w:pPr>
              <w:widowControl/>
              <w:jc w:val="center"/>
              <w:textAlignment w:val="center"/>
              <w:rPr>
                <w:rFonts w:hint="default" w:ascii="Times New Roman" w:hAnsi="Times New Roman" w:eastAsia="方正仿宋_GBK" w:cs="Times New Roman"/>
                <w:b/>
                <w:kern w:val="0"/>
                <w:szCs w:val="21"/>
                <w:lang w:bidi="ar"/>
              </w:rPr>
            </w:pPr>
            <w:r>
              <w:rPr>
                <w:rFonts w:hint="default" w:ascii="Times New Roman" w:hAnsi="Times New Roman" w:eastAsia="方正仿宋_GBK" w:cs="Times New Roman"/>
                <w:kern w:val="0"/>
                <w:szCs w:val="21"/>
                <w:lang w:bidi="ar"/>
              </w:rPr>
              <w:t>48</w:t>
            </w:r>
          </w:p>
        </w:tc>
        <w:tc>
          <w:tcPr>
            <w:tcW w:w="928" w:type="dxa"/>
            <w:noWrap w:val="0"/>
            <w:vAlign w:val="center"/>
          </w:tcPr>
          <w:p>
            <w:pPr>
              <w:widowControl/>
              <w:jc w:val="center"/>
              <w:textAlignment w:val="center"/>
              <w:rPr>
                <w:rFonts w:hint="default" w:ascii="Times New Roman" w:hAnsi="Times New Roman" w:eastAsia="方正仿宋_GBK" w:cs="Times New Roman"/>
                <w:b/>
                <w:kern w:val="0"/>
                <w:szCs w:val="21"/>
                <w:lang w:bidi="ar"/>
              </w:rPr>
            </w:pPr>
            <w:r>
              <w:rPr>
                <w:rFonts w:hint="default" w:ascii="Times New Roman" w:hAnsi="Times New Roman" w:eastAsia="方正仿宋_GBK" w:cs="Times New Roman"/>
                <w:kern w:val="0"/>
                <w:szCs w:val="21"/>
                <w:lang w:bidi="ar"/>
              </w:rPr>
              <w:t>90</w:t>
            </w:r>
          </w:p>
        </w:tc>
        <w:tc>
          <w:tcPr>
            <w:tcW w:w="928" w:type="dxa"/>
            <w:noWrap w:val="0"/>
            <w:vAlign w:val="center"/>
          </w:tcPr>
          <w:p>
            <w:pPr>
              <w:widowControl/>
              <w:jc w:val="center"/>
              <w:textAlignment w:val="center"/>
              <w:rPr>
                <w:rFonts w:hint="default" w:ascii="Times New Roman" w:hAnsi="Times New Roman" w:eastAsia="方正仿宋_GBK" w:cs="Times New Roman"/>
                <w:b/>
                <w:kern w:val="0"/>
                <w:szCs w:val="21"/>
                <w:lang w:bidi="ar"/>
              </w:rPr>
            </w:pPr>
            <w:r>
              <w:rPr>
                <w:rFonts w:hint="default" w:ascii="Times New Roman" w:hAnsi="Times New Roman" w:eastAsia="方正仿宋_GBK" w:cs="Times New Roman"/>
                <w:kern w:val="0"/>
                <w:szCs w:val="21"/>
                <w:lang w:bidi="ar"/>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385" w:type="dxa"/>
            <w:vMerge w:val="continue"/>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1471"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淮南刘岗塘—老鳖塘</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9</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15</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34</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34</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2</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4</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8</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385" w:type="dxa"/>
            <w:vMerge w:val="continue"/>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1471"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凤台陈油坊</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8</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13</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29</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29</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2</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3</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7</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385" w:type="dxa"/>
            <w:vMerge w:val="continue"/>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1471"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凤台顾桥镇</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27</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46</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102</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103</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6</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11</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24</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385" w:type="dxa"/>
            <w:vMerge w:val="continue"/>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1471"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b/>
                <w:bCs/>
                <w:kern w:val="0"/>
                <w:szCs w:val="21"/>
                <w:lang w:bidi="ar"/>
              </w:rPr>
              <w:t>合计</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b/>
                <w:bCs/>
                <w:kern w:val="0"/>
                <w:szCs w:val="21"/>
                <w:lang w:bidi="ar"/>
              </w:rPr>
              <w:t>609</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b/>
                <w:bCs/>
                <w:kern w:val="0"/>
                <w:szCs w:val="21"/>
                <w:lang w:bidi="ar"/>
              </w:rPr>
              <w:t>924</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b/>
                <w:bCs/>
                <w:kern w:val="0"/>
                <w:szCs w:val="21"/>
                <w:lang w:bidi="ar"/>
              </w:rPr>
              <w:t>1437</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b/>
                <w:bCs/>
                <w:kern w:val="0"/>
                <w:szCs w:val="21"/>
                <w:lang w:bidi="ar"/>
              </w:rPr>
              <w:t>1812</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b/>
                <w:bCs/>
                <w:kern w:val="0"/>
                <w:szCs w:val="21"/>
                <w:lang w:bidi="ar"/>
              </w:rPr>
              <w:t>146</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b/>
                <w:bCs/>
                <w:kern w:val="0"/>
                <w:szCs w:val="21"/>
                <w:lang w:bidi="ar"/>
              </w:rPr>
              <w:t>223</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b/>
                <w:bCs/>
                <w:kern w:val="0"/>
                <w:szCs w:val="21"/>
                <w:lang w:bidi="ar"/>
              </w:rPr>
              <w:t>345</w:t>
            </w:r>
          </w:p>
        </w:tc>
        <w:tc>
          <w:tcPr>
            <w:tcW w:w="928" w:type="dxa"/>
            <w:noWrap w:val="0"/>
            <w:vAlign w:val="center"/>
          </w:tcPr>
          <w:p>
            <w:pPr>
              <w:widowControl/>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b/>
                <w:bCs/>
                <w:kern w:val="0"/>
                <w:szCs w:val="21"/>
                <w:lang w:bidi="ar"/>
              </w:rPr>
              <w:t>434</w:t>
            </w:r>
          </w:p>
        </w:tc>
      </w:tr>
    </w:tbl>
    <w:p>
      <w:pPr>
        <w:tabs>
          <w:tab w:val="left" w:pos="525"/>
        </w:tabs>
        <w:adjustRightInd w:val="0"/>
        <w:snapToGrid w:val="0"/>
        <w:jc w:val="center"/>
        <w:rPr>
          <w:b/>
          <w:bCs/>
          <w:sz w:val="24"/>
        </w:rPr>
      </w:pPr>
      <w:bookmarkStart w:id="234" w:name="_Toc312309931"/>
    </w:p>
    <w:p>
      <w:pPr>
        <w:tabs>
          <w:tab w:val="left" w:pos="525"/>
        </w:tabs>
        <w:adjustRightInd w:val="0"/>
        <w:snapToGrid w:val="0"/>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表7.3-3 寿县部分水库纳污能力情况</w:t>
      </w:r>
    </w:p>
    <w:tbl>
      <w:tblPr>
        <w:tblStyle w:val="12"/>
        <w:tblW w:w="0" w:type="auto"/>
        <w:jc w:val="center"/>
        <w:tblLayout w:type="fixed"/>
        <w:tblCellMar>
          <w:top w:w="15" w:type="dxa"/>
          <w:left w:w="15" w:type="dxa"/>
          <w:bottom w:w="15" w:type="dxa"/>
          <w:right w:w="15" w:type="dxa"/>
        </w:tblCellMar>
      </w:tblPr>
      <w:tblGrid>
        <w:gridCol w:w="1096"/>
        <w:gridCol w:w="2274"/>
        <w:gridCol w:w="1356"/>
        <w:gridCol w:w="1347"/>
        <w:gridCol w:w="1384"/>
        <w:gridCol w:w="1283"/>
      </w:tblGrid>
      <w:tr>
        <w:tblPrEx>
          <w:tblCellMar>
            <w:top w:w="15" w:type="dxa"/>
            <w:left w:w="15" w:type="dxa"/>
            <w:bottom w:w="15" w:type="dxa"/>
            <w:right w:w="15" w:type="dxa"/>
          </w:tblCellMar>
        </w:tblPrEx>
        <w:trPr>
          <w:trHeight w:val="90" w:hRule="atLeast"/>
          <w:jc w:val="center"/>
        </w:trPr>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序号</w:t>
            </w:r>
          </w:p>
        </w:tc>
        <w:tc>
          <w:tcPr>
            <w:tcW w:w="227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一级功能区名称</w:t>
            </w:r>
          </w:p>
        </w:tc>
        <w:tc>
          <w:tcPr>
            <w:tcW w:w="2703"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化学耗氧量</w:t>
            </w:r>
          </w:p>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纳污能力</w:t>
            </w:r>
            <w:r>
              <w:rPr>
                <w:rStyle w:val="17"/>
                <w:rFonts w:hint="default" w:ascii="Times New Roman" w:hAnsi="Times New Roman" w:eastAsia="方正仿宋_GBK" w:cs="Times New Roman"/>
                <w:color w:val="auto"/>
                <w:sz w:val="21"/>
                <w:szCs w:val="21"/>
                <w:vertAlign w:val="baseline"/>
                <w:lang w:bidi="ar"/>
              </w:rPr>
              <w:t>(t/a)</w:t>
            </w:r>
          </w:p>
        </w:tc>
        <w:tc>
          <w:tcPr>
            <w:tcW w:w="2667"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氨氮纳污能力</w:t>
            </w:r>
            <w:r>
              <w:rPr>
                <w:rStyle w:val="17"/>
                <w:rFonts w:hint="default" w:ascii="Times New Roman" w:hAnsi="Times New Roman" w:eastAsia="方正仿宋_GBK" w:cs="Times New Roman"/>
                <w:color w:val="auto"/>
                <w:sz w:val="21"/>
                <w:szCs w:val="21"/>
                <w:vertAlign w:val="baseline"/>
                <w:lang w:bidi="ar"/>
              </w:rPr>
              <w:t>(t/a)</w:t>
            </w:r>
          </w:p>
        </w:tc>
      </w:tr>
      <w:tr>
        <w:tblPrEx>
          <w:tblCellMar>
            <w:top w:w="15" w:type="dxa"/>
            <w:left w:w="15" w:type="dxa"/>
            <w:bottom w:w="15" w:type="dxa"/>
            <w:right w:w="15" w:type="dxa"/>
          </w:tblCellMar>
        </w:tblPrEx>
        <w:trPr>
          <w:trHeight w:val="9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2274"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方正仿宋_GBK" w:cs="Times New Roman"/>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正常蓄水位</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死水位</w:t>
            </w:r>
          </w:p>
        </w:tc>
        <w:tc>
          <w:tcPr>
            <w:tcW w:w="138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正常蓄水位</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死水位</w:t>
            </w:r>
          </w:p>
        </w:tc>
      </w:tr>
      <w:tr>
        <w:tblPrEx>
          <w:tblCellMar>
            <w:top w:w="15" w:type="dxa"/>
            <w:left w:w="15" w:type="dxa"/>
            <w:bottom w:w="15" w:type="dxa"/>
            <w:right w:w="15" w:type="dxa"/>
          </w:tblCellMar>
        </w:tblPrEx>
        <w:trPr>
          <w:trHeight w:val="90"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w:t>
            </w:r>
          </w:p>
        </w:tc>
        <w:tc>
          <w:tcPr>
            <w:tcW w:w="227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安丰塘水库</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80</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17.3</w:t>
            </w:r>
          </w:p>
        </w:tc>
        <w:tc>
          <w:tcPr>
            <w:tcW w:w="138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18.7</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w:t>
            </w:r>
          </w:p>
        </w:tc>
      </w:tr>
      <w:tr>
        <w:tblPrEx>
          <w:tblCellMar>
            <w:top w:w="15" w:type="dxa"/>
            <w:left w:w="15" w:type="dxa"/>
            <w:bottom w:w="15" w:type="dxa"/>
            <w:right w:w="15" w:type="dxa"/>
          </w:tblCellMar>
        </w:tblPrEx>
        <w:trPr>
          <w:trHeight w:val="90"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w:t>
            </w:r>
          </w:p>
        </w:tc>
        <w:tc>
          <w:tcPr>
            <w:tcW w:w="227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花果水库</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28.8</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0.6</w:t>
            </w:r>
          </w:p>
        </w:tc>
        <w:tc>
          <w:tcPr>
            <w:tcW w:w="138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6.7</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0.1</w:t>
            </w:r>
          </w:p>
        </w:tc>
      </w:tr>
      <w:tr>
        <w:tblPrEx>
          <w:tblCellMar>
            <w:top w:w="15" w:type="dxa"/>
            <w:left w:w="15" w:type="dxa"/>
            <w:bottom w:w="15" w:type="dxa"/>
            <w:right w:w="15" w:type="dxa"/>
          </w:tblCellMar>
        </w:tblPrEx>
        <w:trPr>
          <w:trHeight w:val="90"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w:t>
            </w:r>
          </w:p>
        </w:tc>
        <w:tc>
          <w:tcPr>
            <w:tcW w:w="227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大井水库</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73</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16.1</w:t>
            </w:r>
          </w:p>
        </w:tc>
        <w:tc>
          <w:tcPr>
            <w:tcW w:w="138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17</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3.8</w:t>
            </w:r>
          </w:p>
        </w:tc>
      </w:tr>
      <w:tr>
        <w:tblPrEx>
          <w:tblCellMar>
            <w:top w:w="15" w:type="dxa"/>
            <w:left w:w="15" w:type="dxa"/>
            <w:bottom w:w="15" w:type="dxa"/>
            <w:right w:w="15" w:type="dxa"/>
          </w:tblCellMar>
        </w:tblPrEx>
        <w:trPr>
          <w:trHeight w:val="90"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w:t>
            </w:r>
          </w:p>
        </w:tc>
        <w:tc>
          <w:tcPr>
            <w:tcW w:w="227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花果南水库</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6.6</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w:t>
            </w:r>
          </w:p>
        </w:tc>
        <w:tc>
          <w:tcPr>
            <w:tcW w:w="138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1.7</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0.4</w:t>
            </w:r>
          </w:p>
        </w:tc>
      </w:tr>
      <w:tr>
        <w:tblPrEx>
          <w:tblCellMar>
            <w:top w:w="15" w:type="dxa"/>
            <w:left w:w="15" w:type="dxa"/>
            <w:bottom w:w="15" w:type="dxa"/>
            <w:right w:w="15" w:type="dxa"/>
          </w:tblCellMar>
        </w:tblPrEx>
        <w:trPr>
          <w:trHeight w:val="90"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w:t>
            </w:r>
          </w:p>
        </w:tc>
        <w:tc>
          <w:tcPr>
            <w:tcW w:w="227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欧岗水库</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5.1</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0.1</w:t>
            </w:r>
          </w:p>
        </w:tc>
        <w:tc>
          <w:tcPr>
            <w:tcW w:w="138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1.3</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w:t>
            </w:r>
          </w:p>
        </w:tc>
      </w:tr>
      <w:tr>
        <w:tblPrEx>
          <w:tblCellMar>
            <w:top w:w="15" w:type="dxa"/>
            <w:left w:w="15" w:type="dxa"/>
            <w:bottom w:w="15" w:type="dxa"/>
            <w:right w:w="15" w:type="dxa"/>
          </w:tblCellMar>
        </w:tblPrEx>
        <w:trPr>
          <w:trHeight w:val="90"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w:t>
            </w:r>
          </w:p>
        </w:tc>
        <w:tc>
          <w:tcPr>
            <w:tcW w:w="227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龙湾水库</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6.2</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0.1</w:t>
            </w:r>
          </w:p>
        </w:tc>
        <w:tc>
          <w:tcPr>
            <w:tcW w:w="138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1.6</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w:t>
            </w:r>
          </w:p>
        </w:tc>
      </w:tr>
      <w:tr>
        <w:tblPrEx>
          <w:tblCellMar>
            <w:top w:w="15" w:type="dxa"/>
            <w:left w:w="15" w:type="dxa"/>
            <w:bottom w:w="15" w:type="dxa"/>
            <w:right w:w="15" w:type="dxa"/>
          </w:tblCellMar>
        </w:tblPrEx>
        <w:trPr>
          <w:trHeight w:val="90"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w:t>
            </w:r>
          </w:p>
        </w:tc>
        <w:tc>
          <w:tcPr>
            <w:tcW w:w="227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益民水库</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6.9</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0.4</w:t>
            </w:r>
          </w:p>
        </w:tc>
        <w:tc>
          <w:tcPr>
            <w:tcW w:w="138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1.8</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0.1</w:t>
            </w:r>
          </w:p>
        </w:tc>
      </w:tr>
      <w:tr>
        <w:tblPrEx>
          <w:tblCellMar>
            <w:top w:w="15" w:type="dxa"/>
            <w:left w:w="15" w:type="dxa"/>
            <w:bottom w:w="15" w:type="dxa"/>
            <w:right w:w="15" w:type="dxa"/>
          </w:tblCellMar>
        </w:tblPrEx>
        <w:trPr>
          <w:trHeight w:val="90"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w:t>
            </w:r>
          </w:p>
        </w:tc>
        <w:tc>
          <w:tcPr>
            <w:tcW w:w="227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井河坝水库</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4.7</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0.1</w:t>
            </w:r>
          </w:p>
        </w:tc>
        <w:tc>
          <w:tcPr>
            <w:tcW w:w="138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w:t>
            </w:r>
          </w:p>
        </w:tc>
      </w:tr>
      <w:tr>
        <w:tblPrEx>
          <w:tblCellMar>
            <w:top w:w="15" w:type="dxa"/>
            <w:left w:w="15" w:type="dxa"/>
            <w:bottom w:w="15" w:type="dxa"/>
            <w:right w:w="15" w:type="dxa"/>
          </w:tblCellMar>
        </w:tblPrEx>
        <w:trPr>
          <w:trHeight w:val="90"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w:t>
            </w:r>
          </w:p>
        </w:tc>
        <w:tc>
          <w:tcPr>
            <w:tcW w:w="227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双门坝水库</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4.9</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0.9</w:t>
            </w:r>
          </w:p>
        </w:tc>
        <w:tc>
          <w:tcPr>
            <w:tcW w:w="138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1.3</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0.2</w:t>
            </w:r>
          </w:p>
        </w:tc>
      </w:tr>
      <w:tr>
        <w:tblPrEx>
          <w:tblCellMar>
            <w:top w:w="15" w:type="dxa"/>
            <w:left w:w="15" w:type="dxa"/>
            <w:bottom w:w="15" w:type="dxa"/>
            <w:right w:w="15" w:type="dxa"/>
          </w:tblCellMar>
        </w:tblPrEx>
        <w:trPr>
          <w:trHeight w:val="90"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10</w:t>
            </w:r>
          </w:p>
        </w:tc>
        <w:tc>
          <w:tcPr>
            <w:tcW w:w="227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岔路口水库</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4.2</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0.5</w:t>
            </w:r>
          </w:p>
        </w:tc>
        <w:tc>
          <w:tcPr>
            <w:tcW w:w="138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0.1</w:t>
            </w:r>
          </w:p>
        </w:tc>
      </w:tr>
      <w:tr>
        <w:tblPrEx>
          <w:tblCellMar>
            <w:top w:w="15" w:type="dxa"/>
            <w:left w:w="15" w:type="dxa"/>
            <w:bottom w:w="15" w:type="dxa"/>
            <w:right w:w="15" w:type="dxa"/>
          </w:tblCellMar>
        </w:tblPrEx>
        <w:trPr>
          <w:trHeight w:val="90"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w:t>
            </w:r>
          </w:p>
        </w:tc>
        <w:tc>
          <w:tcPr>
            <w:tcW w:w="227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松林坝水库</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6.1</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0.9</w:t>
            </w:r>
          </w:p>
        </w:tc>
        <w:tc>
          <w:tcPr>
            <w:tcW w:w="138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1.6</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0.2</w:t>
            </w:r>
          </w:p>
        </w:tc>
      </w:tr>
      <w:tr>
        <w:tblPrEx>
          <w:tblCellMar>
            <w:top w:w="15" w:type="dxa"/>
            <w:left w:w="15" w:type="dxa"/>
            <w:bottom w:w="15" w:type="dxa"/>
            <w:right w:w="15" w:type="dxa"/>
          </w:tblCellMar>
        </w:tblPrEx>
        <w:trPr>
          <w:trHeight w:val="90"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w:t>
            </w:r>
          </w:p>
        </w:tc>
        <w:tc>
          <w:tcPr>
            <w:tcW w:w="227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汪大坝水库</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2.8</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0.2</w:t>
            </w:r>
          </w:p>
        </w:tc>
        <w:tc>
          <w:tcPr>
            <w:tcW w:w="138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0.7</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0.1</w:t>
            </w:r>
          </w:p>
        </w:tc>
      </w:tr>
      <w:tr>
        <w:tblPrEx>
          <w:tblCellMar>
            <w:top w:w="15" w:type="dxa"/>
            <w:left w:w="15" w:type="dxa"/>
            <w:bottom w:w="15" w:type="dxa"/>
            <w:right w:w="15" w:type="dxa"/>
          </w:tblCellMar>
        </w:tblPrEx>
        <w:trPr>
          <w:trHeight w:val="90"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13</w:t>
            </w:r>
          </w:p>
        </w:tc>
        <w:tc>
          <w:tcPr>
            <w:tcW w:w="227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新庄坝水库</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3.5</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0.1</w:t>
            </w:r>
          </w:p>
        </w:tc>
        <w:tc>
          <w:tcPr>
            <w:tcW w:w="138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0.9</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w:t>
            </w:r>
          </w:p>
        </w:tc>
      </w:tr>
      <w:tr>
        <w:tblPrEx>
          <w:tblCellMar>
            <w:top w:w="15" w:type="dxa"/>
            <w:left w:w="15" w:type="dxa"/>
            <w:bottom w:w="15" w:type="dxa"/>
            <w:right w:w="15" w:type="dxa"/>
          </w:tblCellMar>
        </w:tblPrEx>
        <w:trPr>
          <w:trHeight w:val="90"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14</w:t>
            </w:r>
          </w:p>
        </w:tc>
        <w:tc>
          <w:tcPr>
            <w:tcW w:w="227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油坊坝水库</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3.8</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0.2</w:t>
            </w:r>
          </w:p>
        </w:tc>
        <w:tc>
          <w:tcPr>
            <w:tcW w:w="138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0.1</w:t>
            </w:r>
          </w:p>
        </w:tc>
      </w:tr>
      <w:tr>
        <w:tblPrEx>
          <w:tblCellMar>
            <w:top w:w="15" w:type="dxa"/>
            <w:left w:w="15" w:type="dxa"/>
            <w:bottom w:w="15" w:type="dxa"/>
            <w:right w:w="15" w:type="dxa"/>
          </w:tblCellMar>
        </w:tblPrEx>
        <w:trPr>
          <w:trHeight w:val="90"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w:t>
            </w:r>
          </w:p>
        </w:tc>
        <w:tc>
          <w:tcPr>
            <w:tcW w:w="227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叫天岗水库</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2.2</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0.1</w:t>
            </w:r>
          </w:p>
        </w:tc>
        <w:tc>
          <w:tcPr>
            <w:tcW w:w="138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0.6</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w:t>
            </w:r>
          </w:p>
        </w:tc>
      </w:tr>
      <w:tr>
        <w:tblPrEx>
          <w:tblCellMar>
            <w:top w:w="15" w:type="dxa"/>
            <w:left w:w="15" w:type="dxa"/>
            <w:bottom w:w="15" w:type="dxa"/>
            <w:right w:w="15" w:type="dxa"/>
          </w:tblCellMar>
        </w:tblPrEx>
        <w:trPr>
          <w:trHeight w:val="90" w:hRule="atLeast"/>
          <w:jc w:val="center"/>
        </w:trPr>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16</w:t>
            </w:r>
          </w:p>
        </w:tc>
        <w:tc>
          <w:tcPr>
            <w:tcW w:w="227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张坡塘水库</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4.6</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w:t>
            </w:r>
          </w:p>
        </w:tc>
        <w:tc>
          <w:tcPr>
            <w:tcW w:w="138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0.3</w:t>
            </w:r>
          </w:p>
        </w:tc>
      </w:tr>
      <w:tr>
        <w:tblPrEx>
          <w:tblCellMar>
            <w:top w:w="15" w:type="dxa"/>
            <w:left w:w="15" w:type="dxa"/>
            <w:bottom w:w="15" w:type="dxa"/>
            <w:right w:w="15" w:type="dxa"/>
          </w:tblCellMar>
        </w:tblPrEx>
        <w:trPr>
          <w:trHeight w:val="90" w:hRule="atLeast"/>
          <w:jc w:val="center"/>
        </w:trPr>
        <w:tc>
          <w:tcPr>
            <w:tcW w:w="337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合计</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243.4</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40.1</w:t>
            </w:r>
          </w:p>
        </w:tc>
        <w:tc>
          <w:tcPr>
            <w:tcW w:w="138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58.3</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9.4</w:t>
            </w:r>
          </w:p>
        </w:tc>
      </w:tr>
    </w:tbl>
    <w:p>
      <w:pPr>
        <w:pStyle w:val="5"/>
        <w:keepNext w:val="0"/>
        <w:keepLines w:val="0"/>
        <w:pageBreakBefore w:val="0"/>
        <w:widowControl w:val="0"/>
        <w:kinsoku/>
        <w:wordWrap/>
        <w:overflowPunct/>
        <w:autoSpaceDE/>
        <w:autoSpaceDN/>
        <w:bidi w:val="0"/>
        <w:spacing w:line="590" w:lineRule="exact"/>
        <w:ind w:firstLine="568"/>
        <w:rPr>
          <w:rFonts w:hint="default" w:ascii="Times New Roman" w:hAnsi="Times New Roman" w:eastAsia="方正楷体_GBK" w:cs="Times New Roman"/>
          <w:b w:val="0"/>
          <w:bCs/>
          <w:sz w:val="32"/>
          <w:szCs w:val="32"/>
        </w:rPr>
      </w:pPr>
      <w:bookmarkStart w:id="235" w:name="_Toc18840"/>
      <w:r>
        <w:rPr>
          <w:rFonts w:hint="default" w:ascii="Times New Roman" w:hAnsi="Times New Roman" w:eastAsia="方正楷体_GBK" w:cs="Times New Roman"/>
          <w:b w:val="0"/>
          <w:bCs/>
          <w:sz w:val="32"/>
          <w:szCs w:val="32"/>
        </w:rPr>
        <w:t>二、水域入河限制排污总量分解及阶段性控制方案</w:t>
      </w:r>
      <w:bookmarkEnd w:id="234"/>
      <w:bookmarkEnd w:id="235"/>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bookmarkStart w:id="236" w:name="_Toc293556849"/>
      <w:bookmarkStart w:id="237" w:name="_Toc239043501"/>
      <w:bookmarkStart w:id="238" w:name="_Toc245087763"/>
      <w:r>
        <w:rPr>
          <w:rFonts w:hint="default" w:ascii="Times New Roman" w:hAnsi="Times New Roman" w:eastAsia="方正仿宋_GBK" w:cs="Times New Roman"/>
          <w:b/>
          <w:bCs w:val="0"/>
          <w:sz w:val="32"/>
          <w:szCs w:val="32"/>
        </w:rPr>
        <w:t>（1）污染物入河控制量的确定原则</w:t>
      </w:r>
      <w:bookmarkEnd w:id="236"/>
      <w:bookmarkEnd w:id="237"/>
      <w:bookmarkEnd w:id="238"/>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现状污染物入河控制量以功能区为分析计算单元，采取自上而下的次序进行计算。</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① 保护区水质不得恶化，保护区污染物入河控制量取纳污能力与现状污染物入河量中较小者；</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② 禁止向饮用水源区排污，污染物入河控制量取零值；</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③ 不得在水库、湖泊周边设置入库、入湖排污口；</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④ 其他功能区的污染物入河控制量按该功能区纳污能力确定。</w:t>
      </w:r>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bookmarkStart w:id="239" w:name="_Toc245087764"/>
      <w:bookmarkStart w:id="240" w:name="_Toc239043502"/>
      <w:bookmarkStart w:id="241" w:name="_Toc293556850"/>
      <w:r>
        <w:rPr>
          <w:rFonts w:hint="default" w:ascii="Times New Roman" w:hAnsi="Times New Roman" w:eastAsia="方正仿宋_GBK" w:cs="Times New Roman"/>
          <w:b/>
          <w:bCs w:val="0"/>
          <w:sz w:val="32"/>
          <w:szCs w:val="32"/>
        </w:rPr>
        <w:t>（2）污染物入河量</w:t>
      </w:r>
      <w:bookmarkEnd w:id="239"/>
      <w:bookmarkEnd w:id="240"/>
      <w:bookmarkEnd w:id="241"/>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2015年实测年污水入河量2.69亿t。主要污染物入河量分别为：化学需氧量1.18万t/a，氨氮0.28万t/a。</w:t>
      </w:r>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bookmarkStart w:id="242" w:name="_Toc293556851"/>
      <w:bookmarkStart w:id="243" w:name="_Toc245087765"/>
      <w:bookmarkStart w:id="244" w:name="_Toc239043503"/>
      <w:r>
        <w:rPr>
          <w:rFonts w:hint="default" w:ascii="Times New Roman" w:hAnsi="Times New Roman" w:eastAsia="方正仿宋_GBK" w:cs="Times New Roman"/>
          <w:b/>
          <w:bCs w:val="0"/>
          <w:sz w:val="32"/>
          <w:szCs w:val="32"/>
        </w:rPr>
        <w:t>（3）全市污染物入河控制总量</w:t>
      </w:r>
      <w:bookmarkEnd w:id="242"/>
      <w:bookmarkEnd w:id="243"/>
      <w:bookmarkEnd w:id="244"/>
    </w:p>
    <w:p>
      <w:pPr>
        <w:keepNext w:val="0"/>
        <w:keepLines w:val="0"/>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各功能区不同设计条件下纳污能力以及现状水平年2015年实际监测的主要入河排污口主要污染物入河排放量分析计算入河污染物控制量。境内进行了水功能区划分的地表水域，主要污染物化学需氧量最枯月平均流量（水位）90％保证率、最枯月月平均流量（水位）、枯水期月平均流量（水位）及多年平均流量（水位）下的的入河控制量分别为：29989t/a、59509t/a、163150t/a、323598t/a；氨氮最枯月平均流量（水位）90％保证率、最枯月月平均流量（水位）、枯水期月平均流量（水位）及多年平均流量（水位）下的的入河控制量分别为：1751t/a、3135t/a、7862t/a、14975t/a。</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综合考虑区域经济社会发展现状、经济承受能力、污染物处理技术与水平、目标的可达性等综合因素，建议2015年以枯水期多年平均流量（水位）条件下污染物入河控制量作为河湖污染物入河量的主要控制指标，2020年前以最枯月月平均流量（水位）条件下污染物入河控制量作为河湖污染物入河量的主要控制指标，2030年前以最枯月月平均流量（水位）90%保证率条件下污染物入河控制量作为河湖污染物入河量的主要控制指标。</w:t>
      </w:r>
    </w:p>
    <w:p>
      <w:pPr>
        <w:pStyle w:val="5"/>
        <w:keepNext w:val="0"/>
        <w:keepLines w:val="0"/>
        <w:pageBreakBefore w:val="0"/>
        <w:widowControl w:val="0"/>
        <w:kinsoku/>
        <w:wordWrap/>
        <w:overflowPunct/>
        <w:autoSpaceDE/>
        <w:autoSpaceDN/>
        <w:bidi w:val="0"/>
        <w:spacing w:line="590" w:lineRule="exact"/>
        <w:ind w:firstLine="568"/>
        <w:jc w:val="center"/>
        <w:rPr>
          <w:rFonts w:hint="default" w:ascii="Times New Roman" w:hAnsi="Times New Roman" w:eastAsia="方正黑体_GBK" w:cs="Times New Roman"/>
          <w:b w:val="0"/>
          <w:bCs/>
          <w:sz w:val="32"/>
          <w:szCs w:val="32"/>
        </w:rPr>
      </w:pPr>
      <w:bookmarkStart w:id="245" w:name="_Toc312309932"/>
      <w:bookmarkStart w:id="246" w:name="_Toc24478"/>
      <w:r>
        <w:rPr>
          <w:rFonts w:hint="default" w:ascii="Times New Roman" w:hAnsi="Times New Roman" w:eastAsia="方正黑体_GBK" w:cs="Times New Roman"/>
          <w:b w:val="0"/>
          <w:bCs/>
          <w:sz w:val="32"/>
          <w:szCs w:val="32"/>
        </w:rPr>
        <w:t>第</w:t>
      </w:r>
      <w:r>
        <w:rPr>
          <w:rFonts w:hint="default" w:ascii="Times New Roman" w:hAnsi="Times New Roman" w:eastAsia="方正黑体_GBK" w:cs="Times New Roman"/>
          <w:b w:val="0"/>
          <w:bCs/>
          <w:sz w:val="32"/>
          <w:szCs w:val="32"/>
          <w:lang w:eastAsia="zh-CN"/>
        </w:rPr>
        <w:t>四</w:t>
      </w:r>
      <w:r>
        <w:rPr>
          <w:rFonts w:hint="default" w:ascii="Times New Roman" w:hAnsi="Times New Roman" w:eastAsia="方正黑体_GBK" w:cs="Times New Roman"/>
          <w:b w:val="0"/>
          <w:bCs/>
          <w:sz w:val="32"/>
          <w:szCs w:val="32"/>
        </w:rPr>
        <w:t>节  重点水域典型入河排污口调查及调整方案</w:t>
      </w:r>
      <w:bookmarkEnd w:id="245"/>
      <w:bookmarkEnd w:id="246"/>
    </w:p>
    <w:p>
      <w:pPr>
        <w:pStyle w:val="5"/>
        <w:keepNext w:val="0"/>
        <w:keepLines w:val="0"/>
        <w:pageBreakBefore w:val="0"/>
        <w:widowControl w:val="0"/>
        <w:kinsoku/>
        <w:wordWrap/>
        <w:overflowPunct/>
        <w:autoSpaceDE/>
        <w:autoSpaceDN/>
        <w:bidi w:val="0"/>
        <w:spacing w:line="590" w:lineRule="exact"/>
        <w:ind w:firstLine="568"/>
        <w:rPr>
          <w:rFonts w:hint="eastAsia" w:ascii="方正楷体_GBK" w:hAnsi="方正楷体_GBK" w:eastAsia="方正楷体_GBK" w:cs="方正楷体_GBK"/>
          <w:b w:val="0"/>
          <w:bCs/>
          <w:sz w:val="32"/>
          <w:szCs w:val="32"/>
        </w:rPr>
      </w:pPr>
      <w:bookmarkStart w:id="247" w:name="_Toc13856"/>
      <w:bookmarkStart w:id="248" w:name="_Toc293556855"/>
      <w:bookmarkStart w:id="249" w:name="_Toc312309933"/>
      <w:r>
        <w:rPr>
          <w:rFonts w:hint="eastAsia" w:ascii="方正楷体_GBK" w:hAnsi="方正楷体_GBK" w:eastAsia="方正楷体_GBK" w:cs="方正楷体_GBK"/>
          <w:b w:val="0"/>
          <w:bCs/>
          <w:sz w:val="32"/>
          <w:szCs w:val="32"/>
        </w:rPr>
        <w:t>一、入河排污口设置与调整原则</w:t>
      </w:r>
      <w:bookmarkEnd w:id="247"/>
      <w:bookmarkEnd w:id="248"/>
      <w:bookmarkEnd w:id="249"/>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（1）原则上保护区、塌陷区、中小型水库不允许新增入河排污口，保护区现状水质达不到水功能区管理目标的，其上排污口需进行整治，条件许可的需进行迁移。</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（2）禁止在饮用水源区、过渡区、景观娱乐新设置入河排污口，饮用水源区现有入河排污口须进行整治，分阶段对现有入河排污口进行迁移、关闭。</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其他功能区上的入河排污口首先应做到达标排放，根据该水域核定的纳污能力进行排污权的分配，现状入河量超出该水域的纳污能力需进行整治，污染严重的区域其入河排污口应进行污水的深度处理，直至截污迁移。</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（4）根据区域经济发展规划、城市规划以及水域水质保护要求及区域经济承受能力，分轻重缓急循序治理。</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482"/>
        <w:rPr>
          <w:rFonts w:hint="default" w:ascii="Times New Roman" w:hAnsi="Times New Roman" w:cs="Times New Roman"/>
          <w:sz w:val="24"/>
        </w:rPr>
      </w:pPr>
      <w:r>
        <w:rPr>
          <w:rFonts w:hint="default" w:ascii="Times New Roman" w:hAnsi="Times New Roman" w:eastAsia="方正仿宋_GBK" w:cs="Times New Roman"/>
          <w:sz w:val="32"/>
          <w:szCs w:val="32"/>
        </w:rPr>
        <w:t>（5）入河排污口污染物排放标准需严格按照《城镇污水处理厂污染物排放标准》（GB18918-2002）一级A标准施行，不满足条件的，应加快改建</w:t>
      </w:r>
      <w:r>
        <w:rPr>
          <w:rFonts w:hint="default" w:ascii="Times New Roman" w:hAnsi="Times New Roman" w:cs="Times New Roman"/>
          <w:sz w:val="24"/>
        </w:rPr>
        <w:t>。</w:t>
      </w:r>
    </w:p>
    <w:p>
      <w:pPr>
        <w:pStyle w:val="5"/>
        <w:keepNext w:val="0"/>
        <w:keepLines w:val="0"/>
        <w:pageBreakBefore w:val="0"/>
        <w:widowControl w:val="0"/>
        <w:kinsoku/>
        <w:wordWrap/>
        <w:overflowPunct/>
        <w:autoSpaceDE/>
        <w:autoSpaceDN/>
        <w:bidi w:val="0"/>
        <w:spacing w:line="590" w:lineRule="exact"/>
        <w:ind w:firstLine="568"/>
        <w:rPr>
          <w:rFonts w:hint="eastAsia" w:ascii="方正楷体_GBK" w:hAnsi="方正楷体_GBK" w:eastAsia="方正楷体_GBK" w:cs="方正楷体_GBK"/>
          <w:sz w:val="28"/>
          <w:szCs w:val="28"/>
        </w:rPr>
      </w:pPr>
      <w:bookmarkStart w:id="250" w:name="_Toc293556856"/>
      <w:bookmarkStart w:id="251" w:name="_Toc312309934"/>
      <w:bookmarkStart w:id="252" w:name="_Toc9870"/>
      <w:r>
        <w:rPr>
          <w:rFonts w:hint="eastAsia" w:ascii="方正楷体_GBK" w:hAnsi="方正楷体_GBK" w:eastAsia="方正楷体_GBK" w:cs="方正楷体_GBK"/>
          <w:b w:val="0"/>
          <w:bCs/>
          <w:sz w:val="32"/>
          <w:szCs w:val="32"/>
        </w:rPr>
        <w:t>二、入河排污口整治方案</w:t>
      </w:r>
      <w:bookmarkEnd w:id="250"/>
      <w:bookmarkEnd w:id="251"/>
      <w:bookmarkEnd w:id="252"/>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（1）禁止新设排污口水域</w:t>
      </w:r>
    </w:p>
    <w:p>
      <w:pPr>
        <w:keepNext w:val="0"/>
        <w:keepLines w:val="0"/>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根据入河排污口设置与调整原则，确定3条河流、2个湖泊、5个塌陷区共10个水域禁止再新设入河排污口，共计涉及河长103.7km，湖泊面积380.86km2。具体见表7.5-1。</w:t>
      </w:r>
    </w:p>
    <w:p>
      <w:pPr>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表7.5-1 禁止新设入河排污口水域</w:t>
      </w:r>
    </w:p>
    <w:tbl>
      <w:tblPr>
        <w:tblStyle w:val="12"/>
        <w:tblW w:w="0" w:type="auto"/>
        <w:jc w:val="center"/>
        <w:tblLayout w:type="fixed"/>
        <w:tblCellMar>
          <w:top w:w="15" w:type="dxa"/>
          <w:left w:w="15" w:type="dxa"/>
          <w:bottom w:w="15" w:type="dxa"/>
          <w:right w:w="15" w:type="dxa"/>
        </w:tblCellMar>
      </w:tblPr>
      <w:tblGrid>
        <w:gridCol w:w="345"/>
        <w:gridCol w:w="2475"/>
        <w:gridCol w:w="1709"/>
        <w:gridCol w:w="602"/>
        <w:gridCol w:w="1247"/>
        <w:gridCol w:w="1205"/>
        <w:gridCol w:w="1467"/>
        <w:gridCol w:w="810"/>
      </w:tblGrid>
      <w:tr>
        <w:tblPrEx>
          <w:tblCellMar>
            <w:top w:w="15" w:type="dxa"/>
            <w:left w:w="15" w:type="dxa"/>
            <w:bottom w:w="15" w:type="dxa"/>
            <w:right w:w="15" w:type="dxa"/>
          </w:tblCellMar>
        </w:tblPrEx>
        <w:trPr>
          <w:trHeight w:val="225" w:hRule="atLeast"/>
          <w:jc w:val="center"/>
        </w:trPr>
        <w:tc>
          <w:tcPr>
            <w:tcW w:w="34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序号</w:t>
            </w:r>
          </w:p>
        </w:tc>
        <w:tc>
          <w:tcPr>
            <w:tcW w:w="4184"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水功能区名称</w:t>
            </w:r>
          </w:p>
        </w:tc>
        <w:tc>
          <w:tcPr>
            <w:tcW w:w="60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河湖</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所属</w:t>
            </w:r>
          </w:p>
        </w:tc>
        <w:tc>
          <w:tcPr>
            <w:tcW w:w="267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范        围</w:t>
            </w:r>
          </w:p>
        </w:tc>
        <w:tc>
          <w:tcPr>
            <w:tcW w:w="81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长度/面积</w:t>
            </w:r>
          </w:p>
        </w:tc>
      </w:tr>
      <w:tr>
        <w:tblPrEx>
          <w:tblCellMar>
            <w:top w:w="15" w:type="dxa"/>
            <w:left w:w="15" w:type="dxa"/>
            <w:bottom w:w="15" w:type="dxa"/>
            <w:right w:w="15" w:type="dxa"/>
          </w:tblCellMar>
        </w:tblPrEx>
        <w:trPr>
          <w:trHeight w:val="225"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一级区</w:t>
            </w:r>
          </w:p>
        </w:tc>
        <w:tc>
          <w:tcPr>
            <w:tcW w:w="17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二级区</w:t>
            </w:r>
          </w:p>
        </w:tc>
        <w:tc>
          <w:tcPr>
            <w:tcW w:w="60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区域</w:t>
            </w:r>
          </w:p>
        </w:tc>
        <w:tc>
          <w:tcPr>
            <w:tcW w:w="120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起始断面</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终止断面</w:t>
            </w:r>
          </w:p>
        </w:tc>
        <w:tc>
          <w:tcPr>
            <w:tcW w:w="81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r>
      <w:tr>
        <w:tblPrEx>
          <w:tblCellMar>
            <w:top w:w="15" w:type="dxa"/>
            <w:left w:w="15" w:type="dxa"/>
            <w:bottom w:w="15" w:type="dxa"/>
            <w:right w:w="15" w:type="dxa"/>
          </w:tblCellMar>
        </w:tblPrEx>
        <w:trPr>
          <w:trHeight w:val="399" w:hRule="atLeast"/>
          <w:jc w:val="center"/>
        </w:trPr>
        <w:tc>
          <w:tcPr>
            <w:tcW w:w="3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w:t>
            </w: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left"/>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淮河淮南开发利用区</w:t>
            </w:r>
          </w:p>
        </w:tc>
        <w:tc>
          <w:tcPr>
            <w:tcW w:w="17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left"/>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淮河凤台饮用水源区</w:t>
            </w:r>
          </w:p>
        </w:tc>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w:t>
            </w:r>
          </w:p>
        </w:tc>
        <w:tc>
          <w:tcPr>
            <w:tcW w:w="120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凤台县东风湖退水闸</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凤台凤台菱角湖排灌站上</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w:t>
            </w:r>
          </w:p>
        </w:tc>
      </w:tr>
      <w:tr>
        <w:tblPrEx>
          <w:tblCellMar>
            <w:top w:w="15" w:type="dxa"/>
            <w:left w:w="15" w:type="dxa"/>
            <w:bottom w:w="15" w:type="dxa"/>
            <w:right w:w="15" w:type="dxa"/>
          </w:tblCellMar>
        </w:tblPrEx>
        <w:trPr>
          <w:trHeight w:val="399" w:hRule="atLeast"/>
          <w:jc w:val="center"/>
        </w:trPr>
        <w:tc>
          <w:tcPr>
            <w:tcW w:w="3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w:t>
            </w: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left"/>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淮河淮南开发利用区</w:t>
            </w:r>
          </w:p>
        </w:tc>
        <w:tc>
          <w:tcPr>
            <w:tcW w:w="17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left"/>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淮河淮南饮用水源区</w:t>
            </w:r>
          </w:p>
        </w:tc>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八公山、田家庵、谢家集</w:t>
            </w:r>
          </w:p>
        </w:tc>
        <w:tc>
          <w:tcPr>
            <w:tcW w:w="120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凤台大桥下1km</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平圩大桥</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27.2</w:t>
            </w:r>
          </w:p>
        </w:tc>
      </w:tr>
      <w:tr>
        <w:tblPrEx>
          <w:tblCellMar>
            <w:top w:w="15" w:type="dxa"/>
            <w:left w:w="15" w:type="dxa"/>
            <w:bottom w:w="15" w:type="dxa"/>
            <w:right w:w="15" w:type="dxa"/>
          </w:tblCellMar>
        </w:tblPrEx>
        <w:trPr>
          <w:trHeight w:val="399" w:hRule="atLeast"/>
          <w:jc w:val="center"/>
        </w:trPr>
        <w:tc>
          <w:tcPr>
            <w:tcW w:w="3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w:t>
            </w: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left"/>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东淝河淮南调水水源保护区</w:t>
            </w:r>
          </w:p>
        </w:tc>
        <w:tc>
          <w:tcPr>
            <w:tcW w:w="170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40" w:lineRule="atLeast"/>
              <w:jc w:val="left"/>
              <w:rPr>
                <w:rFonts w:hint="default" w:ascii="Times New Roman" w:hAnsi="Times New Roman" w:eastAsia="方正仿宋_GBK" w:cs="Times New Roman"/>
                <w:szCs w:val="21"/>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东淝河</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谢家集</w:t>
            </w:r>
          </w:p>
        </w:tc>
        <w:tc>
          <w:tcPr>
            <w:tcW w:w="120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瓦埠湖东淝河口</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东淝河八公山寿县交界处</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3.2</w:t>
            </w:r>
          </w:p>
        </w:tc>
      </w:tr>
      <w:tr>
        <w:tblPrEx>
          <w:tblCellMar>
            <w:top w:w="15" w:type="dxa"/>
            <w:left w:w="15" w:type="dxa"/>
            <w:bottom w:w="15" w:type="dxa"/>
            <w:right w:w="15" w:type="dxa"/>
          </w:tblCellMar>
        </w:tblPrEx>
        <w:trPr>
          <w:trHeight w:val="399" w:hRule="atLeast"/>
          <w:jc w:val="center"/>
        </w:trPr>
        <w:tc>
          <w:tcPr>
            <w:tcW w:w="3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w:t>
            </w: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left"/>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瓦埠湖谢家集调水水源保护区</w:t>
            </w:r>
          </w:p>
        </w:tc>
        <w:tc>
          <w:tcPr>
            <w:tcW w:w="1709" w:type="dxa"/>
            <w:tcBorders>
              <w:top w:val="single" w:color="000000" w:sz="4" w:space="0"/>
              <w:left w:val="single" w:color="000000" w:sz="4" w:space="0"/>
              <w:bottom w:val="single" w:color="000000" w:sz="4" w:space="0"/>
              <w:right w:val="single" w:color="000000" w:sz="4" w:space="0"/>
            </w:tcBorders>
            <w:noWrap w:val="0"/>
            <w:vAlign w:val="bottom"/>
          </w:tcPr>
          <w:p>
            <w:pPr>
              <w:adjustRightInd w:val="0"/>
              <w:snapToGrid w:val="0"/>
              <w:spacing w:line="240" w:lineRule="atLeast"/>
              <w:jc w:val="left"/>
              <w:rPr>
                <w:rFonts w:hint="default" w:ascii="Times New Roman" w:hAnsi="Times New Roman" w:eastAsia="方正仿宋_GBK" w:cs="Times New Roman"/>
                <w:szCs w:val="21"/>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瓦埠湖</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谢家集区</w:t>
            </w:r>
          </w:p>
        </w:tc>
        <w:tc>
          <w:tcPr>
            <w:tcW w:w="267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湖区</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80</w:t>
            </w:r>
          </w:p>
        </w:tc>
      </w:tr>
      <w:tr>
        <w:tblPrEx>
          <w:tblCellMar>
            <w:top w:w="15" w:type="dxa"/>
            <w:left w:w="15" w:type="dxa"/>
            <w:bottom w:w="15" w:type="dxa"/>
            <w:right w:w="15" w:type="dxa"/>
          </w:tblCellMar>
        </w:tblPrEx>
        <w:trPr>
          <w:trHeight w:val="399" w:hRule="atLeast"/>
          <w:jc w:val="center"/>
        </w:trPr>
        <w:tc>
          <w:tcPr>
            <w:tcW w:w="3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5</w:t>
            </w: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left"/>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凤台陈油坊(沉陷区)保留区</w:t>
            </w:r>
          </w:p>
        </w:tc>
        <w:tc>
          <w:tcPr>
            <w:tcW w:w="1709" w:type="dxa"/>
            <w:tcBorders>
              <w:top w:val="single" w:color="000000" w:sz="4" w:space="0"/>
              <w:left w:val="single" w:color="000000" w:sz="4" w:space="0"/>
              <w:bottom w:val="single" w:color="000000" w:sz="4" w:space="0"/>
              <w:right w:val="single" w:color="000000" w:sz="4" w:space="0"/>
            </w:tcBorders>
            <w:noWrap w:val="0"/>
            <w:vAlign w:val="bottom"/>
          </w:tcPr>
          <w:p>
            <w:pPr>
              <w:adjustRightInd w:val="0"/>
              <w:snapToGrid w:val="0"/>
              <w:spacing w:line="240" w:lineRule="atLeast"/>
              <w:jc w:val="left"/>
              <w:rPr>
                <w:rFonts w:hint="default" w:ascii="Times New Roman" w:hAnsi="Times New Roman" w:eastAsia="方正仿宋_GBK" w:cs="Times New Roman"/>
                <w:szCs w:val="21"/>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塌陷区</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w:t>
            </w:r>
          </w:p>
        </w:tc>
        <w:tc>
          <w:tcPr>
            <w:tcW w:w="267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新集镇陈油坊塌陷区</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4.36</w:t>
            </w:r>
          </w:p>
        </w:tc>
      </w:tr>
      <w:tr>
        <w:tblPrEx>
          <w:tblCellMar>
            <w:top w:w="15" w:type="dxa"/>
            <w:left w:w="15" w:type="dxa"/>
            <w:bottom w:w="15" w:type="dxa"/>
            <w:right w:w="15" w:type="dxa"/>
          </w:tblCellMar>
        </w:tblPrEx>
        <w:trPr>
          <w:trHeight w:val="399" w:hRule="atLeast"/>
          <w:jc w:val="center"/>
        </w:trPr>
        <w:tc>
          <w:tcPr>
            <w:tcW w:w="3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6</w:t>
            </w: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left"/>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凤台岳张集(沉陷区)保留区</w:t>
            </w:r>
          </w:p>
        </w:tc>
        <w:tc>
          <w:tcPr>
            <w:tcW w:w="1709" w:type="dxa"/>
            <w:tcBorders>
              <w:top w:val="single" w:color="000000" w:sz="4" w:space="0"/>
              <w:left w:val="single" w:color="000000" w:sz="4" w:space="0"/>
              <w:bottom w:val="single" w:color="000000" w:sz="4" w:space="0"/>
              <w:right w:val="single" w:color="000000" w:sz="4" w:space="0"/>
            </w:tcBorders>
            <w:noWrap w:val="0"/>
            <w:vAlign w:val="bottom"/>
          </w:tcPr>
          <w:p>
            <w:pPr>
              <w:adjustRightInd w:val="0"/>
              <w:snapToGrid w:val="0"/>
              <w:spacing w:line="240" w:lineRule="atLeast"/>
              <w:jc w:val="left"/>
              <w:rPr>
                <w:rFonts w:hint="default" w:ascii="Times New Roman" w:hAnsi="Times New Roman" w:eastAsia="方正仿宋_GBK" w:cs="Times New Roman"/>
                <w:szCs w:val="21"/>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塌陷区</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w:t>
            </w:r>
          </w:p>
        </w:tc>
        <w:tc>
          <w:tcPr>
            <w:tcW w:w="267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岳张集塌陷区</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20.04</w:t>
            </w:r>
          </w:p>
        </w:tc>
      </w:tr>
      <w:tr>
        <w:tblPrEx>
          <w:tblCellMar>
            <w:top w:w="15" w:type="dxa"/>
            <w:left w:w="15" w:type="dxa"/>
            <w:bottom w:w="15" w:type="dxa"/>
            <w:right w:w="15" w:type="dxa"/>
          </w:tblCellMar>
        </w:tblPrEx>
        <w:trPr>
          <w:trHeight w:val="399" w:hRule="atLeast"/>
          <w:jc w:val="center"/>
        </w:trPr>
        <w:tc>
          <w:tcPr>
            <w:tcW w:w="3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7</w:t>
            </w: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left"/>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凤台顾桥镇(小叶庄、东朱、八里张家沉陷区)保留区</w:t>
            </w:r>
          </w:p>
        </w:tc>
        <w:tc>
          <w:tcPr>
            <w:tcW w:w="1709" w:type="dxa"/>
            <w:tcBorders>
              <w:top w:val="single" w:color="000000" w:sz="4" w:space="0"/>
              <w:left w:val="single" w:color="000000" w:sz="4" w:space="0"/>
              <w:bottom w:val="single" w:color="000000" w:sz="4" w:space="0"/>
              <w:right w:val="single" w:color="000000" w:sz="4" w:space="0"/>
            </w:tcBorders>
            <w:noWrap w:val="0"/>
            <w:vAlign w:val="bottom"/>
          </w:tcPr>
          <w:p>
            <w:pPr>
              <w:adjustRightInd w:val="0"/>
              <w:snapToGrid w:val="0"/>
              <w:spacing w:line="240" w:lineRule="atLeast"/>
              <w:jc w:val="left"/>
              <w:rPr>
                <w:rFonts w:hint="default" w:ascii="Times New Roman" w:hAnsi="Times New Roman" w:eastAsia="方正仿宋_GBK" w:cs="Times New Roman"/>
                <w:szCs w:val="21"/>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塌陷区</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凤台县</w:t>
            </w:r>
          </w:p>
        </w:tc>
        <w:tc>
          <w:tcPr>
            <w:tcW w:w="267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小叶庄、东朱、八里张家塌陷区</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15.05</w:t>
            </w:r>
          </w:p>
        </w:tc>
      </w:tr>
      <w:tr>
        <w:tblPrEx>
          <w:tblCellMar>
            <w:top w:w="15" w:type="dxa"/>
            <w:left w:w="15" w:type="dxa"/>
            <w:bottom w:w="15" w:type="dxa"/>
            <w:right w:w="15" w:type="dxa"/>
          </w:tblCellMar>
        </w:tblPrEx>
        <w:trPr>
          <w:trHeight w:val="399" w:hRule="atLeast"/>
          <w:jc w:val="center"/>
        </w:trPr>
        <w:tc>
          <w:tcPr>
            <w:tcW w:w="3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w:t>
            </w: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left"/>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潘集(沉陷区)保留区</w:t>
            </w:r>
          </w:p>
        </w:tc>
        <w:tc>
          <w:tcPr>
            <w:tcW w:w="1709" w:type="dxa"/>
            <w:tcBorders>
              <w:top w:val="single" w:color="000000" w:sz="4" w:space="0"/>
              <w:left w:val="single" w:color="000000" w:sz="4" w:space="0"/>
              <w:bottom w:val="single" w:color="000000" w:sz="4" w:space="0"/>
              <w:right w:val="single" w:color="000000" w:sz="4" w:space="0"/>
            </w:tcBorders>
            <w:noWrap w:val="0"/>
            <w:vAlign w:val="bottom"/>
          </w:tcPr>
          <w:p>
            <w:pPr>
              <w:adjustRightInd w:val="0"/>
              <w:snapToGrid w:val="0"/>
              <w:spacing w:line="240" w:lineRule="atLeast"/>
              <w:jc w:val="left"/>
              <w:rPr>
                <w:rFonts w:hint="default" w:ascii="Times New Roman" w:hAnsi="Times New Roman" w:eastAsia="方正仿宋_GBK" w:cs="Times New Roman"/>
                <w:szCs w:val="21"/>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塌陷区</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潘集区</w:t>
            </w:r>
          </w:p>
        </w:tc>
        <w:tc>
          <w:tcPr>
            <w:tcW w:w="267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潘集塌陷区</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26.95</w:t>
            </w:r>
          </w:p>
        </w:tc>
      </w:tr>
      <w:tr>
        <w:tblPrEx>
          <w:tblCellMar>
            <w:top w:w="15" w:type="dxa"/>
            <w:left w:w="15" w:type="dxa"/>
            <w:bottom w:w="15" w:type="dxa"/>
            <w:right w:w="15" w:type="dxa"/>
          </w:tblCellMar>
        </w:tblPrEx>
        <w:trPr>
          <w:trHeight w:val="399" w:hRule="atLeast"/>
          <w:jc w:val="center"/>
        </w:trPr>
        <w:tc>
          <w:tcPr>
            <w:tcW w:w="3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9</w:t>
            </w: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left"/>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淮南刘岗塘—老鳖塘(沉陷区)保留区</w:t>
            </w:r>
          </w:p>
        </w:tc>
        <w:tc>
          <w:tcPr>
            <w:tcW w:w="1709" w:type="dxa"/>
            <w:tcBorders>
              <w:top w:val="single" w:color="000000" w:sz="4" w:space="0"/>
              <w:left w:val="single" w:color="000000" w:sz="4" w:space="0"/>
              <w:bottom w:val="single" w:color="000000" w:sz="4" w:space="0"/>
              <w:right w:val="single" w:color="000000" w:sz="4" w:space="0"/>
            </w:tcBorders>
            <w:noWrap w:val="0"/>
            <w:vAlign w:val="bottom"/>
          </w:tcPr>
          <w:p>
            <w:pPr>
              <w:adjustRightInd w:val="0"/>
              <w:snapToGrid w:val="0"/>
              <w:spacing w:line="240" w:lineRule="atLeast"/>
              <w:jc w:val="left"/>
              <w:rPr>
                <w:rFonts w:hint="default" w:ascii="Times New Roman" w:hAnsi="Times New Roman" w:eastAsia="方正仿宋_GBK" w:cs="Times New Roman"/>
                <w:szCs w:val="21"/>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塌陷区</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谢家集</w:t>
            </w:r>
          </w:p>
        </w:tc>
        <w:tc>
          <w:tcPr>
            <w:tcW w:w="267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刘岗塘—老鳖塘</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4.51</w:t>
            </w:r>
          </w:p>
        </w:tc>
      </w:tr>
      <w:tr>
        <w:tblPrEx>
          <w:tblCellMar>
            <w:top w:w="15" w:type="dxa"/>
            <w:left w:w="15" w:type="dxa"/>
            <w:bottom w:w="15" w:type="dxa"/>
            <w:right w:w="15" w:type="dxa"/>
          </w:tblCellMar>
        </w:tblPrEx>
        <w:trPr>
          <w:trHeight w:val="399" w:hRule="atLeast"/>
          <w:jc w:val="center"/>
        </w:trPr>
        <w:tc>
          <w:tcPr>
            <w:tcW w:w="3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10</w:t>
            </w: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left"/>
              <w:textAlignment w:val="center"/>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东淝河（上段）</w:t>
            </w:r>
          </w:p>
          <w:p>
            <w:pPr>
              <w:widowControl/>
              <w:adjustRightInd w:val="0"/>
              <w:snapToGrid w:val="0"/>
              <w:spacing w:line="240" w:lineRule="atLeast"/>
              <w:jc w:val="left"/>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寿县调水水源保护区</w:t>
            </w:r>
          </w:p>
        </w:tc>
        <w:tc>
          <w:tcPr>
            <w:tcW w:w="170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东淝河</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267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黄楼村南部唐老圩</w:t>
            </w:r>
          </w:p>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安丰镇白洋淀</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44</w:t>
            </w:r>
          </w:p>
        </w:tc>
      </w:tr>
      <w:tr>
        <w:tblPrEx>
          <w:tblCellMar>
            <w:top w:w="15" w:type="dxa"/>
            <w:left w:w="15" w:type="dxa"/>
            <w:bottom w:w="15" w:type="dxa"/>
            <w:right w:w="15" w:type="dxa"/>
          </w:tblCellMar>
        </w:tblPrEx>
        <w:trPr>
          <w:trHeight w:val="573" w:hRule="atLeast"/>
          <w:jc w:val="center"/>
        </w:trPr>
        <w:tc>
          <w:tcPr>
            <w:tcW w:w="3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w:t>
            </w: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left"/>
              <w:textAlignment w:val="center"/>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瓦埠湖东淝河</w:t>
            </w:r>
          </w:p>
          <w:p>
            <w:pPr>
              <w:widowControl/>
              <w:adjustRightInd w:val="0"/>
              <w:snapToGrid w:val="0"/>
              <w:spacing w:line="240" w:lineRule="atLeast"/>
              <w:jc w:val="left"/>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（下段）寿县调水水源保护区</w:t>
            </w:r>
          </w:p>
        </w:tc>
        <w:tc>
          <w:tcPr>
            <w:tcW w:w="170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40" w:lineRule="atLeast"/>
              <w:jc w:val="center"/>
              <w:rPr>
                <w:rFonts w:hint="default" w:ascii="Times New Roman" w:hAnsi="Times New Roman" w:eastAsia="方正仿宋_GBK" w:cs="Times New Roman"/>
                <w:szCs w:val="21"/>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瓦埠湖</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寿县</w:t>
            </w:r>
          </w:p>
        </w:tc>
        <w:tc>
          <w:tcPr>
            <w:tcW w:w="267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湖区</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118</w:t>
            </w:r>
          </w:p>
        </w:tc>
      </w:tr>
      <w:tr>
        <w:tblPrEx>
          <w:tblCellMar>
            <w:top w:w="15" w:type="dxa"/>
            <w:left w:w="15" w:type="dxa"/>
            <w:bottom w:w="15" w:type="dxa"/>
            <w:right w:w="15" w:type="dxa"/>
          </w:tblCellMar>
        </w:tblPrEx>
        <w:trPr>
          <w:trHeight w:val="399" w:hRule="atLeast"/>
          <w:jc w:val="center"/>
        </w:trPr>
        <w:tc>
          <w:tcPr>
            <w:tcW w:w="3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w:t>
            </w: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left"/>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淮河淮南开发利用区</w:t>
            </w:r>
          </w:p>
        </w:tc>
        <w:tc>
          <w:tcPr>
            <w:tcW w:w="17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淮河（右河道）凤台八公山过渡区</w:t>
            </w:r>
          </w:p>
        </w:tc>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凤台、八公山</w:t>
            </w:r>
          </w:p>
        </w:tc>
        <w:tc>
          <w:tcPr>
            <w:tcW w:w="267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凤台大桥下1km</w:t>
            </w:r>
          </w:p>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淮南市李咀孜上1km</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12.3</w:t>
            </w:r>
          </w:p>
        </w:tc>
      </w:tr>
      <w:tr>
        <w:tblPrEx>
          <w:tblCellMar>
            <w:top w:w="15" w:type="dxa"/>
            <w:left w:w="15" w:type="dxa"/>
            <w:bottom w:w="15" w:type="dxa"/>
            <w:right w:w="15" w:type="dxa"/>
          </w:tblCellMar>
        </w:tblPrEx>
        <w:trPr>
          <w:trHeight w:val="399" w:hRule="atLeast"/>
          <w:jc w:val="center"/>
        </w:trPr>
        <w:tc>
          <w:tcPr>
            <w:tcW w:w="3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13</w:t>
            </w: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left"/>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淮河淮南开发利用区</w:t>
            </w:r>
          </w:p>
        </w:tc>
        <w:tc>
          <w:tcPr>
            <w:tcW w:w="17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淮河淮南过渡区</w:t>
            </w:r>
          </w:p>
        </w:tc>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淮河</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大通区</w:t>
            </w:r>
          </w:p>
        </w:tc>
        <w:tc>
          <w:tcPr>
            <w:tcW w:w="267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kern w:val="0"/>
                <w:szCs w:val="21"/>
                <w:lang w:eastAsia="zh-CN" w:bidi="ar"/>
              </w:rPr>
            </w:pPr>
            <w:r>
              <w:rPr>
                <w:rFonts w:hint="default" w:ascii="Times New Roman" w:hAnsi="Times New Roman" w:eastAsia="方正仿宋_GBK" w:cs="Times New Roman"/>
                <w:kern w:val="0"/>
                <w:szCs w:val="21"/>
                <w:lang w:bidi="ar"/>
              </w:rPr>
              <w:t>大通王咀电灌站</w:t>
            </w:r>
          </w:p>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幸福堤</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4.8</w:t>
            </w:r>
          </w:p>
        </w:tc>
      </w:tr>
      <w:tr>
        <w:tblPrEx>
          <w:tblCellMar>
            <w:top w:w="15" w:type="dxa"/>
            <w:left w:w="15" w:type="dxa"/>
            <w:bottom w:w="15" w:type="dxa"/>
            <w:right w:w="15" w:type="dxa"/>
          </w:tblCellMar>
        </w:tblPrEx>
        <w:trPr>
          <w:trHeight w:val="225" w:hRule="atLeast"/>
          <w:jc w:val="center"/>
        </w:trPr>
        <w:tc>
          <w:tcPr>
            <w:tcW w:w="3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14</w:t>
            </w: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left"/>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济河凤台开发利用区</w:t>
            </w:r>
          </w:p>
        </w:tc>
        <w:tc>
          <w:tcPr>
            <w:tcW w:w="17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济河凤台过渡区</w:t>
            </w:r>
          </w:p>
        </w:tc>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济河</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凤台</w:t>
            </w:r>
          </w:p>
        </w:tc>
        <w:tc>
          <w:tcPr>
            <w:tcW w:w="267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牌坊村-济河入西淝河口</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4.2</w:t>
            </w:r>
          </w:p>
        </w:tc>
      </w:tr>
      <w:tr>
        <w:tblPrEx>
          <w:tblCellMar>
            <w:top w:w="15" w:type="dxa"/>
            <w:left w:w="15" w:type="dxa"/>
            <w:bottom w:w="15" w:type="dxa"/>
            <w:right w:w="15" w:type="dxa"/>
          </w:tblCellMar>
        </w:tblPrEx>
        <w:trPr>
          <w:trHeight w:val="585" w:hRule="atLeast"/>
          <w:jc w:val="center"/>
        </w:trPr>
        <w:tc>
          <w:tcPr>
            <w:tcW w:w="34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15</w:t>
            </w: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left"/>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十涧湖淮南开发利用区</w:t>
            </w:r>
          </w:p>
        </w:tc>
        <w:tc>
          <w:tcPr>
            <w:tcW w:w="17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十涧湖谢家集田家庵景观娱乐用水区</w:t>
            </w:r>
          </w:p>
        </w:tc>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十涧湖</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谢家集、田家庵</w:t>
            </w:r>
          </w:p>
        </w:tc>
        <w:tc>
          <w:tcPr>
            <w:tcW w:w="267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湖区</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240" w:lineRule="atLeast"/>
              <w:jc w:val="center"/>
              <w:textAlignment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bidi="ar"/>
              </w:rPr>
              <w:t>8.25</w:t>
            </w:r>
          </w:p>
        </w:tc>
      </w:tr>
    </w:tbl>
    <w:p>
      <w:pPr>
        <w:keepNext w:val="0"/>
        <w:keepLines w:val="0"/>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此外，原则上禁止在境内178座水库周边新设置入河排污口，现状污染物入河量已经严重超出该水域污染物入河控制量的水域要加强污水处理，达标排放。</w:t>
      </w:r>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（2）控制设置排污口水域</w:t>
      </w:r>
    </w:p>
    <w:p>
      <w:pPr>
        <w:keepNext w:val="0"/>
        <w:keepLines w:val="0"/>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控制设置入河排污口水域主要为已划定的开发利用区中除饮用水源区以外的二级功能区。设置入河排污口前，应当提交：①入河排污口设置申请书；②建设项目依据文件；③入河排污口设置论证报告； ④其他应当提交的有关文件。新设置的入河排污口污染物排放标准需严格按照《城镇污水处理厂污染物排放标准》（GB18918-2002）一级A标准施行。根据核定的水域入河控制量的大小，确定其排污规模。</w:t>
      </w:r>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（3）现状条件下入河排污口需要整治的水域</w:t>
      </w:r>
    </w:p>
    <w:p>
      <w:pPr>
        <w:keepNext w:val="0"/>
        <w:keepLines w:val="0"/>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重要水域污染物现状入河量、水域纳污能力及污染物入河控制量，全市7个水功能区上的入河排污口需要进行整治，具体位置见附图8。其中排入饮用水水源区的10个入河排污口需进行污水达标处理后排放，（10个排污口分别是：六台泵、李咀子上、李咀子下、石头埠、八公山污水处理厂、平圩电厂、黄沟涵、谢沟涵、方沟涵、祁集站涵）。</w:t>
      </w:r>
    </w:p>
    <w:p>
      <w:pPr>
        <w:pStyle w:val="5"/>
        <w:keepNext w:val="0"/>
        <w:keepLines w:val="0"/>
        <w:pageBreakBefore w:val="0"/>
        <w:widowControl w:val="0"/>
        <w:kinsoku/>
        <w:wordWrap/>
        <w:overflowPunct/>
        <w:autoSpaceDE/>
        <w:autoSpaceDN/>
        <w:bidi w:val="0"/>
        <w:spacing w:line="590" w:lineRule="exact"/>
        <w:ind w:firstLine="568"/>
        <w:jc w:val="center"/>
        <w:rPr>
          <w:rFonts w:hint="default" w:ascii="Times New Roman" w:hAnsi="Times New Roman" w:eastAsia="方正黑体_GBK" w:cs="Times New Roman"/>
          <w:b w:val="0"/>
          <w:bCs/>
          <w:sz w:val="32"/>
          <w:szCs w:val="32"/>
        </w:rPr>
      </w:pPr>
      <w:bookmarkStart w:id="253" w:name="_Toc312309935"/>
      <w:bookmarkStart w:id="254" w:name="_Toc84"/>
    </w:p>
    <w:p>
      <w:pPr>
        <w:pStyle w:val="5"/>
        <w:keepNext w:val="0"/>
        <w:keepLines w:val="0"/>
        <w:pageBreakBefore w:val="0"/>
        <w:widowControl w:val="0"/>
        <w:kinsoku/>
        <w:wordWrap/>
        <w:overflowPunct/>
        <w:autoSpaceDE/>
        <w:autoSpaceDN/>
        <w:bidi w:val="0"/>
        <w:spacing w:line="590" w:lineRule="exact"/>
        <w:ind w:firstLine="568"/>
        <w:jc w:val="center"/>
        <w:rPr>
          <w:rFonts w:hint="default" w:ascii="Times New Roman" w:hAnsi="Times New Roman" w:eastAsia="方正黑体_GBK" w:cs="Times New Roman"/>
          <w:b w:val="0"/>
          <w:bCs/>
          <w:sz w:val="32"/>
          <w:szCs w:val="32"/>
        </w:rPr>
      </w:pPr>
      <w:r>
        <w:rPr>
          <w:rFonts w:hint="default" w:ascii="Times New Roman" w:hAnsi="Times New Roman" w:eastAsia="方正黑体_GBK" w:cs="Times New Roman"/>
          <w:b w:val="0"/>
          <w:bCs/>
          <w:sz w:val="32"/>
          <w:szCs w:val="32"/>
        </w:rPr>
        <w:t>第</w:t>
      </w:r>
      <w:r>
        <w:rPr>
          <w:rFonts w:hint="default" w:ascii="Times New Roman" w:hAnsi="Times New Roman" w:eastAsia="方正黑体_GBK" w:cs="Times New Roman"/>
          <w:b w:val="0"/>
          <w:bCs/>
          <w:sz w:val="32"/>
          <w:szCs w:val="32"/>
          <w:lang w:eastAsia="zh-CN"/>
        </w:rPr>
        <w:t>五</w:t>
      </w:r>
      <w:r>
        <w:rPr>
          <w:rFonts w:hint="default" w:ascii="Times New Roman" w:hAnsi="Times New Roman" w:eastAsia="方正黑体_GBK" w:cs="Times New Roman"/>
          <w:b w:val="0"/>
          <w:bCs/>
          <w:sz w:val="32"/>
          <w:szCs w:val="32"/>
        </w:rPr>
        <w:t>节  河湖生态需水</w:t>
      </w:r>
      <w:bookmarkEnd w:id="253"/>
      <w:bookmarkEnd w:id="254"/>
    </w:p>
    <w:p>
      <w:pPr>
        <w:pStyle w:val="5"/>
        <w:keepNext w:val="0"/>
        <w:keepLines w:val="0"/>
        <w:pageBreakBefore w:val="0"/>
        <w:widowControl w:val="0"/>
        <w:kinsoku/>
        <w:wordWrap/>
        <w:overflowPunct/>
        <w:autoSpaceDE/>
        <w:autoSpaceDN/>
        <w:bidi w:val="0"/>
        <w:spacing w:line="590" w:lineRule="exact"/>
        <w:ind w:firstLine="568"/>
        <w:rPr>
          <w:rFonts w:hint="eastAsia" w:ascii="方正楷体_GBK" w:hAnsi="方正楷体_GBK" w:eastAsia="方正楷体_GBK" w:cs="方正楷体_GBK"/>
          <w:b w:val="0"/>
          <w:bCs/>
          <w:sz w:val="32"/>
          <w:szCs w:val="32"/>
        </w:rPr>
      </w:pPr>
      <w:bookmarkStart w:id="255" w:name="_Toc312309936"/>
      <w:bookmarkStart w:id="256" w:name="_Toc7425"/>
      <w:r>
        <w:rPr>
          <w:rFonts w:hint="eastAsia" w:ascii="方正楷体_GBK" w:hAnsi="方正楷体_GBK" w:eastAsia="方正楷体_GBK" w:cs="方正楷体_GBK"/>
          <w:b w:val="0"/>
          <w:bCs/>
          <w:sz w:val="32"/>
          <w:szCs w:val="32"/>
        </w:rPr>
        <w:t>一、确定河湖生态需水的必要性</w:t>
      </w:r>
      <w:bookmarkEnd w:id="255"/>
      <w:bookmarkEnd w:id="256"/>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bookmarkStart w:id="257" w:name="_Toc293556859"/>
      <w:bookmarkStart w:id="258" w:name="_Toc312309937"/>
      <w:r>
        <w:rPr>
          <w:rFonts w:hint="default" w:ascii="Times New Roman" w:hAnsi="Times New Roman" w:eastAsia="方正仿宋_GBK" w:cs="Times New Roman"/>
          <w:sz w:val="32"/>
          <w:szCs w:val="32"/>
        </w:rPr>
        <w:t>保障河流生态环境需水是保护河流生态环境的关键。河流生态基流不但与河流生态系统中生物群体结构有关，而且还与区域气候、土壤、地质和其他环境条件有关。保证河流生态基流是遏制河道断流等造成的生态环境恶化、逐步恢复流域生态系统健康和服务功能的基础，是维护河流生态系统的可持续性必须保留在河道中的基本流量。</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生态环境需水的控制要素主要包括生态基流、生态环境需水量、河流生态环境下泄水量三个方面。河流控制节点的生态环境需水，基本上反映了河流水系生态环境需水的总体情况。</w:t>
      </w:r>
    </w:p>
    <w:p>
      <w:pPr>
        <w:pStyle w:val="5"/>
        <w:keepNext w:val="0"/>
        <w:keepLines w:val="0"/>
        <w:pageBreakBefore w:val="0"/>
        <w:widowControl w:val="0"/>
        <w:kinsoku/>
        <w:wordWrap/>
        <w:overflowPunct/>
        <w:autoSpaceDE/>
        <w:autoSpaceDN/>
        <w:bidi w:val="0"/>
        <w:spacing w:line="590" w:lineRule="exact"/>
        <w:ind w:firstLine="568"/>
        <w:rPr>
          <w:rFonts w:hint="eastAsia" w:ascii="方正楷体_GBK" w:hAnsi="方正楷体_GBK" w:eastAsia="方正楷体_GBK" w:cs="方正楷体_GBK"/>
          <w:b w:val="0"/>
          <w:bCs/>
          <w:sz w:val="32"/>
          <w:szCs w:val="32"/>
        </w:rPr>
      </w:pPr>
      <w:bookmarkStart w:id="259" w:name="_Toc1907"/>
      <w:r>
        <w:rPr>
          <w:rFonts w:hint="eastAsia" w:ascii="方正楷体_GBK" w:hAnsi="方正楷体_GBK" w:eastAsia="方正楷体_GBK" w:cs="方正楷体_GBK"/>
          <w:b w:val="0"/>
          <w:bCs/>
          <w:sz w:val="32"/>
          <w:szCs w:val="32"/>
        </w:rPr>
        <w:t>二、河流、湖库生态环境需水的确定原则</w:t>
      </w:r>
      <w:bookmarkEnd w:id="257"/>
      <w:bookmarkEnd w:id="258"/>
      <w:bookmarkEnd w:id="259"/>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bookmarkStart w:id="260" w:name="_Toc293556860"/>
      <w:r>
        <w:rPr>
          <w:rFonts w:hint="default" w:ascii="Times New Roman" w:hAnsi="Times New Roman" w:eastAsia="方正仿宋_GBK" w:cs="Times New Roman"/>
          <w:sz w:val="32"/>
          <w:szCs w:val="32"/>
        </w:rPr>
        <w:t>生态需水确定的原则</w:t>
      </w:r>
      <w:bookmarkEnd w:id="260"/>
      <w:r>
        <w:rPr>
          <w:rFonts w:hint="default" w:ascii="Times New Roman" w:hAnsi="Times New Roman" w:eastAsia="方正仿宋_GBK" w:cs="Times New Roman"/>
          <w:sz w:val="32"/>
          <w:szCs w:val="32"/>
        </w:rPr>
        <w:t>：控制节点的生态环境需水量遵循“生态基流、生态环境需水量、河流生态环境下泄水量三者兼顾”的原则合理配置。</w:t>
      </w:r>
    </w:p>
    <w:p>
      <w:pPr>
        <w:pStyle w:val="5"/>
        <w:keepNext w:val="0"/>
        <w:keepLines w:val="0"/>
        <w:pageBreakBefore w:val="0"/>
        <w:widowControl w:val="0"/>
        <w:kinsoku/>
        <w:wordWrap/>
        <w:overflowPunct/>
        <w:autoSpaceDE/>
        <w:autoSpaceDN/>
        <w:bidi w:val="0"/>
        <w:spacing w:line="590" w:lineRule="exact"/>
        <w:ind w:firstLine="568"/>
        <w:rPr>
          <w:rFonts w:hint="eastAsia" w:ascii="方正楷体_GBK" w:hAnsi="方正楷体_GBK" w:eastAsia="方正楷体_GBK" w:cs="方正楷体_GBK"/>
          <w:b w:val="0"/>
          <w:bCs/>
          <w:sz w:val="32"/>
          <w:szCs w:val="32"/>
        </w:rPr>
      </w:pPr>
      <w:bookmarkStart w:id="261" w:name="_Toc26557"/>
      <w:bookmarkStart w:id="262" w:name="_Toc293556861"/>
      <w:bookmarkStart w:id="263" w:name="_Toc312309938"/>
      <w:r>
        <w:rPr>
          <w:rFonts w:hint="eastAsia" w:ascii="方正楷体_GBK" w:hAnsi="方正楷体_GBK" w:eastAsia="方正楷体_GBK" w:cs="方正楷体_GBK"/>
          <w:b w:val="0"/>
          <w:bCs/>
          <w:sz w:val="32"/>
          <w:szCs w:val="32"/>
        </w:rPr>
        <w:t>三、生态需水确定的方法</w:t>
      </w:r>
      <w:bookmarkEnd w:id="261"/>
      <w:bookmarkEnd w:id="262"/>
      <w:bookmarkEnd w:id="263"/>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（1）河道基流量</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河道基流量是指维持河床基本形态，保障河道输水能力，防止河道断流、保持水体一定的自净能力的最小流量，是维系河流的最基本环境功能不受破坏，必须在河道中常年流动着的最小水量阈值。本次规划主要以境内河流90%保证率最枯月平均流量作为主要依据，兼顾河流最小生态环境需水量、冲沙输沙水量、水生生物保护水量需求。</w:t>
      </w:r>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bookmarkStart w:id="264" w:name="_Toc196538267"/>
      <w:bookmarkStart w:id="265" w:name="_Toc271245215"/>
      <w:r>
        <w:rPr>
          <w:rFonts w:hint="default" w:ascii="Times New Roman" w:hAnsi="Times New Roman" w:eastAsia="方正仿宋_GBK" w:cs="Times New Roman"/>
          <w:b/>
          <w:bCs w:val="0"/>
          <w:sz w:val="32"/>
          <w:szCs w:val="32"/>
        </w:rPr>
        <w:t>（2）湖泊（水库）生态环境需水量</w:t>
      </w:r>
      <w:bookmarkEnd w:id="264"/>
      <w:bookmarkEnd w:id="265"/>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湖泊生态环境需水一般为维持湖泊生态和环境功能所消耗的、需补充的水量。根据湖泊的功能确定满足其生态功能的最低水位，具有多种功能的进行综合分析确定。本次规划主要依靠长系列的水位资料，将湖泊的死水位和水文统计资料中的湖泊多年平均最低水位比较，选取较大值作为生态需水位。</w:t>
      </w:r>
    </w:p>
    <w:p>
      <w:pPr>
        <w:pStyle w:val="5"/>
        <w:keepNext w:val="0"/>
        <w:keepLines w:val="0"/>
        <w:pageBreakBefore w:val="0"/>
        <w:widowControl w:val="0"/>
        <w:kinsoku/>
        <w:wordWrap/>
        <w:overflowPunct/>
        <w:autoSpaceDE/>
        <w:autoSpaceDN/>
        <w:bidi w:val="0"/>
        <w:spacing w:line="590" w:lineRule="exact"/>
        <w:ind w:firstLine="568"/>
        <w:rPr>
          <w:rFonts w:hint="eastAsia" w:ascii="方正楷体_GBK" w:hAnsi="方正楷体_GBK" w:eastAsia="方正楷体_GBK" w:cs="方正楷体_GBK"/>
          <w:b w:val="0"/>
          <w:bCs/>
          <w:sz w:val="32"/>
          <w:szCs w:val="32"/>
        </w:rPr>
      </w:pPr>
      <w:bookmarkStart w:id="266" w:name="_Toc312309939"/>
      <w:bookmarkStart w:id="267" w:name="_Toc17512"/>
      <w:bookmarkStart w:id="268" w:name="_Toc293556862"/>
      <w:r>
        <w:rPr>
          <w:rFonts w:hint="eastAsia" w:ascii="方正楷体_GBK" w:hAnsi="方正楷体_GBK" w:eastAsia="方正楷体_GBK" w:cs="方正楷体_GBK"/>
          <w:b w:val="0"/>
          <w:bCs/>
          <w:sz w:val="32"/>
          <w:szCs w:val="32"/>
        </w:rPr>
        <w:t>四、主要河流、湖库生态需水</w:t>
      </w:r>
      <w:bookmarkEnd w:id="266"/>
      <w:bookmarkEnd w:id="267"/>
      <w:bookmarkEnd w:id="268"/>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根据淮南市境内的河湖分布的实际，本次规划重点拟定淮河干流、淠河、焦岗湖、瓦埠湖、高塘湖的生态水量。西淝河（下段）、泥河及采煤沉陷区等其他支流湖泊可参照执行。</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计算分析，淮河干流淮南段、茨淮新河、泥河、西淝河、淠河生态流量分别为76.5、6.83、1.43、4.80、6.45m³/s。控制节点生态基流占多年平均流量比例分别为11.8％、12.1%、11.6%、12.3%、11.9%。焦岗湖、瓦埠湖、高塘湖生态水位分别为：16.70m、16.20m、16.50m。</w:t>
      </w:r>
    </w:p>
    <w:p>
      <w:pPr>
        <w:adjustRightInd w:val="0"/>
        <w:snapToGrid w:val="0"/>
        <w:spacing w:before="159" w:beforeLines="50"/>
        <w:jc w:val="center"/>
        <w:rPr>
          <w:rFonts w:hint="eastAsia" w:ascii="方正仿宋_GBK" w:hAnsi="方正仿宋_GBK" w:eastAsia="方正仿宋_GBK" w:cs="方正仿宋_GBK"/>
          <w:b/>
          <w:bCs/>
          <w:sz w:val="32"/>
          <w:szCs w:val="32"/>
        </w:rPr>
      </w:pPr>
    </w:p>
    <w:p>
      <w:pPr>
        <w:adjustRightInd w:val="0"/>
        <w:snapToGrid w:val="0"/>
        <w:spacing w:before="159" w:beforeLines="50"/>
        <w:jc w:val="center"/>
        <w:rPr>
          <w:b/>
          <w:bCs/>
          <w:sz w:val="24"/>
        </w:rPr>
      </w:pPr>
    </w:p>
    <w:p>
      <w:pPr>
        <w:adjustRightInd w:val="0"/>
        <w:snapToGrid w:val="0"/>
        <w:spacing w:before="159" w:beforeLines="50"/>
        <w:jc w:val="center"/>
        <w:rPr>
          <w:b/>
          <w:bCs/>
          <w:sz w:val="24"/>
        </w:rPr>
      </w:pPr>
    </w:p>
    <w:p>
      <w:pPr>
        <w:adjustRightInd w:val="0"/>
        <w:snapToGrid w:val="0"/>
        <w:spacing w:before="159" w:beforeLines="50"/>
        <w:jc w:val="center"/>
        <w:rPr>
          <w:rFonts w:hint="eastAsia" w:ascii="方正黑体_GBK" w:hAnsi="方正黑体_GBK" w:eastAsia="方正黑体_GBK" w:cs="方正黑体_GBK"/>
          <w:sz w:val="24"/>
        </w:rPr>
      </w:pPr>
      <w:r>
        <w:rPr>
          <w:rFonts w:hint="eastAsia" w:ascii="方正黑体_GBK" w:hAnsi="方正黑体_GBK" w:eastAsia="方正黑体_GBK" w:cs="方正黑体_GBK"/>
          <w:b/>
          <w:bCs/>
          <w:sz w:val="24"/>
        </w:rPr>
        <w:t xml:space="preserve">表7.5-1 </w:t>
      </w:r>
      <w:r>
        <w:rPr>
          <w:rFonts w:hint="eastAsia" w:ascii="方正黑体_GBK" w:hAnsi="方正黑体_GBK" w:eastAsia="方正黑体_GBK" w:cs="方正黑体_GBK"/>
          <w:sz w:val="24"/>
        </w:rPr>
        <w:t xml:space="preserve">  淮河道断流（干涸）调查</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501"/>
        <w:gridCol w:w="1749"/>
        <w:gridCol w:w="1314"/>
        <w:gridCol w:w="93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1313" w:type="dxa"/>
            <w:noWrap w:val="0"/>
            <w:vAlign w:val="center"/>
          </w:tcPr>
          <w:p>
            <w:pPr>
              <w:widowControl/>
              <w:snapToGrid w:val="0"/>
              <w:ind w:left="-78" w:leftChars="-37" w:right="-136" w:rightChars="-65"/>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发生河道断流（干涸）的河流名称</w:t>
            </w:r>
          </w:p>
        </w:tc>
        <w:tc>
          <w:tcPr>
            <w:tcW w:w="1501" w:type="dxa"/>
            <w:noWrap w:val="0"/>
            <w:vAlign w:val="center"/>
          </w:tcPr>
          <w:p>
            <w:pPr>
              <w:widowControl/>
              <w:snapToGrid w:val="0"/>
              <w:ind w:left="-78" w:leftChars="-37" w:right="-136" w:rightChars="-65"/>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发生断流</w:t>
            </w:r>
          </w:p>
          <w:p>
            <w:pPr>
              <w:widowControl/>
              <w:snapToGrid w:val="0"/>
              <w:ind w:left="-78" w:leftChars="-37" w:right="-136" w:rightChars="-65"/>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（干涸）年份</w:t>
            </w:r>
          </w:p>
        </w:tc>
        <w:tc>
          <w:tcPr>
            <w:tcW w:w="1749" w:type="dxa"/>
            <w:noWrap w:val="0"/>
            <w:vAlign w:val="center"/>
          </w:tcPr>
          <w:p>
            <w:pPr>
              <w:widowControl/>
              <w:snapToGrid w:val="0"/>
              <w:ind w:left="-78" w:leftChars="-37" w:right="-136" w:rightChars="-65"/>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最长断流河段位置</w:t>
            </w:r>
          </w:p>
        </w:tc>
        <w:tc>
          <w:tcPr>
            <w:tcW w:w="1314" w:type="dxa"/>
            <w:noWrap w:val="0"/>
            <w:vAlign w:val="center"/>
          </w:tcPr>
          <w:p>
            <w:pPr>
              <w:widowControl/>
              <w:snapToGrid w:val="0"/>
              <w:ind w:left="-78" w:leftChars="-37" w:right="-136" w:rightChars="-65"/>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最长断流</w:t>
            </w:r>
          </w:p>
          <w:p>
            <w:pPr>
              <w:widowControl/>
              <w:snapToGrid w:val="0"/>
              <w:ind w:left="-78" w:leftChars="-37" w:right="-136" w:rightChars="-65"/>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河段长度</w:t>
            </w:r>
          </w:p>
          <w:p>
            <w:pPr>
              <w:widowControl/>
              <w:snapToGrid w:val="0"/>
              <w:ind w:left="-78" w:leftChars="-37" w:right="-136" w:rightChars="-65"/>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（km）</w:t>
            </w:r>
          </w:p>
        </w:tc>
        <w:tc>
          <w:tcPr>
            <w:tcW w:w="937" w:type="dxa"/>
            <w:noWrap w:val="0"/>
            <w:vAlign w:val="center"/>
          </w:tcPr>
          <w:p>
            <w:pPr>
              <w:widowControl/>
              <w:snapToGrid w:val="0"/>
              <w:ind w:left="-78" w:leftChars="-37" w:right="-136" w:rightChars="-65"/>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断流发生次数</w:t>
            </w:r>
          </w:p>
          <w:p>
            <w:pPr>
              <w:widowControl/>
              <w:snapToGrid w:val="0"/>
              <w:ind w:left="-78" w:leftChars="-37" w:right="-136" w:rightChars="-65"/>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（次）</w:t>
            </w:r>
          </w:p>
        </w:tc>
        <w:tc>
          <w:tcPr>
            <w:tcW w:w="1126" w:type="dxa"/>
            <w:noWrap w:val="0"/>
            <w:vAlign w:val="center"/>
          </w:tcPr>
          <w:p>
            <w:pPr>
              <w:widowControl/>
              <w:snapToGrid w:val="0"/>
              <w:ind w:left="-78" w:leftChars="-37" w:right="-136" w:rightChars="-65"/>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年断流天数</w:t>
            </w:r>
          </w:p>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1313" w:type="dxa"/>
            <w:vMerge w:val="restart"/>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淮河</w:t>
            </w:r>
          </w:p>
        </w:tc>
        <w:tc>
          <w:tcPr>
            <w:tcW w:w="1501"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1979</w:t>
            </w:r>
          </w:p>
        </w:tc>
        <w:tc>
          <w:tcPr>
            <w:tcW w:w="1749"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凤台～蚌埠</w:t>
            </w:r>
          </w:p>
        </w:tc>
        <w:tc>
          <w:tcPr>
            <w:tcW w:w="1314"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85</w:t>
            </w:r>
          </w:p>
        </w:tc>
        <w:tc>
          <w:tcPr>
            <w:tcW w:w="937"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w:t>
            </w:r>
          </w:p>
        </w:tc>
        <w:tc>
          <w:tcPr>
            <w:tcW w:w="1126"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1313" w:type="dxa"/>
            <w:vMerge w:val="continue"/>
            <w:noWrap w:val="0"/>
            <w:vAlign w:val="center"/>
          </w:tcPr>
          <w:p>
            <w:pPr>
              <w:widowControl/>
              <w:snapToGrid w:val="0"/>
              <w:jc w:val="center"/>
              <w:rPr>
                <w:rFonts w:hint="default" w:ascii="Times New Roman" w:hAnsi="Times New Roman" w:eastAsia="方正仿宋_GBK" w:cs="Times New Roman"/>
                <w:kern w:val="0"/>
                <w:szCs w:val="21"/>
              </w:rPr>
            </w:pPr>
          </w:p>
        </w:tc>
        <w:tc>
          <w:tcPr>
            <w:tcW w:w="1501"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1966</w:t>
            </w:r>
          </w:p>
        </w:tc>
        <w:tc>
          <w:tcPr>
            <w:tcW w:w="1749"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凤台～蚌埠</w:t>
            </w:r>
          </w:p>
        </w:tc>
        <w:tc>
          <w:tcPr>
            <w:tcW w:w="1314"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78</w:t>
            </w:r>
          </w:p>
        </w:tc>
        <w:tc>
          <w:tcPr>
            <w:tcW w:w="937"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w:t>
            </w:r>
          </w:p>
        </w:tc>
        <w:tc>
          <w:tcPr>
            <w:tcW w:w="1126"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1313" w:type="dxa"/>
            <w:vMerge w:val="continue"/>
            <w:noWrap w:val="0"/>
            <w:vAlign w:val="center"/>
          </w:tcPr>
          <w:p>
            <w:pPr>
              <w:widowControl/>
              <w:snapToGrid w:val="0"/>
              <w:jc w:val="center"/>
              <w:rPr>
                <w:rFonts w:hint="default" w:ascii="Times New Roman" w:hAnsi="Times New Roman" w:eastAsia="方正仿宋_GBK" w:cs="Times New Roman"/>
                <w:kern w:val="0"/>
                <w:szCs w:val="21"/>
              </w:rPr>
            </w:pPr>
          </w:p>
        </w:tc>
        <w:tc>
          <w:tcPr>
            <w:tcW w:w="1501"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1978</w:t>
            </w:r>
          </w:p>
        </w:tc>
        <w:tc>
          <w:tcPr>
            <w:tcW w:w="1749"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淮南～蚌埠</w:t>
            </w:r>
          </w:p>
        </w:tc>
        <w:tc>
          <w:tcPr>
            <w:tcW w:w="1314"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36</w:t>
            </w:r>
          </w:p>
        </w:tc>
        <w:tc>
          <w:tcPr>
            <w:tcW w:w="937"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w:t>
            </w:r>
          </w:p>
        </w:tc>
        <w:tc>
          <w:tcPr>
            <w:tcW w:w="1126"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1313" w:type="dxa"/>
            <w:vMerge w:val="continue"/>
            <w:noWrap w:val="0"/>
            <w:vAlign w:val="center"/>
          </w:tcPr>
          <w:p>
            <w:pPr>
              <w:widowControl/>
              <w:snapToGrid w:val="0"/>
              <w:jc w:val="center"/>
              <w:rPr>
                <w:rFonts w:hint="default" w:ascii="Times New Roman" w:hAnsi="Times New Roman" w:eastAsia="方正仿宋_GBK" w:cs="Times New Roman"/>
                <w:kern w:val="0"/>
                <w:szCs w:val="21"/>
              </w:rPr>
            </w:pPr>
          </w:p>
        </w:tc>
        <w:tc>
          <w:tcPr>
            <w:tcW w:w="1501"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1959</w:t>
            </w:r>
          </w:p>
        </w:tc>
        <w:tc>
          <w:tcPr>
            <w:tcW w:w="1749"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凤台～蚌埠</w:t>
            </w:r>
          </w:p>
        </w:tc>
        <w:tc>
          <w:tcPr>
            <w:tcW w:w="1314"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72</w:t>
            </w:r>
          </w:p>
        </w:tc>
        <w:tc>
          <w:tcPr>
            <w:tcW w:w="937"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w:t>
            </w:r>
          </w:p>
        </w:tc>
        <w:tc>
          <w:tcPr>
            <w:tcW w:w="1126"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jc w:val="center"/>
        </w:trPr>
        <w:tc>
          <w:tcPr>
            <w:tcW w:w="1313" w:type="dxa"/>
            <w:vMerge w:val="continue"/>
            <w:noWrap w:val="0"/>
            <w:vAlign w:val="center"/>
          </w:tcPr>
          <w:p>
            <w:pPr>
              <w:widowControl/>
              <w:snapToGrid w:val="0"/>
              <w:jc w:val="center"/>
              <w:rPr>
                <w:rFonts w:hint="default" w:ascii="Times New Roman" w:hAnsi="Times New Roman" w:eastAsia="方正仿宋_GBK" w:cs="Times New Roman"/>
                <w:kern w:val="0"/>
                <w:szCs w:val="21"/>
              </w:rPr>
            </w:pPr>
          </w:p>
        </w:tc>
        <w:tc>
          <w:tcPr>
            <w:tcW w:w="1501"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1999</w:t>
            </w:r>
          </w:p>
        </w:tc>
        <w:tc>
          <w:tcPr>
            <w:tcW w:w="1749"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淮南～蚌埠</w:t>
            </w:r>
          </w:p>
        </w:tc>
        <w:tc>
          <w:tcPr>
            <w:tcW w:w="1314"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50</w:t>
            </w:r>
          </w:p>
        </w:tc>
        <w:tc>
          <w:tcPr>
            <w:tcW w:w="937"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w:t>
            </w:r>
          </w:p>
        </w:tc>
        <w:tc>
          <w:tcPr>
            <w:tcW w:w="1126" w:type="dxa"/>
            <w:noWrap w:val="0"/>
            <w:vAlign w:val="center"/>
          </w:tcPr>
          <w:p>
            <w:pPr>
              <w:widowControl/>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w:t>
            </w:r>
          </w:p>
        </w:tc>
      </w:tr>
    </w:tbl>
    <w:p>
      <w:pPr>
        <w:tabs>
          <w:tab w:val="left" w:pos="525"/>
        </w:tabs>
        <w:adjustRightInd w:val="0"/>
        <w:snapToGrid w:val="0"/>
        <w:jc w:val="center"/>
        <w:rPr>
          <w:rFonts w:hint="eastAsia" w:ascii="方正黑体_GBK" w:hAnsi="方正黑体_GBK" w:eastAsia="方正黑体_GBK" w:cs="方正黑体_GBK"/>
          <w:b/>
          <w:bCs/>
          <w:sz w:val="24"/>
        </w:rPr>
      </w:pPr>
    </w:p>
    <w:p>
      <w:pPr>
        <w:tabs>
          <w:tab w:val="left" w:pos="525"/>
        </w:tabs>
        <w:adjustRightInd w:val="0"/>
        <w:snapToGrid w:val="0"/>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表7.5-2 淮南市境内主要河流、湖泊生态水位计算成果表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1748"/>
        <w:gridCol w:w="1417"/>
        <w:gridCol w:w="926"/>
        <w:gridCol w:w="2148"/>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444"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河湖名称</w:t>
            </w:r>
          </w:p>
        </w:tc>
        <w:tc>
          <w:tcPr>
            <w:tcW w:w="1748"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控制节点</w:t>
            </w:r>
          </w:p>
        </w:tc>
        <w:tc>
          <w:tcPr>
            <w:tcW w:w="1417"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年均径流量量（亿m³）</w:t>
            </w:r>
          </w:p>
        </w:tc>
        <w:tc>
          <w:tcPr>
            <w:tcW w:w="926"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正常蓄水位</w:t>
            </w:r>
          </w:p>
        </w:tc>
        <w:tc>
          <w:tcPr>
            <w:tcW w:w="2148"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生态流量（m³/s）</w:t>
            </w:r>
          </w:p>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生态水位（m）</w:t>
            </w:r>
          </w:p>
        </w:tc>
        <w:tc>
          <w:tcPr>
            <w:tcW w:w="1537"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年生态</w:t>
            </w:r>
          </w:p>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需水量</w:t>
            </w:r>
          </w:p>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（万m³）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444"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淮河</w:t>
            </w:r>
          </w:p>
        </w:tc>
        <w:tc>
          <w:tcPr>
            <w:tcW w:w="1748"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鲁台子</w:t>
            </w:r>
          </w:p>
        </w:tc>
        <w:tc>
          <w:tcPr>
            <w:tcW w:w="1417"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204.5</w:t>
            </w:r>
          </w:p>
        </w:tc>
        <w:tc>
          <w:tcPr>
            <w:tcW w:w="926" w:type="dxa"/>
            <w:noWrap w:val="0"/>
            <w:vAlign w:val="center"/>
          </w:tcPr>
          <w:p>
            <w:pPr>
              <w:widowControl/>
              <w:adjustRightInd w:val="0"/>
              <w:snapToGrid w:val="0"/>
              <w:jc w:val="center"/>
              <w:rPr>
                <w:rFonts w:hint="default" w:ascii="Times New Roman" w:hAnsi="Times New Roman" w:eastAsia="方正仿宋_GBK" w:cs="Times New Roman"/>
                <w:szCs w:val="21"/>
              </w:rPr>
            </w:pPr>
          </w:p>
        </w:tc>
        <w:tc>
          <w:tcPr>
            <w:tcW w:w="2148" w:type="dxa"/>
            <w:noWrap w:val="0"/>
            <w:vAlign w:val="center"/>
          </w:tcPr>
          <w:p>
            <w:pPr>
              <w:widowControl/>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76.5</w:t>
            </w:r>
          </w:p>
        </w:tc>
        <w:tc>
          <w:tcPr>
            <w:tcW w:w="1537" w:type="dxa"/>
            <w:noWrap w:val="0"/>
            <w:vAlign w:val="center"/>
          </w:tcPr>
          <w:p>
            <w:pPr>
              <w:widowControl/>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241310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444"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茨淮新河</w:t>
            </w:r>
          </w:p>
        </w:tc>
        <w:tc>
          <w:tcPr>
            <w:tcW w:w="1748"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古路岗电灌站</w:t>
            </w:r>
          </w:p>
        </w:tc>
        <w:tc>
          <w:tcPr>
            <w:tcW w:w="1417"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17.8</w:t>
            </w:r>
          </w:p>
        </w:tc>
        <w:tc>
          <w:tcPr>
            <w:tcW w:w="926"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2148" w:type="dxa"/>
            <w:noWrap w:val="0"/>
            <w:vAlign w:val="center"/>
          </w:tcPr>
          <w:p>
            <w:pPr>
              <w:widowControl/>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6.83</w:t>
            </w:r>
          </w:p>
        </w:tc>
        <w:tc>
          <w:tcPr>
            <w:tcW w:w="1537"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21538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444"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泥河</w:t>
            </w:r>
          </w:p>
        </w:tc>
        <w:tc>
          <w:tcPr>
            <w:tcW w:w="1748"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闸口村（入淮口）</w:t>
            </w:r>
          </w:p>
        </w:tc>
        <w:tc>
          <w:tcPr>
            <w:tcW w:w="1417"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3.9</w:t>
            </w:r>
          </w:p>
        </w:tc>
        <w:tc>
          <w:tcPr>
            <w:tcW w:w="926"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2148" w:type="dxa"/>
            <w:noWrap w:val="0"/>
            <w:vAlign w:val="center"/>
          </w:tcPr>
          <w:p>
            <w:pPr>
              <w:widowControl/>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1.43</w:t>
            </w:r>
          </w:p>
        </w:tc>
        <w:tc>
          <w:tcPr>
            <w:tcW w:w="1537"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4524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444"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西淝河</w:t>
            </w:r>
          </w:p>
        </w:tc>
        <w:tc>
          <w:tcPr>
            <w:tcW w:w="1748"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西淝闸</w:t>
            </w:r>
          </w:p>
        </w:tc>
        <w:tc>
          <w:tcPr>
            <w:tcW w:w="1417"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12.3</w:t>
            </w:r>
          </w:p>
        </w:tc>
        <w:tc>
          <w:tcPr>
            <w:tcW w:w="926"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2148" w:type="dxa"/>
            <w:noWrap w:val="0"/>
            <w:vAlign w:val="center"/>
          </w:tcPr>
          <w:p>
            <w:pPr>
              <w:widowControl/>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4.80</w:t>
            </w:r>
          </w:p>
        </w:tc>
        <w:tc>
          <w:tcPr>
            <w:tcW w:w="1537"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15129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444"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淠河</w:t>
            </w:r>
          </w:p>
        </w:tc>
        <w:tc>
          <w:tcPr>
            <w:tcW w:w="1748"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清河口</w:t>
            </w:r>
          </w:p>
        </w:tc>
        <w:tc>
          <w:tcPr>
            <w:tcW w:w="1417"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17.1</w:t>
            </w:r>
          </w:p>
        </w:tc>
        <w:tc>
          <w:tcPr>
            <w:tcW w:w="926" w:type="dxa"/>
            <w:noWrap w:val="0"/>
            <w:vAlign w:val="center"/>
          </w:tcPr>
          <w:p>
            <w:pPr>
              <w:widowControl/>
              <w:adjustRightInd w:val="0"/>
              <w:snapToGrid w:val="0"/>
              <w:jc w:val="center"/>
              <w:rPr>
                <w:rFonts w:hint="default" w:ascii="Times New Roman" w:hAnsi="Times New Roman" w:eastAsia="方正仿宋_GBK" w:cs="Times New Roman"/>
                <w:kern w:val="0"/>
                <w:szCs w:val="21"/>
              </w:rPr>
            </w:pPr>
          </w:p>
        </w:tc>
        <w:tc>
          <w:tcPr>
            <w:tcW w:w="2148" w:type="dxa"/>
            <w:noWrap w:val="0"/>
            <w:vAlign w:val="center"/>
          </w:tcPr>
          <w:p>
            <w:pPr>
              <w:widowControl/>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6.45</w:t>
            </w:r>
          </w:p>
        </w:tc>
        <w:tc>
          <w:tcPr>
            <w:tcW w:w="1537"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444"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焦岗湖</w:t>
            </w:r>
          </w:p>
        </w:tc>
        <w:tc>
          <w:tcPr>
            <w:tcW w:w="1748"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焦岗闸</w:t>
            </w:r>
          </w:p>
        </w:tc>
        <w:tc>
          <w:tcPr>
            <w:tcW w:w="1417"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p>
        </w:tc>
        <w:tc>
          <w:tcPr>
            <w:tcW w:w="926" w:type="dxa"/>
            <w:noWrap w:val="0"/>
            <w:vAlign w:val="center"/>
          </w:tcPr>
          <w:p>
            <w:pPr>
              <w:widowControl/>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17.5</w:t>
            </w:r>
          </w:p>
        </w:tc>
        <w:tc>
          <w:tcPr>
            <w:tcW w:w="2148" w:type="dxa"/>
            <w:noWrap w:val="0"/>
            <w:vAlign w:val="center"/>
          </w:tcPr>
          <w:p>
            <w:pPr>
              <w:widowControl/>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16.7</w:t>
            </w:r>
          </w:p>
        </w:tc>
        <w:tc>
          <w:tcPr>
            <w:tcW w:w="1537" w:type="dxa"/>
            <w:noWrap w:val="0"/>
            <w:vAlign w:val="center"/>
          </w:tcPr>
          <w:p>
            <w:pPr>
              <w:widowControl/>
              <w:adjustRightInd w:val="0"/>
              <w:snapToGrid w:val="0"/>
              <w:jc w:val="center"/>
              <w:rPr>
                <w:rFonts w:hint="default" w:ascii="Times New Roman" w:hAnsi="Times New Roman"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444"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瓦埠湖</w:t>
            </w:r>
          </w:p>
        </w:tc>
        <w:tc>
          <w:tcPr>
            <w:tcW w:w="1748"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东淝闸</w:t>
            </w:r>
          </w:p>
        </w:tc>
        <w:tc>
          <w:tcPr>
            <w:tcW w:w="1417"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p>
        </w:tc>
        <w:tc>
          <w:tcPr>
            <w:tcW w:w="926" w:type="dxa"/>
            <w:noWrap w:val="0"/>
            <w:vAlign w:val="center"/>
          </w:tcPr>
          <w:p>
            <w:pPr>
              <w:widowControl/>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18.0</w:t>
            </w:r>
          </w:p>
        </w:tc>
        <w:tc>
          <w:tcPr>
            <w:tcW w:w="2148" w:type="dxa"/>
            <w:noWrap w:val="0"/>
            <w:vAlign w:val="center"/>
          </w:tcPr>
          <w:p>
            <w:pPr>
              <w:widowControl/>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16.2</w:t>
            </w:r>
          </w:p>
        </w:tc>
        <w:tc>
          <w:tcPr>
            <w:tcW w:w="1537" w:type="dxa"/>
            <w:noWrap w:val="0"/>
            <w:vAlign w:val="center"/>
          </w:tcPr>
          <w:p>
            <w:pPr>
              <w:widowControl/>
              <w:adjustRightInd w:val="0"/>
              <w:snapToGrid w:val="0"/>
              <w:jc w:val="center"/>
              <w:rPr>
                <w:rFonts w:hint="default" w:ascii="Times New Roman" w:hAnsi="Times New Roman"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444"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高塘湖</w:t>
            </w:r>
          </w:p>
        </w:tc>
        <w:tc>
          <w:tcPr>
            <w:tcW w:w="1748"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窑河闸</w:t>
            </w:r>
          </w:p>
        </w:tc>
        <w:tc>
          <w:tcPr>
            <w:tcW w:w="1417"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p>
        </w:tc>
        <w:tc>
          <w:tcPr>
            <w:tcW w:w="926" w:type="dxa"/>
            <w:noWrap w:val="0"/>
            <w:vAlign w:val="center"/>
          </w:tcPr>
          <w:p>
            <w:pPr>
              <w:widowControl/>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17.5</w:t>
            </w:r>
          </w:p>
        </w:tc>
        <w:tc>
          <w:tcPr>
            <w:tcW w:w="2148" w:type="dxa"/>
            <w:noWrap w:val="0"/>
            <w:vAlign w:val="center"/>
          </w:tcPr>
          <w:p>
            <w:pPr>
              <w:widowControl/>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16.5</w:t>
            </w:r>
          </w:p>
        </w:tc>
        <w:tc>
          <w:tcPr>
            <w:tcW w:w="1537" w:type="dxa"/>
            <w:noWrap w:val="0"/>
            <w:vAlign w:val="center"/>
          </w:tcPr>
          <w:p>
            <w:pPr>
              <w:widowControl/>
              <w:adjustRightInd w:val="0"/>
              <w:snapToGrid w:val="0"/>
              <w:jc w:val="center"/>
              <w:rPr>
                <w:rFonts w:hint="default" w:ascii="Times New Roman" w:hAnsi="Times New Roman"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444"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安丰塘水库</w:t>
            </w:r>
          </w:p>
        </w:tc>
        <w:tc>
          <w:tcPr>
            <w:tcW w:w="1748"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安丰塘水文站</w:t>
            </w:r>
          </w:p>
        </w:tc>
        <w:tc>
          <w:tcPr>
            <w:tcW w:w="1417"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p>
        </w:tc>
        <w:tc>
          <w:tcPr>
            <w:tcW w:w="926"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29.5</w:t>
            </w:r>
          </w:p>
        </w:tc>
        <w:tc>
          <w:tcPr>
            <w:tcW w:w="2148"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27.6</w:t>
            </w:r>
          </w:p>
        </w:tc>
        <w:tc>
          <w:tcPr>
            <w:tcW w:w="1537"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444"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大井水库</w:t>
            </w:r>
          </w:p>
        </w:tc>
        <w:tc>
          <w:tcPr>
            <w:tcW w:w="1748"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大井水文站</w:t>
            </w:r>
          </w:p>
        </w:tc>
        <w:tc>
          <w:tcPr>
            <w:tcW w:w="1417"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p>
        </w:tc>
        <w:tc>
          <w:tcPr>
            <w:tcW w:w="926"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41.7</w:t>
            </w:r>
          </w:p>
        </w:tc>
        <w:tc>
          <w:tcPr>
            <w:tcW w:w="2148"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35</w:t>
            </w:r>
          </w:p>
        </w:tc>
        <w:tc>
          <w:tcPr>
            <w:tcW w:w="1537"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444"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花果水库</w:t>
            </w:r>
          </w:p>
        </w:tc>
        <w:tc>
          <w:tcPr>
            <w:tcW w:w="1748"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花果水文站</w:t>
            </w:r>
          </w:p>
        </w:tc>
        <w:tc>
          <w:tcPr>
            <w:tcW w:w="1417" w:type="dxa"/>
            <w:noWrap w:val="0"/>
            <w:vAlign w:val="center"/>
          </w:tcPr>
          <w:p>
            <w:pPr>
              <w:tabs>
                <w:tab w:val="left" w:pos="525"/>
              </w:tabs>
              <w:adjustRightInd w:val="0"/>
              <w:snapToGrid w:val="0"/>
              <w:jc w:val="center"/>
              <w:rPr>
                <w:rFonts w:hint="default" w:ascii="Times New Roman" w:hAnsi="Times New Roman" w:eastAsia="方正仿宋_GBK" w:cs="Times New Roman"/>
                <w:szCs w:val="21"/>
              </w:rPr>
            </w:pPr>
          </w:p>
        </w:tc>
        <w:tc>
          <w:tcPr>
            <w:tcW w:w="926"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45.9</w:t>
            </w:r>
          </w:p>
        </w:tc>
        <w:tc>
          <w:tcPr>
            <w:tcW w:w="2148"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40.8</w:t>
            </w:r>
          </w:p>
        </w:tc>
        <w:tc>
          <w:tcPr>
            <w:tcW w:w="1537"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175</w:t>
            </w:r>
          </w:p>
        </w:tc>
      </w:tr>
    </w:tbl>
    <w:p>
      <w:pPr>
        <w:pStyle w:val="5"/>
        <w:pageBreakBefore w:val="0"/>
        <w:widowControl w:val="0"/>
        <w:kinsoku/>
        <w:wordWrap/>
        <w:overflowPunct/>
        <w:autoSpaceDE/>
        <w:autoSpaceDN/>
        <w:bidi w:val="0"/>
        <w:spacing w:line="590" w:lineRule="exact"/>
        <w:ind w:firstLine="568"/>
        <w:rPr>
          <w:rFonts w:hint="default" w:ascii="Times New Roman" w:hAnsi="Times New Roman" w:eastAsia="方正楷体_GBK" w:cs="Times New Roman"/>
          <w:sz w:val="28"/>
          <w:szCs w:val="28"/>
        </w:rPr>
      </w:pPr>
      <w:bookmarkStart w:id="269" w:name="_Toc6803"/>
      <w:bookmarkStart w:id="270" w:name="_Toc312309940"/>
      <w:bookmarkStart w:id="271" w:name="_Toc25778"/>
      <w:bookmarkStart w:id="272" w:name="_Toc31816"/>
      <w:r>
        <w:rPr>
          <w:rFonts w:hint="default" w:ascii="Times New Roman" w:hAnsi="Times New Roman" w:eastAsia="方正楷体_GBK" w:cs="Times New Roman"/>
          <w:b w:val="0"/>
          <w:bCs/>
          <w:sz w:val="32"/>
          <w:szCs w:val="32"/>
        </w:rPr>
        <w:t>五、生态需水的保证</w:t>
      </w:r>
      <w:bookmarkEnd w:id="269"/>
      <w:bookmarkEnd w:id="270"/>
      <w:bookmarkEnd w:id="271"/>
      <w:bookmarkEnd w:id="272"/>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保障河湖生态水量是实现水资源水质、水量、水生态统一保护和管理的重要措施。根据淮河、淠河、三大湖泊、三座中型水库等的生态需水量，按其所在区域水资源分布特点采用坝、闸、涵等工程的调度，跨区域调水方案研究，配合生态修复工程措施保障生态用水。</w:t>
      </w:r>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bookmarkStart w:id="273" w:name="_Toc293556864"/>
      <w:r>
        <w:rPr>
          <w:rFonts w:hint="default" w:ascii="Times New Roman" w:hAnsi="Times New Roman" w:eastAsia="方正仿宋_GBK" w:cs="Times New Roman"/>
          <w:b/>
          <w:bCs w:val="0"/>
          <w:sz w:val="32"/>
          <w:szCs w:val="32"/>
        </w:rPr>
        <w:t>（1）择机适当</w:t>
      </w:r>
      <w:bookmarkEnd w:id="273"/>
      <w:r>
        <w:rPr>
          <w:rFonts w:hint="default" w:ascii="Times New Roman" w:hAnsi="Times New Roman" w:eastAsia="方正仿宋_GBK" w:cs="Times New Roman"/>
          <w:b/>
          <w:bCs w:val="0"/>
          <w:sz w:val="32"/>
          <w:szCs w:val="32"/>
        </w:rPr>
        <w:t>补水</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区域水资源时空分布不均，在确保生活用水，保障工农业生产的同时，实施河湖沟通、最大程度的保障河流、湖库的生态需水量。原则上确定以丰补枯，以来水量的多寡确定排泄量的大小，抓住汛期来水量大的特点，做好各水利工程补水、蓄水等相关课题的研究和实践。</w:t>
      </w:r>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bookmarkStart w:id="274" w:name="_Toc293556865"/>
      <w:r>
        <w:rPr>
          <w:rFonts w:hint="default" w:ascii="Times New Roman" w:hAnsi="Times New Roman" w:eastAsia="方正仿宋_GBK" w:cs="Times New Roman"/>
          <w:b/>
          <w:bCs w:val="0"/>
          <w:sz w:val="32"/>
          <w:szCs w:val="32"/>
        </w:rPr>
        <w:t>（2）蓄水能力的改善和提高</w:t>
      </w:r>
      <w:bookmarkEnd w:id="274"/>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在保证防洪安全的前提下充分发挥水利工程蓄洪能力，适当提高蓄水位，增加蓄水能力，是今后一直需要研究的课题。现状条件下，在保障安全渡汛的同时，应充分运用现有塘坝拦蓄洪水，储备水资源。水资源储备量的多寡，是保证生态需水量的关键所在。</w:t>
      </w:r>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bookmarkStart w:id="275" w:name="_Toc293556866"/>
      <w:r>
        <w:rPr>
          <w:rFonts w:hint="default" w:ascii="Times New Roman" w:hAnsi="Times New Roman" w:eastAsia="方正仿宋_GBK" w:cs="Times New Roman"/>
          <w:b/>
          <w:bCs w:val="0"/>
          <w:sz w:val="32"/>
          <w:szCs w:val="32"/>
        </w:rPr>
        <w:t>（3）跨流域、区域调水方案</w:t>
      </w:r>
      <w:bookmarkEnd w:id="275"/>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引江济淮”工程实施后可利用该工程实施补水。高塘湖、瓦埠湖还可利用《安徽省中西部及淠史杭水量分配》中分配给淮南市的份额，在其水量条件合适时适当补水。建议加强跨地区调水研究工作，通过水资源合理配置，逐步增加境内河流、湖库的生态用水需求。</w:t>
      </w:r>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bookmarkStart w:id="276" w:name="_Toc293556867"/>
      <w:r>
        <w:rPr>
          <w:rFonts w:hint="default" w:ascii="Times New Roman" w:hAnsi="Times New Roman" w:eastAsia="方正仿宋_GBK" w:cs="Times New Roman"/>
          <w:b/>
          <w:bCs w:val="0"/>
          <w:sz w:val="32"/>
          <w:szCs w:val="32"/>
        </w:rPr>
        <w:t>（4）闸坝调度</w:t>
      </w:r>
      <w:bookmarkEnd w:id="276"/>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境内建有众多闸坝，发挥了蓄水、挡洪等显著效益，对生态环境需水研究方面考虑的相对较少。强化闸坝的合理调度，为保障河、湖、库生态需水留有一定的空间，在蓄的同时，兼顾生态需水需求，非汛期来水量较小时能够做到主要河流上的闸坝保有一定的下泄流量。</w:t>
      </w:r>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bookmarkStart w:id="277" w:name="_Toc293556868"/>
      <w:r>
        <w:rPr>
          <w:rFonts w:hint="default" w:ascii="Times New Roman" w:hAnsi="Times New Roman" w:eastAsia="方正仿宋_GBK" w:cs="Times New Roman"/>
          <w:b/>
          <w:bCs w:val="0"/>
          <w:sz w:val="32"/>
          <w:szCs w:val="32"/>
        </w:rPr>
        <w:t>（5）积极实施河、湖、库生态修复工程</w:t>
      </w:r>
      <w:bookmarkEnd w:id="277"/>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为保障河、湖、库生态需水量，建议区域范围内分层次、分阶段实施一定的生态修复工程，优化资源配置、改善水生态环境，涵养水源，还为河、湖、库以健康的生命。</w:t>
      </w:r>
    </w:p>
    <w:p>
      <w:pPr>
        <w:pStyle w:val="5"/>
        <w:pageBreakBefore w:val="0"/>
        <w:widowControl w:val="0"/>
        <w:kinsoku/>
        <w:wordWrap/>
        <w:overflowPunct/>
        <w:autoSpaceDE/>
        <w:autoSpaceDN/>
        <w:bidi w:val="0"/>
        <w:spacing w:line="590" w:lineRule="exact"/>
        <w:ind w:firstLine="568"/>
        <w:rPr>
          <w:rFonts w:hint="default" w:ascii="Times New Roman" w:hAnsi="Times New Roman" w:eastAsia="方正黑体_GBK" w:cs="Times New Roman"/>
          <w:b w:val="0"/>
          <w:bCs/>
          <w:sz w:val="32"/>
          <w:szCs w:val="32"/>
        </w:rPr>
      </w:pPr>
    </w:p>
    <w:p>
      <w:pPr>
        <w:pStyle w:val="5"/>
        <w:pageBreakBefore w:val="0"/>
        <w:widowControl w:val="0"/>
        <w:kinsoku/>
        <w:wordWrap/>
        <w:overflowPunct/>
        <w:autoSpaceDE/>
        <w:autoSpaceDN/>
        <w:bidi w:val="0"/>
        <w:spacing w:line="590" w:lineRule="exact"/>
        <w:ind w:firstLine="568"/>
        <w:jc w:val="center"/>
        <w:rPr>
          <w:rFonts w:hint="default" w:ascii="Times New Roman" w:hAnsi="Times New Roman" w:eastAsia="方正黑体_GBK" w:cs="Times New Roman"/>
          <w:b w:val="0"/>
          <w:bCs/>
          <w:sz w:val="32"/>
          <w:szCs w:val="32"/>
        </w:rPr>
      </w:pPr>
      <w:bookmarkStart w:id="278" w:name="_Toc312309941"/>
      <w:bookmarkStart w:id="279" w:name="_Toc20289"/>
      <w:r>
        <w:rPr>
          <w:rFonts w:hint="default" w:ascii="Times New Roman" w:hAnsi="Times New Roman" w:eastAsia="方正黑体_GBK" w:cs="Times New Roman"/>
          <w:b w:val="0"/>
          <w:bCs/>
          <w:sz w:val="32"/>
          <w:szCs w:val="32"/>
        </w:rPr>
        <w:t>第</w:t>
      </w:r>
      <w:r>
        <w:rPr>
          <w:rFonts w:hint="default" w:ascii="Times New Roman" w:hAnsi="Times New Roman" w:eastAsia="方正黑体_GBK" w:cs="Times New Roman"/>
          <w:b w:val="0"/>
          <w:bCs/>
          <w:sz w:val="32"/>
          <w:szCs w:val="32"/>
          <w:lang w:eastAsia="zh-CN"/>
        </w:rPr>
        <w:t>六</w:t>
      </w:r>
      <w:r>
        <w:rPr>
          <w:rFonts w:hint="default" w:ascii="Times New Roman" w:hAnsi="Times New Roman" w:eastAsia="方正黑体_GBK" w:cs="Times New Roman"/>
          <w:b w:val="0"/>
          <w:bCs/>
          <w:sz w:val="32"/>
          <w:szCs w:val="32"/>
        </w:rPr>
        <w:t>节  水资源保护措施</w:t>
      </w:r>
      <w:bookmarkEnd w:id="278"/>
      <w:bookmarkEnd w:id="279"/>
    </w:p>
    <w:p>
      <w:pPr>
        <w:pStyle w:val="5"/>
        <w:pageBreakBefore w:val="0"/>
        <w:widowControl w:val="0"/>
        <w:kinsoku/>
        <w:wordWrap/>
        <w:overflowPunct/>
        <w:autoSpaceDE/>
        <w:autoSpaceDN/>
        <w:bidi w:val="0"/>
        <w:spacing w:line="590" w:lineRule="exact"/>
        <w:ind w:firstLine="568"/>
        <w:rPr>
          <w:rFonts w:hint="eastAsia" w:ascii="方正楷体_GBK" w:hAnsi="方正楷体_GBK" w:eastAsia="方正楷体_GBK" w:cs="方正楷体_GBK"/>
          <w:b w:val="0"/>
          <w:bCs/>
          <w:sz w:val="32"/>
          <w:szCs w:val="32"/>
        </w:rPr>
      </w:pPr>
      <w:bookmarkStart w:id="280" w:name="_Toc271245217"/>
      <w:bookmarkStart w:id="281" w:name="_Toc265569060"/>
      <w:bookmarkStart w:id="282" w:name="_Toc312309942"/>
      <w:bookmarkStart w:id="283" w:name="_Toc22682"/>
      <w:r>
        <w:rPr>
          <w:rFonts w:hint="eastAsia" w:ascii="方正楷体_GBK" w:hAnsi="方正楷体_GBK" w:eastAsia="方正楷体_GBK" w:cs="方正楷体_GBK"/>
          <w:b w:val="0"/>
          <w:bCs/>
          <w:sz w:val="32"/>
          <w:szCs w:val="32"/>
        </w:rPr>
        <w:t>一、加快产业布局调整，优化经济结构</w:t>
      </w:r>
      <w:bookmarkEnd w:id="280"/>
      <w:bookmarkEnd w:id="281"/>
      <w:bookmarkEnd w:id="282"/>
      <w:bookmarkEnd w:id="283"/>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① 加快产业结构调整，继续加强农业的基础地位，走新型工业化道路，加快发展现代服务业。</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② 优化经济结构和产业结构，构筑以高科技产业和新型服务业为主体的能耗低、污染少的现代产业框架。按照“因地制宜、突出特色、发挥优势、分工协作”的思路，调整优化生产力布局。从水资源保护和可持续发展的角度，区域内产业布局调整和经济结构优化应满足流域水资源承载力和水环境承载力的要求。</w:t>
      </w:r>
    </w:p>
    <w:p>
      <w:pPr>
        <w:pStyle w:val="5"/>
        <w:pageBreakBefore w:val="0"/>
        <w:widowControl w:val="0"/>
        <w:kinsoku/>
        <w:wordWrap/>
        <w:overflowPunct/>
        <w:autoSpaceDE/>
        <w:autoSpaceDN/>
        <w:bidi w:val="0"/>
        <w:spacing w:line="590" w:lineRule="exact"/>
        <w:ind w:firstLine="568"/>
        <w:rPr>
          <w:rFonts w:hint="default" w:ascii="方正楷体_GBK" w:hAnsi="方正楷体_GBK" w:eastAsia="方正楷体_GBK" w:cs="方正楷体_GBK"/>
          <w:b w:val="0"/>
          <w:bCs/>
          <w:sz w:val="32"/>
          <w:szCs w:val="32"/>
        </w:rPr>
      </w:pPr>
      <w:bookmarkStart w:id="284" w:name="_Toc8082"/>
      <w:bookmarkStart w:id="285" w:name="_Toc271245218"/>
      <w:bookmarkStart w:id="286" w:name="_Toc312309943"/>
      <w:bookmarkStart w:id="287" w:name="_Toc265569061"/>
      <w:r>
        <w:rPr>
          <w:rFonts w:hint="default" w:ascii="方正楷体_GBK" w:hAnsi="方正楷体_GBK" w:eastAsia="方正楷体_GBK" w:cs="方正楷体_GBK"/>
          <w:b w:val="0"/>
          <w:bCs/>
          <w:sz w:val="32"/>
          <w:szCs w:val="32"/>
        </w:rPr>
        <w:t>二、加大污染源控制力度</w:t>
      </w:r>
      <w:bookmarkEnd w:id="284"/>
      <w:bookmarkEnd w:id="285"/>
      <w:bookmarkEnd w:id="286"/>
      <w:bookmarkEnd w:id="287"/>
    </w:p>
    <w:p>
      <w:pPr>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bookmarkStart w:id="288" w:name="_Toc271245219"/>
      <w:r>
        <w:rPr>
          <w:rFonts w:hint="default" w:ascii="Times New Roman" w:hAnsi="Times New Roman" w:eastAsia="方正仿宋_GBK" w:cs="Times New Roman"/>
          <w:b/>
          <w:bCs w:val="0"/>
          <w:sz w:val="32"/>
          <w:szCs w:val="32"/>
        </w:rPr>
        <w:t>① 入河污染控制</w:t>
      </w:r>
      <w:bookmarkEnd w:id="288"/>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境内大小入河排污口100个，根据2015年实测（51个）计算，污水入河总量约73.7万t/d,废水入河总量约2.69亿t，随着沿淮城市群的建设，需水量的不断增加，入河废污水量也将有大幅度的增加。对达标排放后仍不能满足水功能区纳污能力的，应进行区域产业结构调整，采用清洁生产工艺。</w:t>
      </w:r>
    </w:p>
    <w:p>
      <w:pPr>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bookmarkStart w:id="289" w:name="_Toc271245220"/>
      <w:bookmarkStart w:id="290" w:name="_Toc265569064"/>
      <w:bookmarkStart w:id="291" w:name="_Toc265569063"/>
      <w:r>
        <w:rPr>
          <w:rFonts w:hint="default" w:ascii="Times New Roman" w:hAnsi="Times New Roman" w:eastAsia="方正仿宋_GBK" w:cs="Times New Roman"/>
          <w:b/>
          <w:bCs w:val="0"/>
          <w:sz w:val="32"/>
          <w:szCs w:val="32"/>
        </w:rPr>
        <w:t>② 面源防治</w:t>
      </w:r>
      <w:bookmarkEnd w:id="289"/>
      <w:bookmarkEnd w:id="290"/>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加强流域面源污染治理，逐步把面污染源的治理、控制纳入水污染防治与水资源保护的监控体系。注意做好湖库周边等水土流失重点地区的水土保持工作；改变农村畜禽养殖方式，改散养为规模化圈养模式；大力发展生态农业，提倡绿色生产，减少化肥、农药使用量；加快农村城镇化建设步伐，做好农村改厕改水工作。</w:t>
      </w:r>
    </w:p>
    <w:p>
      <w:pPr>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 xml:space="preserve">③ </w:t>
      </w:r>
      <w:r>
        <w:rPr>
          <w:rFonts w:hint="default" w:ascii="Times New Roman" w:hAnsi="Times New Roman" w:eastAsia="方正仿宋_GBK" w:cs="Times New Roman"/>
          <w:b/>
          <w:bCs w:val="0"/>
          <w:sz w:val="32"/>
          <w:szCs w:val="32"/>
          <w:lang w:val="en-US" w:eastAsia="zh-CN"/>
        </w:rPr>
        <w:t>加大地表水水质监测力度</w:t>
      </w:r>
    </w:p>
    <w:p>
      <w:pPr>
        <w:pStyle w:val="2"/>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近年来，在政府高度重视下，水污染状况得到很大改善。但水污染治理是长期工作，不能一蹴而就，对于水资源的保护依然不容松懈。因此，未来还需进一步加大水质监测力度，确保水污染治理有成效以及实现对水资源的有效保护</w:t>
      </w:r>
      <w:r>
        <w:rPr>
          <w:rFonts w:hint="default" w:ascii="Times New Roman" w:hAnsi="Times New Roman" w:eastAsia="方正仿宋_GBK" w:cs="Times New Roman"/>
          <w:sz w:val="32"/>
          <w:szCs w:val="32"/>
          <w:lang w:eastAsia="zh-CN"/>
        </w:rPr>
        <w:t>。</w:t>
      </w:r>
    </w:p>
    <w:p>
      <w:pPr>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bookmarkStart w:id="292" w:name="_Toc271245221"/>
      <w:r>
        <w:rPr>
          <w:rFonts w:hint="default" w:ascii="Times New Roman" w:hAnsi="Times New Roman" w:eastAsia="方正仿宋_GBK" w:cs="Times New Roman"/>
          <w:b/>
          <w:bCs w:val="0"/>
          <w:sz w:val="32"/>
          <w:szCs w:val="32"/>
        </w:rPr>
        <w:t>④ 城镇污水处理设施建设</w:t>
      </w:r>
      <w:bookmarkEnd w:id="291"/>
      <w:bookmarkEnd w:id="292"/>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2020年前经济发展迅速的重点乡镇及污水排放量较大的乡镇规划建设污水处理厂，城镇污水处理率达到95％以上。2030年进一步完善污水处理管网等的配套设施建设，实施清污分流，提高设施利用效率，使得污水处理率达到97%以上，并注重加强已建污水处理厂的改造升级，确保达标排放。</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考虑技术可行性和经济合理性，科学制定再生水利用规划，2020年前，城市污水处理回用量应达到30%；2030年，污水处理回收量争取达到80%以上。</w:t>
      </w:r>
    </w:p>
    <w:p>
      <w:pPr>
        <w:pStyle w:val="5"/>
        <w:pageBreakBefore w:val="0"/>
        <w:widowControl w:val="0"/>
        <w:kinsoku/>
        <w:wordWrap/>
        <w:overflowPunct/>
        <w:autoSpaceDE/>
        <w:autoSpaceDN/>
        <w:bidi w:val="0"/>
        <w:spacing w:line="590" w:lineRule="exact"/>
        <w:ind w:firstLine="568"/>
        <w:rPr>
          <w:rFonts w:hint="default" w:ascii="方正楷体_GBK" w:hAnsi="方正楷体_GBK" w:eastAsia="方正楷体_GBK" w:cs="方正楷体_GBK"/>
          <w:b w:val="0"/>
          <w:bCs/>
          <w:sz w:val="32"/>
          <w:szCs w:val="32"/>
          <w:lang w:val="en-US" w:eastAsia="zh-CN"/>
        </w:rPr>
      </w:pPr>
      <w:bookmarkStart w:id="293" w:name="_Toc312309944"/>
      <w:bookmarkStart w:id="294" w:name="_Toc271245222"/>
      <w:bookmarkStart w:id="295" w:name="_Toc265569065"/>
      <w:bookmarkStart w:id="296" w:name="_Toc22035"/>
      <w:r>
        <w:rPr>
          <w:rFonts w:hint="default" w:ascii="方正楷体_GBK" w:hAnsi="方正楷体_GBK" w:eastAsia="方正楷体_GBK" w:cs="方正楷体_GBK"/>
          <w:b w:val="0"/>
          <w:bCs/>
          <w:sz w:val="32"/>
          <w:szCs w:val="32"/>
          <w:lang w:val="en-US" w:eastAsia="zh-CN"/>
        </w:rPr>
        <w:t>三、优化水资源配置，保障河流生态用水</w:t>
      </w:r>
      <w:bookmarkEnd w:id="293"/>
      <w:bookmarkEnd w:id="294"/>
      <w:bookmarkEnd w:id="295"/>
      <w:bookmarkEnd w:id="296"/>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以维护河流健康、促进人水和谐为基本宗旨，统筹水资源利用等与生态的关系，协调上、下游，河流与湖泊等水体生态环境需水量的关系，在不同时间尺度和不同空间尺度满足河流基本生态环境流量的要求，保障河流生态基础流量；对部分湖泊湿地进行生态恢复和修复，提高湖泊生态环境质量；完善河流生态基流和生态环境需水的保障制度，使生态基流和生态环境需水保障纳入法制轨道。湖泊、水库生态环境需水越来越受到重视，建议进一步加强湖泊、水库生态环境需水位和生态环境需水量的研究，制定河湖库生态需水保障措施等。</w:t>
      </w:r>
    </w:p>
    <w:p>
      <w:pPr>
        <w:pStyle w:val="5"/>
        <w:pageBreakBefore w:val="0"/>
        <w:widowControl w:val="0"/>
        <w:kinsoku/>
        <w:wordWrap/>
        <w:overflowPunct/>
        <w:autoSpaceDE/>
        <w:autoSpaceDN/>
        <w:bidi w:val="0"/>
        <w:spacing w:line="590" w:lineRule="exact"/>
        <w:ind w:firstLine="568"/>
        <w:rPr>
          <w:rFonts w:hint="default" w:ascii="方正楷体_GBK" w:hAnsi="方正楷体_GBK" w:eastAsia="方正楷体_GBK" w:cs="方正楷体_GBK"/>
          <w:b w:val="0"/>
          <w:bCs/>
          <w:sz w:val="32"/>
          <w:szCs w:val="32"/>
          <w:lang w:val="en-US" w:eastAsia="zh-CN"/>
        </w:rPr>
      </w:pPr>
      <w:bookmarkStart w:id="297" w:name="_Toc13062"/>
      <w:bookmarkStart w:id="298" w:name="_Toc312309945"/>
      <w:r>
        <w:rPr>
          <w:rFonts w:hint="default" w:ascii="方正楷体_GBK" w:hAnsi="方正楷体_GBK" w:eastAsia="方正楷体_GBK" w:cs="方正楷体_GBK"/>
          <w:b w:val="0"/>
          <w:bCs/>
          <w:sz w:val="32"/>
          <w:szCs w:val="32"/>
          <w:lang w:val="en-US" w:eastAsia="zh-CN"/>
        </w:rPr>
        <w:t>四、加大水域综合治理力度</w:t>
      </w:r>
      <w:bookmarkEnd w:id="297"/>
      <w:bookmarkEnd w:id="298"/>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有点源、面源、内源、线源等各类污染源采取综合治理措施，对污染源采取分流、截污及入渗控制等工程措施，阻隔污染物直接进入水体。包括工业和生活污染点源治理、人口搬迁、集中式禽畜养殖控制等治理工程。</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采取疏浚、补水及生态修复等综合治理。对水质严重恶化的湖区和入湖河流，实施底泥疏浚工程实施引水，增大湖水稀释自净能力。</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新建、改建或者扩大入河排污口设置单位应进行科学论证，并征得有管辖权的水行政主管部门同意，对现有入河排污口进行整治。</w:t>
      </w:r>
    </w:p>
    <w:p>
      <w:pPr>
        <w:pStyle w:val="5"/>
        <w:pageBreakBefore w:val="0"/>
        <w:widowControl w:val="0"/>
        <w:kinsoku/>
        <w:wordWrap/>
        <w:overflowPunct/>
        <w:autoSpaceDE/>
        <w:autoSpaceDN/>
        <w:bidi w:val="0"/>
        <w:spacing w:line="590" w:lineRule="exact"/>
        <w:ind w:firstLine="568"/>
        <w:rPr>
          <w:rFonts w:hint="default" w:ascii="方正楷体_GBK" w:hAnsi="方正楷体_GBK" w:eastAsia="方正楷体_GBK" w:cs="方正楷体_GBK"/>
          <w:b w:val="0"/>
          <w:bCs/>
          <w:sz w:val="32"/>
          <w:szCs w:val="32"/>
          <w:lang w:val="en-US" w:eastAsia="zh-CN"/>
        </w:rPr>
      </w:pPr>
      <w:bookmarkStart w:id="299" w:name="_Toc29373"/>
      <w:bookmarkStart w:id="300" w:name="_Toc312309946"/>
      <w:r>
        <w:rPr>
          <w:rFonts w:hint="default" w:ascii="方正楷体_GBK" w:hAnsi="方正楷体_GBK" w:eastAsia="方正楷体_GBK" w:cs="方正楷体_GBK"/>
          <w:b w:val="0"/>
          <w:bCs/>
          <w:sz w:val="32"/>
          <w:szCs w:val="32"/>
          <w:lang w:val="en-US" w:eastAsia="zh-CN"/>
        </w:rPr>
        <w:t>五、加快跨区域调水建设步伐，扎实开展跨区域调水前期规划、研究和勘测</w:t>
      </w:r>
      <w:bookmarkEnd w:id="299"/>
      <w:bookmarkEnd w:id="300"/>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境内当地水资源严重不足，特别是枯水年缺水量较大，生活、生产、生态用水受到严重威胁，区域经济社会发展受到严重制约。目前，全面落实《安徽省中西部及淠史杭水量分配》中确立水量分配方案，加快中西部水量进入淮南市供水线路的建设步伐，早日实现中西部优质水源直供淮南的梦想。全面开展引江济淮前期规划、研究和勘测，加快跨区域调水建设步伐，落实实施跨流域、跨区域调水工程。</w:t>
      </w:r>
    </w:p>
    <w:p>
      <w:pPr>
        <w:pStyle w:val="5"/>
        <w:pageBreakBefore w:val="0"/>
        <w:widowControl w:val="0"/>
        <w:kinsoku/>
        <w:wordWrap/>
        <w:overflowPunct/>
        <w:autoSpaceDE/>
        <w:autoSpaceDN/>
        <w:bidi w:val="0"/>
        <w:spacing w:line="590" w:lineRule="exact"/>
        <w:ind w:firstLine="568"/>
        <w:rPr>
          <w:rFonts w:hint="default" w:ascii="方正楷体_GBK" w:hAnsi="方正楷体_GBK" w:eastAsia="方正楷体_GBK" w:cs="方正楷体_GBK"/>
          <w:b w:val="0"/>
          <w:bCs/>
          <w:sz w:val="32"/>
          <w:szCs w:val="32"/>
          <w:lang w:val="en-US" w:eastAsia="zh-CN"/>
        </w:rPr>
      </w:pPr>
      <w:bookmarkStart w:id="301" w:name="_Toc312309947"/>
      <w:bookmarkStart w:id="302" w:name="_Toc26646"/>
      <w:r>
        <w:rPr>
          <w:rFonts w:hint="default" w:ascii="方正楷体_GBK" w:hAnsi="方正楷体_GBK" w:eastAsia="方正楷体_GBK" w:cs="方正楷体_GBK"/>
          <w:b w:val="0"/>
          <w:bCs/>
          <w:sz w:val="32"/>
          <w:szCs w:val="32"/>
          <w:lang w:val="en-US" w:eastAsia="zh-CN"/>
        </w:rPr>
        <w:t>六、加强地下水</w:t>
      </w:r>
      <w:bookmarkEnd w:id="301"/>
      <w:r>
        <w:rPr>
          <w:rFonts w:hint="default" w:ascii="方正楷体_GBK" w:hAnsi="方正楷体_GBK" w:eastAsia="方正楷体_GBK" w:cs="方正楷体_GBK"/>
          <w:b w:val="0"/>
          <w:bCs/>
          <w:sz w:val="32"/>
          <w:szCs w:val="32"/>
          <w:lang w:val="en-US" w:eastAsia="zh-CN"/>
        </w:rPr>
        <w:t>水资源保护</w:t>
      </w:r>
      <w:bookmarkEnd w:id="302"/>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地下水水资源保护可分为早起污染防治和后期污染防治。前者是地下水未遭到污染时，对各种污染物采取预防措施，这也是地下水保护的根本指施；后着是地下水已遭到污染时，在水质污染程度进行评价的基础上，提出切实可行的治理措施复地下水资源质量。</w:t>
      </w:r>
    </w:p>
    <w:p>
      <w:pPr>
        <w:pStyle w:val="2"/>
        <w:pageBreakBefore w:val="0"/>
        <w:widowControl w:val="0"/>
        <w:kinsoku/>
        <w:wordWrap/>
        <w:overflowPunct/>
        <w:autoSpaceDE/>
        <w:autoSpaceDN/>
        <w:bidi w:val="0"/>
        <w:spacing w:line="590" w:lineRule="exact"/>
        <w:ind w:firstLine="488"/>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val="0"/>
          <w:bCs w:val="0"/>
          <w:sz w:val="32"/>
          <w:szCs w:val="32"/>
          <w:lang w:val="en-US" w:eastAsia="zh-CN"/>
        </w:rPr>
        <w:t>保护目标：实</w:t>
      </w:r>
      <w:r>
        <w:rPr>
          <w:rFonts w:hint="default" w:ascii="Times New Roman" w:hAnsi="Times New Roman" w:eastAsia="方正仿宋_GBK" w:cs="Times New Roman"/>
          <w:sz w:val="32"/>
          <w:szCs w:val="32"/>
          <w:lang w:val="en-US" w:eastAsia="zh-CN"/>
        </w:rPr>
        <w:t>现合理开发利用地下水，地下水水源地水质得到保护，建立较完善的地下水管理体系和监测监管系统，实现地下水资源的可持续利用。</w:t>
      </w:r>
    </w:p>
    <w:p>
      <w:pPr>
        <w:pStyle w:val="2"/>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地下水资源保护的核心是根据地下水系统运动、演化规律，调整和控制人类的各种取用水行为，使地下水系统维持一种良性循环的状态，以达到水资源永续利用。地下水资源保护不是以恢复或保持地下水天然状态为目的的活动，而是一种积极的、促进水资源开发利用更合理、更科学的管理问题。地下水资源保护与开发利用是对立统一的，保护工作做得好，地下水资源才能永续开发利用，开发利用科学合理了，也就达到了保护的目的</w:t>
      </w:r>
    </w:p>
    <w:p>
      <w:pPr>
        <w:pStyle w:val="2"/>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淮南市2015年以前存在浅层地下水超采区，但该超采区内相关水井已关闭。根据《关于公布地下水超采区和限采区的通知》等文件可知淮南市现已不存在地下水超采区和限采区。特别是引江济淮等调水工程和区域用水安全等工程建成投入运行后仍应对淮南市地下水加强监督管理。</w:t>
      </w:r>
    </w:p>
    <w:p>
      <w:pPr>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（一）预防地下水污染的措施</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1、防止固体废弃物对地下水的污染</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因体废弃物包括工业废渣和城市垃圾，这些废弃物虽然通过回收和焚化可减少其排放量，但极大部分对方在地面上，在降雨的淋滤作用下，可把含有大量污染物的溶液带入地下水中。为此，要求把固体废弃物进行安全处置，阻止溶滤液向下迁移。</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2、防治城市污水排放对地下水污染</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从城区下水道排出的污水，对地下水污染危害最大。城区污水应经过污水处理厂处达标后排放，定期对污水管网运行设备进行检修，保证管网漏损率最小。以减少对地下水的污染。</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3、防止工业废水的漏失和排放对地下水的污染</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对生产过程中漏水液较多的工厂，应建立各种防治装置，防治污水渗入到地下水中。</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4、防止农业活动对地下水污染</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农业活动对地下水污染包括两个方面：一是使用废料和农药等，以及在土地上贮存排放家畜污水或家畜的类便：二是利用污水灌溉。防治的方法是：除了对牲畜圈、厕所等设置防渗层，最好是进行发酵处理，使有机氮分解，以防止进一步氧化。</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农业上大量使用化肥也是重要的污染源，防治方法主要是减少土壤中，的NO-N含量抑制硝化作用，把氮素固定在土壤中，防治氮素下渗。要逐步采用高效、低毒、低残留农药代替长效性农药。污水灌溉适合于透水性差和厚度较大的粘性土地区，但应注意向两侧渗透，并严格控制污水灌溉定额。</w:t>
      </w:r>
    </w:p>
    <w:p>
      <w:pPr>
        <w:pageBreakBefore w:val="0"/>
        <w:widowControl w:val="0"/>
        <w:kinsoku/>
        <w:wordWrap/>
        <w:overflowPunct/>
        <w:autoSpaceDE/>
        <w:autoSpaceDN/>
        <w:bidi w:val="0"/>
        <w:adjustRightInd w:val="0"/>
        <w:snapToGrid w:val="0"/>
        <w:spacing w:line="590" w:lineRule="exact"/>
        <w:ind w:firstLine="643" w:firstLineChars="200"/>
        <w:rPr>
          <w:rFonts w:hint="eastAsia" w:ascii="方正仿宋_GBK" w:hAnsi="方正仿宋_GBK" w:eastAsia="方正仿宋_GBK" w:cs="方正仿宋_GBK"/>
          <w:b/>
          <w:bCs w:val="0"/>
          <w:sz w:val="32"/>
          <w:szCs w:val="32"/>
        </w:rPr>
      </w:pPr>
      <w:r>
        <w:rPr>
          <w:rFonts w:hint="eastAsia" w:ascii="方正仿宋_GBK" w:hAnsi="方正仿宋_GBK" w:eastAsia="方正仿宋_GBK" w:cs="方正仿宋_GBK"/>
          <w:b/>
          <w:bCs w:val="0"/>
          <w:sz w:val="32"/>
          <w:szCs w:val="32"/>
        </w:rPr>
        <w:t>（二）地下水污染后的治理措施</w:t>
      </w:r>
    </w:p>
    <w:p>
      <w:pPr>
        <w:pStyle w:val="2"/>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地下水污染后的治理措施，要根治污染状况、范围、性质和使用要求，通过经济技术比较确定。一般需要外加能源提取稀释，或用其他物理化学方法以降解破坏水中污染物来达到使用标准。如果污染轻微，也可以利用土层的自净能力来达到净化目的。</w:t>
      </w:r>
    </w:p>
    <w:p>
      <w:pPr>
        <w:pStyle w:val="2"/>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发现地下水污染后，首先应当切断污染源，然后立即采取防止污染物进一步扩散的补偿措施。</w:t>
      </w:r>
      <w:r>
        <w:rPr>
          <w:rFonts w:hint="default" w:ascii="Times New Roman" w:hAnsi="Times New Roman" w:eastAsia="方正仿宋_GBK" w:cs="Times New Roman"/>
          <w:sz w:val="32"/>
          <w:szCs w:val="32"/>
        </w:rPr>
        <w:t>治理措施主要有：</w:t>
      </w:r>
    </w:p>
    <w:p>
      <w:pPr>
        <w:pStyle w:val="2"/>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1、补救措施</w:t>
      </w:r>
    </w:p>
    <w:p>
      <w:pPr>
        <w:pStyle w:val="2"/>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这种</w:t>
      </w:r>
      <w:r>
        <w:rPr>
          <w:rFonts w:hint="default" w:ascii="Times New Roman" w:hAnsi="Times New Roman" w:eastAsia="方正仿宋_GBK" w:cs="Times New Roman"/>
          <w:sz w:val="32"/>
          <w:szCs w:val="32"/>
          <w:lang w:eastAsia="zh-CN"/>
        </w:rPr>
        <w:t>措施</w:t>
      </w:r>
      <w:r>
        <w:rPr>
          <w:rFonts w:hint="default" w:ascii="Times New Roman" w:hAnsi="Times New Roman" w:eastAsia="方正仿宋_GBK" w:cs="Times New Roman"/>
          <w:sz w:val="32"/>
          <w:szCs w:val="32"/>
        </w:rPr>
        <w:t>就是对已被污染地下水采用人工补给的轴水方法。使</w:t>
      </w:r>
      <w:r>
        <w:rPr>
          <w:rFonts w:hint="default" w:ascii="Times New Roman" w:hAnsi="Times New Roman" w:eastAsia="方正仿宋_GBK" w:cs="Times New Roman"/>
          <w:sz w:val="32"/>
          <w:szCs w:val="32"/>
          <w:lang w:eastAsia="zh-CN"/>
        </w:rPr>
        <w:t>污染</w:t>
      </w:r>
      <w:r>
        <w:rPr>
          <w:rFonts w:hint="default" w:ascii="Times New Roman" w:hAnsi="Times New Roman" w:eastAsia="方正仿宋_GBK" w:cs="Times New Roman"/>
          <w:sz w:val="32"/>
          <w:szCs w:val="32"/>
        </w:rPr>
        <w:t>地下</w:t>
      </w:r>
      <w:r>
        <w:rPr>
          <w:rFonts w:hint="default" w:ascii="Times New Roman" w:hAnsi="Times New Roman" w:eastAsia="方正仿宋_GBK" w:cs="Times New Roman"/>
          <w:sz w:val="32"/>
          <w:szCs w:val="32"/>
          <w:lang w:eastAsia="zh-CN"/>
        </w:rPr>
        <w:t>水得到稀释净化</w:t>
      </w:r>
      <w:r>
        <w:rPr>
          <w:rFonts w:hint="default" w:ascii="Times New Roman" w:hAnsi="Times New Roman" w:eastAsia="方正仿宋_GBK" w:cs="Times New Roman"/>
          <w:sz w:val="32"/>
          <w:szCs w:val="32"/>
        </w:rPr>
        <w:t>，或改变地下水流条件。加速水的</w:t>
      </w:r>
      <w:r>
        <w:rPr>
          <w:rFonts w:hint="default" w:ascii="Times New Roman" w:hAnsi="Times New Roman" w:eastAsia="方正仿宋_GBK" w:cs="Times New Roman"/>
          <w:sz w:val="32"/>
          <w:szCs w:val="32"/>
          <w:lang w:eastAsia="zh-CN"/>
        </w:rPr>
        <w:t>交替</w:t>
      </w:r>
      <w:r>
        <w:rPr>
          <w:rFonts w:hint="default" w:ascii="Times New Roman" w:hAnsi="Times New Roman" w:eastAsia="方正仿宋_GBK" w:cs="Times New Roman"/>
          <w:sz w:val="32"/>
          <w:szCs w:val="32"/>
        </w:rPr>
        <w:t>循环，以达到改善水质的目的。</w:t>
      </w:r>
    </w:p>
    <w:p>
      <w:pPr>
        <w:pStyle w:val="2"/>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2、堵载措施</w:t>
      </w:r>
    </w:p>
    <w:p>
      <w:pPr>
        <w:pStyle w:val="2"/>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rPr>
        <w:t>当地下水污染之后，如果因</w:t>
      </w:r>
      <w:r>
        <w:rPr>
          <w:rFonts w:hint="default" w:ascii="Times New Roman" w:hAnsi="Times New Roman" w:eastAsia="方正仿宋_GBK" w:cs="Times New Roman"/>
          <w:sz w:val="32"/>
          <w:szCs w:val="32"/>
        </w:rPr>
        <w:t>技术经济条件的限制，不能采取</w:t>
      </w:r>
      <w:r>
        <w:rPr>
          <w:rFonts w:hint="default" w:ascii="Times New Roman" w:hAnsi="Times New Roman" w:eastAsia="方正仿宋_GBK" w:cs="Times New Roman"/>
          <w:sz w:val="32"/>
          <w:szCs w:val="32"/>
          <w:lang w:eastAsia="zh-CN"/>
        </w:rPr>
        <w:t>补</w:t>
      </w:r>
      <w:r>
        <w:rPr>
          <w:rFonts w:hint="default" w:ascii="Times New Roman" w:hAnsi="Times New Roman" w:eastAsia="方正仿宋_GBK" w:cs="Times New Roman"/>
          <w:sz w:val="32"/>
          <w:szCs w:val="32"/>
        </w:rPr>
        <w:t>排措施加以治理，就可以考虑采用</w:t>
      </w:r>
      <w:r>
        <w:rPr>
          <w:rFonts w:hint="default" w:ascii="Times New Roman" w:hAnsi="Times New Roman" w:eastAsia="方正仿宋_GBK" w:cs="Times New Roman"/>
          <w:sz w:val="32"/>
          <w:szCs w:val="32"/>
          <w:lang w:eastAsia="zh-CN"/>
        </w:rPr>
        <w:t>堵截</w:t>
      </w:r>
      <w:r>
        <w:rPr>
          <w:rFonts w:hint="default" w:ascii="Times New Roman" w:hAnsi="Times New Roman" w:eastAsia="方正仿宋_GBK" w:cs="Times New Roman"/>
          <w:sz w:val="32"/>
          <w:szCs w:val="32"/>
        </w:rPr>
        <w:t>污染体于一定范围之内，以防止进一步扩散。</w:t>
      </w:r>
    </w:p>
    <w:p>
      <w:pPr>
        <w:pStyle w:val="2"/>
        <w:pageBreakBefore w:val="0"/>
        <w:widowControl w:val="0"/>
        <w:kinsoku/>
        <w:wordWrap/>
        <w:overflowPunct/>
        <w:autoSpaceDE/>
        <w:autoSpaceDN/>
        <w:bidi w:val="0"/>
        <w:spacing w:line="590" w:lineRule="exact"/>
        <w:ind w:firstLine="488"/>
        <w:rPr>
          <w:rFonts w:hint="eastAsia" w:ascii="方正仿宋_GBK" w:hAnsi="方正仿宋_GBK" w:eastAsia="方正仿宋_GBK" w:cs="方正仿宋_GBK"/>
          <w:b/>
          <w:bCs w:val="0"/>
          <w:kern w:val="2"/>
          <w:sz w:val="32"/>
          <w:szCs w:val="32"/>
          <w:lang w:val="en-US" w:eastAsia="zh-CN" w:bidi="ar-SA"/>
        </w:rPr>
      </w:pPr>
      <w:r>
        <w:rPr>
          <w:rFonts w:hint="eastAsia" w:ascii="方正仿宋_GBK" w:hAnsi="方正仿宋_GBK" w:eastAsia="方正仿宋_GBK" w:cs="方正仿宋_GBK"/>
          <w:b/>
          <w:bCs w:val="0"/>
          <w:kern w:val="2"/>
          <w:sz w:val="32"/>
          <w:szCs w:val="32"/>
          <w:lang w:val="en-US" w:eastAsia="zh-CN" w:bidi="ar-SA"/>
        </w:rPr>
        <w:t>（三）地下水水源地保护</w:t>
      </w:r>
    </w:p>
    <w:p>
      <w:pPr>
        <w:pStyle w:val="2"/>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地下水一旦</w:t>
      </w:r>
      <w:r>
        <w:rPr>
          <w:rFonts w:hint="default" w:ascii="Times New Roman" w:hAnsi="Times New Roman" w:eastAsia="方正仿宋_GBK" w:cs="Times New Roman"/>
          <w:sz w:val="32"/>
          <w:szCs w:val="32"/>
          <w:lang w:eastAsia="zh-CN"/>
        </w:rPr>
        <w:t>遭到</w:t>
      </w:r>
      <w:r>
        <w:rPr>
          <w:rFonts w:hint="default" w:ascii="Times New Roman" w:hAnsi="Times New Roman" w:eastAsia="方正仿宋_GBK" w:cs="Times New Roman"/>
          <w:sz w:val="32"/>
          <w:szCs w:val="32"/>
        </w:rPr>
        <w:t>污染，就很难恢复到原来状态。地下水保护和处理的核心是科学开发，合理用水，加强监督管理，加强动态观测预报，对过量开采的地区要严格控制开采，防止水量衰竭和水质恶化。</w:t>
      </w:r>
    </w:p>
    <w:p>
      <w:pPr>
        <w:pStyle w:val="2"/>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1、合理布局</w:t>
      </w:r>
    </w:p>
    <w:p>
      <w:pPr>
        <w:pStyle w:val="2"/>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根据</w:t>
      </w:r>
      <w:r>
        <w:rPr>
          <w:rFonts w:hint="default" w:ascii="Times New Roman" w:hAnsi="Times New Roman" w:eastAsia="方正仿宋_GBK" w:cs="Times New Roman"/>
          <w:b w:val="0"/>
          <w:bCs w:val="0"/>
          <w:sz w:val="32"/>
          <w:szCs w:val="32"/>
          <w:lang w:eastAsia="zh-CN"/>
        </w:rPr>
        <w:t>淮南市</w:t>
      </w:r>
      <w:r>
        <w:rPr>
          <w:rFonts w:hint="default" w:ascii="Times New Roman" w:hAnsi="Times New Roman" w:eastAsia="方正仿宋_GBK" w:cs="Times New Roman"/>
          <w:b w:val="0"/>
          <w:bCs w:val="0"/>
          <w:sz w:val="32"/>
          <w:szCs w:val="32"/>
        </w:rPr>
        <w:t>社会经济发展的总体规划，运用系统工程的方法，制定地表水和地下水的综合利用规划，充分考虑各个方面的需要，有计划有步骤地开发利用和保护地下水资源。要根据水文地质条件，合理布置井群，要避免在同一层位，同一深度和同一时间进行开采。</w:t>
      </w:r>
    </w:p>
    <w:p>
      <w:pPr>
        <w:pStyle w:val="2"/>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2、科学开采</w:t>
      </w:r>
    </w:p>
    <w:p>
      <w:pPr>
        <w:pStyle w:val="2"/>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rPr>
        <w:t>所谓科学开采</w:t>
      </w:r>
      <w:r>
        <w:rPr>
          <w:rFonts w:hint="default" w:ascii="Times New Roman" w:hAnsi="Times New Roman" w:eastAsia="方正仿宋_GBK" w:cs="Times New Roman"/>
          <w:sz w:val="32"/>
          <w:szCs w:val="32"/>
        </w:rPr>
        <w:t>，就是使开采严格控制在允许开采量以内</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为此，要对地下水源</w:t>
      </w:r>
      <w:r>
        <w:rPr>
          <w:rFonts w:hint="default" w:ascii="Times New Roman" w:hAnsi="Times New Roman" w:eastAsia="方正仿宋_GBK" w:cs="Times New Roman"/>
          <w:sz w:val="32"/>
          <w:szCs w:val="32"/>
          <w:lang w:eastAsia="zh-CN"/>
        </w:rPr>
        <w:t>地</w:t>
      </w:r>
      <w:r>
        <w:rPr>
          <w:rFonts w:hint="default" w:ascii="Times New Roman" w:hAnsi="Times New Roman" w:eastAsia="方正仿宋_GBK" w:cs="Times New Roman"/>
          <w:sz w:val="32"/>
          <w:szCs w:val="32"/>
        </w:rPr>
        <w:t>的补给量进行水量均衡分析，制定出合理开采量在年内分布，作为科学开采的依据。由于地下水补给具有季节性特点，因此在补给时期要适当加强开采，而在非补给期，要适当控制开采量。如</w:t>
      </w:r>
      <w:r>
        <w:rPr>
          <w:rFonts w:hint="default" w:ascii="Times New Roman" w:hAnsi="Times New Roman" w:eastAsia="方正仿宋_GBK" w:cs="Times New Roman"/>
          <w:sz w:val="32"/>
          <w:szCs w:val="32"/>
          <w:lang w:eastAsia="zh-CN"/>
        </w:rPr>
        <w:t>需</w:t>
      </w:r>
      <w:r>
        <w:rPr>
          <w:rFonts w:hint="default" w:ascii="Times New Roman" w:hAnsi="Times New Roman" w:eastAsia="方正仿宋_GBK" w:cs="Times New Roman"/>
          <w:sz w:val="32"/>
          <w:szCs w:val="32"/>
        </w:rPr>
        <w:t>在枯水期增加开采，其超采部分必须丰水期能得到补偿，或者存在着人工补给的可能性。</w:t>
      </w:r>
    </w:p>
    <w:p>
      <w:pPr>
        <w:pStyle w:val="2"/>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3、加强监督</w:t>
      </w:r>
    </w:p>
    <w:p>
      <w:pPr>
        <w:pStyle w:val="2"/>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val="0"/>
          <w:bCs w:val="0"/>
          <w:sz w:val="32"/>
          <w:szCs w:val="32"/>
          <w:lang w:eastAsia="zh-CN"/>
        </w:rPr>
        <w:t>建立和健全地下水动态</w:t>
      </w:r>
      <w:r>
        <w:rPr>
          <w:rFonts w:hint="default" w:ascii="Times New Roman" w:hAnsi="Times New Roman" w:eastAsia="方正仿宋_GBK" w:cs="Times New Roman"/>
          <w:sz w:val="32"/>
          <w:szCs w:val="32"/>
          <w:lang w:eastAsia="zh-CN"/>
        </w:rPr>
        <w:t>检测网，加强对地下水开采利用的监督，进行地下水情的预报，以指导地下水合理开发利用，及时发现和防治由于地下水开采而引起的地质环境和生态环境的恶化。</w:t>
      </w:r>
    </w:p>
    <w:p>
      <w:pPr>
        <w:pStyle w:val="5"/>
        <w:pageBreakBefore w:val="0"/>
        <w:widowControl w:val="0"/>
        <w:kinsoku/>
        <w:wordWrap/>
        <w:overflowPunct/>
        <w:autoSpaceDE/>
        <w:autoSpaceDN/>
        <w:bidi w:val="0"/>
        <w:spacing w:line="590" w:lineRule="exact"/>
        <w:ind w:firstLine="568"/>
        <w:rPr>
          <w:rFonts w:hint="eastAsia" w:ascii="方正楷体_GBK" w:hAnsi="方正楷体_GBK" w:eastAsia="方正楷体_GBK" w:cs="方正楷体_GBK"/>
          <w:b w:val="0"/>
          <w:bCs/>
          <w:kern w:val="2"/>
          <w:sz w:val="32"/>
          <w:szCs w:val="32"/>
          <w:lang w:val="en-US" w:eastAsia="zh-CN" w:bidi="ar-SA"/>
        </w:rPr>
      </w:pPr>
      <w:bookmarkStart w:id="303" w:name="_Toc265569066"/>
      <w:bookmarkStart w:id="304" w:name="_Toc312309948"/>
      <w:bookmarkStart w:id="305" w:name="_Toc511"/>
      <w:bookmarkStart w:id="306" w:name="_Toc271245223"/>
      <w:r>
        <w:rPr>
          <w:rFonts w:hint="eastAsia" w:ascii="方正楷体_GBK" w:hAnsi="方正楷体_GBK" w:eastAsia="方正楷体_GBK" w:cs="方正楷体_GBK"/>
          <w:b w:val="0"/>
          <w:bCs/>
          <w:kern w:val="2"/>
          <w:sz w:val="32"/>
          <w:szCs w:val="32"/>
          <w:lang w:val="en-US" w:eastAsia="zh-CN" w:bidi="ar-SA"/>
        </w:rPr>
        <w:t>七、节水促进水资源保护</w:t>
      </w:r>
      <w:bookmarkEnd w:id="303"/>
      <w:bookmarkEnd w:id="304"/>
      <w:bookmarkEnd w:id="305"/>
      <w:bookmarkEnd w:id="306"/>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提高公众的节水意识并养成节水习惯，注重生活节水；通过管理、技术手段和经济杠杆，将城市生活用水、工业用水控制在流域水资源可承载能力和水环境承载能力的范围内。调整产业结构和工业布局，大力开发和推广节水减污新技术、新工艺、新设备，降低用水量和提高水的重复利用率。减少水分流失和降雨期的排水量，避免农田中化肥、农药等污染物质排人河道，减轻农业面污染源负荷量，有利于区域水环境的改善。大力推进节水型社会建设，促进区域水资源的水量和水质的保护。</w:t>
      </w:r>
    </w:p>
    <w:p>
      <w:pPr>
        <w:pStyle w:val="5"/>
        <w:pageBreakBefore w:val="0"/>
        <w:widowControl w:val="0"/>
        <w:kinsoku/>
        <w:wordWrap/>
        <w:overflowPunct/>
        <w:autoSpaceDE/>
        <w:autoSpaceDN/>
        <w:bidi w:val="0"/>
        <w:spacing w:line="590" w:lineRule="exact"/>
        <w:ind w:firstLine="568"/>
        <w:rPr>
          <w:rFonts w:hint="eastAsia" w:ascii="方正楷体_GBK" w:hAnsi="方正楷体_GBK" w:eastAsia="方正楷体_GBK" w:cs="方正楷体_GBK"/>
          <w:b w:val="0"/>
          <w:bCs/>
          <w:kern w:val="2"/>
          <w:sz w:val="32"/>
          <w:szCs w:val="32"/>
          <w:lang w:val="en-US" w:eastAsia="zh-CN" w:bidi="ar-SA"/>
        </w:rPr>
      </w:pPr>
      <w:bookmarkStart w:id="307" w:name="_Toc271245228"/>
      <w:bookmarkStart w:id="308" w:name="_Toc312309949"/>
      <w:bookmarkStart w:id="309" w:name="_Toc16412"/>
      <w:bookmarkStart w:id="310" w:name="_Toc265569068"/>
      <w:r>
        <w:rPr>
          <w:rFonts w:hint="eastAsia" w:ascii="方正楷体_GBK" w:hAnsi="方正楷体_GBK" w:eastAsia="方正楷体_GBK" w:cs="方正楷体_GBK"/>
          <w:b w:val="0"/>
          <w:bCs/>
          <w:kern w:val="2"/>
          <w:sz w:val="32"/>
          <w:szCs w:val="32"/>
          <w:lang w:val="en-US" w:eastAsia="zh-CN" w:bidi="ar-SA"/>
        </w:rPr>
        <w:t>八、加强饮用水水源地保护</w:t>
      </w:r>
      <w:bookmarkEnd w:id="307"/>
      <w:bookmarkEnd w:id="308"/>
      <w:bookmarkEnd w:id="309"/>
      <w:bookmarkEnd w:id="310"/>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采取清拆和关闭水源地周边的非法建筑和排污口、推行清洁生产、推广工业废水和生活污水的生态治理和污水回用技术，治理水土流失、推行农田最佳养分管理、加大农村生活垃圾处理等污染源控制措施；对重要水源地采取物理隔离、生物隔离、湖库周边及内部生态修复工程等保护及综合整治措施对饮用水源地进行保护。完善用水安全防范体系，加强应急响应能力建设。</w:t>
      </w:r>
    </w:p>
    <w:p>
      <w:pPr>
        <w:pStyle w:val="5"/>
        <w:pageBreakBefore w:val="0"/>
        <w:widowControl w:val="0"/>
        <w:kinsoku/>
        <w:wordWrap/>
        <w:overflowPunct/>
        <w:autoSpaceDE/>
        <w:autoSpaceDN/>
        <w:bidi w:val="0"/>
        <w:spacing w:line="590" w:lineRule="exact"/>
        <w:ind w:firstLine="568"/>
        <w:rPr>
          <w:rFonts w:hint="eastAsia" w:ascii="方正楷体_GBK" w:hAnsi="方正楷体_GBK" w:eastAsia="方正楷体_GBK" w:cs="方正楷体_GBK"/>
          <w:b w:val="0"/>
          <w:bCs/>
          <w:kern w:val="2"/>
          <w:sz w:val="32"/>
          <w:szCs w:val="32"/>
          <w:lang w:val="en-US" w:eastAsia="zh-CN" w:bidi="ar-SA"/>
        </w:rPr>
      </w:pPr>
      <w:bookmarkStart w:id="311" w:name="_Toc265569073"/>
      <w:bookmarkStart w:id="312" w:name="_Toc271245234"/>
      <w:bookmarkStart w:id="313" w:name="_Toc13611"/>
      <w:bookmarkStart w:id="314" w:name="_Toc312309950"/>
      <w:r>
        <w:rPr>
          <w:rFonts w:hint="eastAsia" w:ascii="方正楷体_GBK" w:hAnsi="方正楷体_GBK" w:eastAsia="方正楷体_GBK" w:cs="方正楷体_GBK"/>
          <w:b w:val="0"/>
          <w:bCs/>
          <w:kern w:val="2"/>
          <w:sz w:val="32"/>
          <w:szCs w:val="32"/>
          <w:lang w:val="en-US" w:eastAsia="zh-CN" w:bidi="ar-SA"/>
        </w:rPr>
        <w:t>九、加强水资源保护</w:t>
      </w:r>
      <w:bookmarkEnd w:id="311"/>
      <w:bookmarkEnd w:id="312"/>
      <w:r>
        <w:rPr>
          <w:rFonts w:hint="eastAsia" w:ascii="方正楷体_GBK" w:hAnsi="方正楷体_GBK" w:eastAsia="方正楷体_GBK" w:cs="方正楷体_GBK"/>
          <w:b w:val="0"/>
          <w:bCs/>
          <w:kern w:val="2"/>
          <w:sz w:val="32"/>
          <w:szCs w:val="32"/>
          <w:lang w:val="en-US" w:eastAsia="zh-CN" w:bidi="ar-SA"/>
        </w:rPr>
        <w:t>监督管理</w:t>
      </w:r>
      <w:bookmarkEnd w:id="313"/>
      <w:bookmarkEnd w:id="314"/>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bookmarkStart w:id="315" w:name="_Toc265569074"/>
      <w:bookmarkStart w:id="316" w:name="_Toc271245235"/>
      <w:r>
        <w:rPr>
          <w:rFonts w:hint="default" w:ascii="Times New Roman" w:hAnsi="Times New Roman" w:eastAsia="方正仿宋_GBK" w:cs="Times New Roman"/>
          <w:sz w:val="32"/>
          <w:szCs w:val="32"/>
        </w:rPr>
        <w:t>① 加强以水功能区为核心的水资源保护监督管理</w:t>
      </w:r>
      <w:bookmarkEnd w:id="315"/>
      <w:bookmarkEnd w:id="316"/>
      <w:r>
        <w:rPr>
          <w:rFonts w:hint="default" w:ascii="Times New Roman" w:hAnsi="Times New Roman" w:eastAsia="方正仿宋_GBK" w:cs="Times New Roman"/>
          <w:sz w:val="32"/>
          <w:szCs w:val="32"/>
        </w:rPr>
        <w:t>；</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bookmarkStart w:id="317" w:name="_Toc265569075"/>
      <w:bookmarkStart w:id="318" w:name="_Toc271245236"/>
      <w:r>
        <w:rPr>
          <w:rFonts w:hint="default" w:ascii="Times New Roman" w:hAnsi="Times New Roman" w:eastAsia="方正仿宋_GBK" w:cs="Times New Roman"/>
          <w:sz w:val="32"/>
          <w:szCs w:val="32"/>
        </w:rPr>
        <w:t>② 加强水环境监测体系建设</w:t>
      </w:r>
      <w:bookmarkEnd w:id="317"/>
      <w:bookmarkEnd w:id="318"/>
      <w:r>
        <w:rPr>
          <w:rFonts w:hint="default" w:ascii="Times New Roman" w:hAnsi="Times New Roman" w:eastAsia="方正仿宋_GBK" w:cs="Times New Roman"/>
          <w:sz w:val="32"/>
          <w:szCs w:val="32"/>
        </w:rPr>
        <w:t>；</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bookmarkStart w:id="319" w:name="_Toc271245238"/>
      <w:r>
        <w:rPr>
          <w:rFonts w:hint="default" w:ascii="Times New Roman" w:hAnsi="Times New Roman" w:eastAsia="方正仿宋_GBK" w:cs="Times New Roman"/>
          <w:sz w:val="32"/>
          <w:szCs w:val="32"/>
        </w:rPr>
        <w:t>③ 完善水资源保护的法规政策</w:t>
      </w:r>
      <w:bookmarkEnd w:id="319"/>
      <w:r>
        <w:rPr>
          <w:rFonts w:hint="default" w:ascii="Times New Roman" w:hAnsi="Times New Roman" w:eastAsia="方正仿宋_GBK" w:cs="Times New Roman"/>
          <w:sz w:val="32"/>
          <w:szCs w:val="32"/>
        </w:rPr>
        <w:t>。</w:t>
      </w:r>
    </w:p>
    <w:p>
      <w:pPr>
        <w:pStyle w:val="5"/>
        <w:pageBreakBefore w:val="0"/>
        <w:widowControl w:val="0"/>
        <w:kinsoku/>
        <w:wordWrap/>
        <w:overflowPunct/>
        <w:autoSpaceDE/>
        <w:autoSpaceDN/>
        <w:bidi w:val="0"/>
        <w:spacing w:line="590" w:lineRule="exact"/>
        <w:ind w:firstLine="568"/>
        <w:rPr>
          <w:rFonts w:hint="eastAsia" w:ascii="方正楷体_GBK" w:hAnsi="方正楷体_GBK" w:eastAsia="方正楷体_GBK" w:cs="方正楷体_GBK"/>
          <w:b w:val="0"/>
          <w:bCs/>
          <w:kern w:val="2"/>
          <w:sz w:val="32"/>
          <w:szCs w:val="32"/>
          <w:lang w:val="en-US" w:eastAsia="zh-CN" w:bidi="ar-SA"/>
        </w:rPr>
      </w:pPr>
      <w:bookmarkStart w:id="320" w:name="_Toc271245237"/>
      <w:bookmarkStart w:id="321" w:name="_Toc265569077"/>
      <w:bookmarkStart w:id="322" w:name="_Toc3831"/>
      <w:bookmarkStart w:id="323" w:name="_Toc312309951"/>
      <w:r>
        <w:rPr>
          <w:rFonts w:hint="eastAsia" w:ascii="方正楷体_GBK" w:hAnsi="方正楷体_GBK" w:eastAsia="方正楷体_GBK" w:cs="方正楷体_GBK"/>
          <w:b w:val="0"/>
          <w:bCs/>
          <w:kern w:val="2"/>
          <w:sz w:val="32"/>
          <w:szCs w:val="32"/>
          <w:lang w:val="en-US" w:eastAsia="zh-CN" w:bidi="ar-SA"/>
        </w:rPr>
        <w:t>十、加强相关科学研究</w:t>
      </w:r>
      <w:bookmarkEnd w:id="320"/>
      <w:bookmarkEnd w:id="321"/>
      <w:bookmarkEnd w:id="322"/>
      <w:bookmarkEnd w:id="323"/>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加强水功能区监测技术和指标体系相关研究，在重点区域开展以水质模型、遥感监测等新技术为重点的应用研究，建立完善水环境信息管理系统；加强排污交易机制、流域生态补偿、河流湖泊生态需水、水生态修复以及水库生态调度等水资源保护科研工作，为实现区域水资源保护提供技术支撑。</w:t>
      </w:r>
    </w:p>
    <w:p>
      <w:pPr>
        <w:pStyle w:val="4"/>
        <w:pageBreakBefore w:val="0"/>
        <w:widowControl w:val="0"/>
        <w:kinsoku/>
        <w:wordWrap/>
        <w:overflowPunct/>
        <w:autoSpaceDE/>
        <w:autoSpaceDN/>
        <w:bidi w:val="0"/>
        <w:spacing w:line="590" w:lineRule="exact"/>
        <w:rPr>
          <w:rFonts w:hint="default" w:ascii="Times New Roman" w:hAnsi="Times New Roman" w:eastAsia="方正黑体_GBK" w:cs="Times New Roman"/>
          <w:b w:val="0"/>
          <w:bCs w:val="0"/>
          <w:sz w:val="32"/>
          <w:szCs w:val="32"/>
          <w:lang w:val="en-US" w:eastAsia="zh-CN"/>
        </w:rPr>
      </w:pPr>
      <w:bookmarkStart w:id="324" w:name="_Toc312309952"/>
      <w:bookmarkStart w:id="325" w:name="_Toc16668"/>
    </w:p>
    <w:p>
      <w:pPr>
        <w:pStyle w:val="4"/>
        <w:pageBreakBefore w:val="0"/>
        <w:widowControl w:val="0"/>
        <w:kinsoku/>
        <w:wordWrap/>
        <w:overflowPunct/>
        <w:autoSpaceDE/>
        <w:autoSpaceDN/>
        <w:bidi w:val="0"/>
        <w:spacing w:line="590" w:lineRule="exact"/>
        <w:rPr>
          <w:rFonts w:hint="default" w:ascii="Times New Roman" w:hAnsi="Times New Roman" w:eastAsia="方正黑体_GBK" w:cs="Times New Roman"/>
          <w:b w:val="0"/>
          <w:bCs w:val="0"/>
          <w:sz w:val="32"/>
          <w:szCs w:val="32"/>
          <w:lang w:val="en-US" w:eastAsia="zh-CN"/>
        </w:rPr>
      </w:pPr>
      <w:r>
        <w:rPr>
          <w:rFonts w:hint="default" w:ascii="Times New Roman" w:hAnsi="Times New Roman" w:eastAsia="方正黑体_GBK" w:cs="Times New Roman"/>
          <w:b w:val="0"/>
          <w:bCs w:val="0"/>
          <w:sz w:val="32"/>
          <w:szCs w:val="32"/>
          <w:lang w:val="en-US" w:eastAsia="zh-CN"/>
        </w:rPr>
        <w:t>第七节 重要水域水资源保护规划意见</w:t>
      </w:r>
      <w:bookmarkEnd w:id="324"/>
      <w:bookmarkEnd w:id="325"/>
    </w:p>
    <w:p>
      <w:pPr>
        <w:pStyle w:val="5"/>
        <w:pageBreakBefore w:val="0"/>
        <w:widowControl w:val="0"/>
        <w:kinsoku/>
        <w:wordWrap/>
        <w:overflowPunct/>
        <w:autoSpaceDE/>
        <w:autoSpaceDN/>
        <w:bidi w:val="0"/>
        <w:spacing w:line="590" w:lineRule="exact"/>
        <w:ind w:firstLine="568"/>
        <w:rPr>
          <w:rFonts w:hint="eastAsia" w:ascii="方正楷体_GBK" w:hAnsi="方正楷体_GBK" w:eastAsia="方正楷体_GBK" w:cs="方正楷体_GBK"/>
          <w:b w:val="0"/>
          <w:bCs w:val="0"/>
          <w:sz w:val="32"/>
          <w:szCs w:val="32"/>
        </w:rPr>
      </w:pPr>
      <w:bookmarkStart w:id="326" w:name="_Toc27842"/>
      <w:bookmarkStart w:id="327" w:name="_Toc312309953"/>
      <w:bookmarkStart w:id="328" w:name="_Toc271245226"/>
      <w:r>
        <w:rPr>
          <w:rFonts w:hint="eastAsia" w:ascii="方正楷体_GBK" w:hAnsi="方正楷体_GBK" w:eastAsia="方正楷体_GBK" w:cs="方正楷体_GBK"/>
          <w:b w:val="0"/>
          <w:bCs w:val="0"/>
          <w:sz w:val="32"/>
          <w:szCs w:val="32"/>
        </w:rPr>
        <w:t>一、引江济淮工程输水沿线水源地保护</w:t>
      </w:r>
      <w:bookmarkEnd w:id="326"/>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引江济淮工程按其所在位置和主要功能，引江济淮工程输水线路自南向北可划分为引江济巢、江淮沟通、江水北送三个密切相关且相对独立的三大段落。淮南市境内涉及江淮沟通和江水北送两大段落，江淮沟通段自合肥市派河口沿派河上溯，跨越江淮分水岭，经东淝河进入瓦埠湖湖区。</w:t>
      </w:r>
    </w:p>
    <w:p>
      <w:pPr>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bCs/>
          <w:sz w:val="32"/>
          <w:szCs w:val="32"/>
        </w:rPr>
      </w:pPr>
      <w:r>
        <w:rPr>
          <w:rFonts w:hint="default" w:ascii="Times New Roman" w:hAnsi="Times New Roman" w:eastAsia="方正仿宋_GBK" w:cs="Times New Roman"/>
          <w:sz w:val="32"/>
          <w:szCs w:val="32"/>
        </w:rPr>
        <w:t>江水北送承担着向淮北皖豫两省输水任务，主要利用沙颍河、西淝河、涡河等现有河道和在建的淮水北调形成多条输水线路，其中沙颍河、涡河线路主要承担农业灌溉补水任务，西淝河、淮水北调主要承担城市供水任务。淮南市境内主要涉及西淝河线路，</w:t>
      </w:r>
      <w:r>
        <w:rPr>
          <w:rFonts w:hint="default" w:ascii="Times New Roman" w:hAnsi="Times New Roman" w:eastAsia="方正仿宋_GBK" w:cs="Times New Roman"/>
          <w:kern w:val="10"/>
          <w:sz w:val="32"/>
          <w:szCs w:val="32"/>
        </w:rPr>
        <w:t>西淝河线路是引江济淮工程向安徽淮河以北地区和河南省供水的主要通道，其供水范围涉及到阜阳、亳州、周口、商丘部分县区。引江济淮水量经瓦埠湖进入淮河干流后，在西淝河口由西淝河站抽水进入西淝河，后经阚疃南站、西淝河北站、朱集站、龙德站等泵站逐级向北供水，直至供水至河南。西淝河站设计输水流量均为85m³/s。</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为了保障引江济淮工程能够充分发挥其工程效益需加强对输水沿线的水源地保护工程，确保工程输水水质安全。</w:t>
      </w:r>
    </w:p>
    <w:p>
      <w:pPr>
        <w:pStyle w:val="5"/>
        <w:pageBreakBefore w:val="0"/>
        <w:widowControl w:val="0"/>
        <w:kinsoku/>
        <w:wordWrap/>
        <w:overflowPunct/>
        <w:autoSpaceDE/>
        <w:autoSpaceDN/>
        <w:bidi w:val="0"/>
        <w:spacing w:line="590" w:lineRule="exact"/>
        <w:ind w:firstLine="568"/>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（1）输水水质保障措施</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 1 \* GB3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①</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sz w:val="32"/>
          <w:szCs w:val="32"/>
        </w:rPr>
        <w:t xml:space="preserve"> 加强饮用水源管理，适当调整水功能区</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工程建成后向城镇提供生活供水，需根据《饮用水水源保护区划分技术规范》（HJ/T338-2007）划定饮用水水源保护区范围，将水源地保护区的设置纳入当地社会经济发展规划和水污染防治规划，保障供水水质达标。相应调整输水河流水功能区划，并根据水源地水质保护要求加强管理。</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对各向城镇生活供水取水口采取隔离防护，每个取水口上下游设置500m隔离护栏，通过在保护区边界设立隔离防护措施，防止人类活动等对水源地的干扰，拦截污染物直接进入水源保护区。</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 2 \* GB3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②</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sz w:val="32"/>
          <w:szCs w:val="32"/>
        </w:rPr>
        <w:t xml:space="preserve"> 强化面源治理，合理规划水产养殖</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在输水河流河段汇水区内按照水质保护要求全面防治污染源，同时对面源污染加强治理，控制氮、磷等营养物质入河量，特别应加强西淝河污染源治理。减少面源污染从三个方面入手：一是结合小流域治理，加强水土保持建设，减少水土流失入河量；二是减少化肥、农药的施用量，调整农业产业结构，大利发展生态农业，控制使用有机氯农药，减少土壤中氮磷的损失；三是搞节水灌溉，减少农田排水量，以减少污水入河量。</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输水河流水产养殖业的发展，必须服从河流输水水质的要求，要在保证水体满足功能区划要求前提下适度发展，做好相应规划工作，并严格控制规模，禁止网箱养鱼。</w:t>
      </w:r>
    </w:p>
    <w:p>
      <w:pPr>
        <w:pStyle w:val="5"/>
        <w:pageBreakBefore w:val="0"/>
        <w:widowControl w:val="0"/>
        <w:kinsoku/>
        <w:wordWrap/>
        <w:overflowPunct/>
        <w:autoSpaceDE/>
        <w:autoSpaceDN/>
        <w:bidi w:val="0"/>
        <w:spacing w:line="590" w:lineRule="exact"/>
        <w:ind w:firstLine="568"/>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 3 \* GB3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③</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sz w:val="32"/>
          <w:szCs w:val="32"/>
        </w:rPr>
        <w:t xml:space="preserve"> 注重水质监测，保证供水安全</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工程运行期间，应加强输水河流及其支流水质的监测，特别是淮河、西淝河承担城镇生活供水功能，运行期间应加强水质监测，确保供水安全。其中承担生活供水任务的输水河流水质监测频率不应少于每旬1次。</w:t>
      </w:r>
    </w:p>
    <w:p>
      <w:pPr>
        <w:pStyle w:val="5"/>
        <w:pageBreakBefore w:val="0"/>
        <w:widowControl w:val="0"/>
        <w:kinsoku/>
        <w:wordWrap/>
        <w:overflowPunct/>
        <w:autoSpaceDE/>
        <w:autoSpaceDN/>
        <w:bidi w:val="0"/>
        <w:spacing w:line="590" w:lineRule="exact"/>
        <w:ind w:firstLine="568"/>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（2）截、治污工程保护水资源措施</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sz w:val="32"/>
          <w:szCs w:val="32"/>
        </w:rPr>
        <w:t>引江济淮工程要求污水不得排入输水干线，沿线一些城镇、工业废污水和污水处理厂尾水原有的排放路径被截断，这部分污水集中排放入其他水体，同样是不容忽视的污染源。污水处置主要有三种途径：一是处理达标后直接排放，二是深度处理后回用，三是建设尾水净化工程对尾水进一步处理，达到预定水质标准，减轻对排入水体的水环境压力，并多渠道加以回用。因此，在实施引江济淮输水沿线污水截导工程的同时，必须统筹考虑区域水系、水环境情况，合理设置排放口，将污水净化和资源化利用结合</w:t>
      </w:r>
      <w:r>
        <w:rPr>
          <w:rFonts w:hint="default" w:ascii="Times New Roman" w:hAnsi="Times New Roman" w:eastAsia="方正仿宋_GBK" w:cs="Times New Roman"/>
          <w:b w:val="0"/>
          <w:bCs w:val="0"/>
          <w:sz w:val="32"/>
          <w:szCs w:val="32"/>
        </w:rPr>
        <w:t>起来，保证纳污区域的水环境安全。</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（1）规范排放，加强监测</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我国污水处理厂处理程度分为三级：一级处理、二级处理和三级处理（深度处理），一般以一级处理为预处理，二级处理为主体，必要时再进行深度处理。可以使尾水达到或优于一级A排放标准。引江济淮截污、导污工程各接管水质应符合《城镇污水处理厂污染物排放标准》（GB18918-2002）一级A标准要求。污水处理监测不合格尾水不进入截污、导污系统。加强管理，定期巡查，发现异常及时检修。同时，加强水环境污染较重地区的水质检测控制工作，加快污染较重企业的产业结构调整，减少废、污水排放量。</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（2）深度处理，中水回用</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一级A 标准是污水处理厂出水作为回用水的基本要求，污水厂二级处理后污水中仍含有氮、磷和难以生物降解的有机物、矿物质、病原体等，根据出水去向和用途进行深度处理，深度处理的基建、运行费用高，实际运行过程中，要根据回用要求有针对性地选择深度处理工艺，并配套建设输配水管网，构成完整的中水回用系统。城市污水经深度处理后，达到循环冷却水水质标准，回用作为工业循环冷却补充水也是污水处理厂尾水回用的主要途径之一。此外，中水亦可回用于景观用水和市政杂用水。但是，由于处理后的中水水质仍复杂多变，缺乏稳定性，结垢、腐蚀因素变化大，给工业企业中水回用带来一定的难度，是急需解决的技术问题。</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（3）生态净化，截留污染</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rPr>
        <w:t>废、污水净化工程是指对污水处理厂达标排放的尾水进行进一步处理，达到一定的水质标准，实现</w:t>
      </w:r>
      <w:r>
        <w:rPr>
          <w:rFonts w:hint="default" w:ascii="Times New Roman" w:hAnsi="Times New Roman" w:eastAsia="方正仿宋_GBK" w:cs="Times New Roman"/>
          <w:sz w:val="32"/>
          <w:szCs w:val="32"/>
        </w:rPr>
        <w:t>资源化和无害化。</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a人工湿地</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人工湿地人工湿地污水处理系统是人为地用土壤或砾石等填料混合组成填料床，在床体表面种植对污染物吸收能力强且耐受性好、成活率高、生长周期长的水生植物，尾水流经床体表面和床体填料缝隙时, 通过过滤、吸附、沉淀、离子交换、植物吸收和微生物分解等，去除尾水中的悬浮物、有机物、氮、磷和重金属等，实现对污水的高效净化。</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b稳定塘</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稳定塘是利用天然净化能力对污水进行处理的构筑物的总称，通常是将土地进行适当修整，在塘中种植水生植物，进行水产和水禽养殖，形成人工生态系统，尾水在塘内经长时间的缓慢流动和停留，通过生物的代谢活动降解，稳定塘污水处理系统能充分利用地形，在已有河道、洼地、池塘等地段建设，结构简单，运行稳定，还可以作为污水回用的节点。</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稳定塘与人工湿地联合运用和合理设计即可很好地处理COD，也对N、P有较高的去除率，结合必要的景观设计，可以美化环境。</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此外，可通过选择上游来水量大、流速变化大，自然复氧能力强的河流或河段作为受纳水体，作为净化的辅助手段。同时在引江济淮工程渠道开挖等过程中，考虑尾水输送生态系统自身的需求，吸收、融合生态学的原理，因地制宜地构建弯曲和蜿蜒，急流、缓流，深潭、浅滩交错相间的格局，形成尾水流速、流量、水位和水深的变化；在渠道横向上采用由主槽和浅滩组成的复式断面，保持渠道侧向的连续性；注重渠道形态和生物群落的多样化，构建尾水输送、净化通道。</w:t>
      </w:r>
    </w:p>
    <w:p>
      <w:pPr>
        <w:pStyle w:val="5"/>
        <w:pageBreakBefore w:val="0"/>
        <w:widowControl w:val="0"/>
        <w:kinsoku/>
        <w:wordWrap/>
        <w:overflowPunct/>
        <w:autoSpaceDE/>
        <w:autoSpaceDN/>
        <w:bidi w:val="0"/>
        <w:spacing w:line="590" w:lineRule="exact"/>
        <w:ind w:firstLine="568"/>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（3）主要治污工程</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引江济淮工程治污规划》，为了引江济淮工程治污规划区域水质保护总体目标、重点任务及污染物总量控制目标，设置了生活污水治理、工业污染防治、规模化畜禽养殖废物治理、垃圾渗滤液治理、面源污染防治、内源污染防治、生态保育、区域水环境综合整治能力建设等9大类治污工程，其中淮南市涉及到瓦埠湖控制区、蚌埠闸上控制区、正阳关下控制区、西淝河茨淮新河控制区。</w:t>
      </w:r>
    </w:p>
    <w:p>
      <w:pPr>
        <w:pageBreakBefore w:val="0"/>
        <w:widowControl w:val="0"/>
        <w:kinsoku/>
        <w:wordWrap/>
        <w:overflowPunct/>
        <w:autoSpaceDE/>
        <w:autoSpaceDN/>
        <w:bidi w:val="0"/>
        <w:spacing w:line="590" w:lineRule="exact"/>
        <w:ind w:firstLine="643" w:firstLineChars="200"/>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瓦埠湖控制区</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重点工程24个，工程总投资5.09亿元。其中生活污水处理工程14个，投资1.35亿元，工程建成后可新增污水处理能力2.72万t/d；规模化畜禽养殖废物治理工程4个，投资1001万元，主要治污措施采取干清粪、堆肥发酵、沼气工程、污水深度处理与废弃物农业综合利用等方式；区域水环境综合整治工程1个，投资0.8亿元，主要措施为河道清淤整治、边坡防护、河岸绿化、建筑物配套、堤顶道路修筑等；生态保育工程3个，投资2.50亿元，主要措施为湖滨带生态修复、饮用水源地湿地工程及围网拆除等；能力建设工程1个，投资3500万元，主要是瓦埠湖湖泊生态系统观测研究站的建设，另外，截污导流工程1个，主要是将寿县污水厂尾水导入淮干，排污口附近新建湿地，尾水经湿地净化后进入淮干。</w:t>
      </w:r>
    </w:p>
    <w:p>
      <w:pPr>
        <w:pageBreakBefore w:val="0"/>
        <w:widowControl w:val="0"/>
        <w:kinsoku/>
        <w:wordWrap/>
        <w:overflowPunct/>
        <w:autoSpaceDE/>
        <w:autoSpaceDN/>
        <w:bidi w:val="0"/>
        <w:spacing w:line="590" w:lineRule="exact"/>
        <w:ind w:firstLine="643" w:firstLineChars="200"/>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蚌埠闸上控制区</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安排重点工程8个，工程总投资约4.93亿元，其中生活污水处理项目3个（包括县城污水厂新、扩建，乡镇及农村污水厂新建等），投资约2.77亿元，工程建成后可新增污水处理能力11万t/d；面源污染防治工程1个，投资约231万元；工业污染治理工程3个，投资约1.37亿元，工业废水采取深度处理的措施；生态保育工程1个，投资约1.15亿元元。</w:t>
      </w:r>
    </w:p>
    <w:p>
      <w:pPr>
        <w:pageBreakBefore w:val="0"/>
        <w:widowControl w:val="0"/>
        <w:kinsoku/>
        <w:wordWrap/>
        <w:overflowPunct/>
        <w:autoSpaceDE/>
        <w:autoSpaceDN/>
        <w:bidi w:val="0"/>
        <w:spacing w:line="590" w:lineRule="exact"/>
        <w:ind w:firstLine="643" w:firstLineChars="200"/>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正阳关下控制区</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安排重点工程8个，工程总投资约5332.85万元，其中生活污水处理项目6个（包括县城污水厂新、扩建，乡镇及农村污水厂新建等），投资5000万元，工程建成后可新增污水处理能力0.47万t/d；规模化畜禽养殖工程2个，投资约330万元，主要的治污措施采取干清粪、堆肥发酵、沼气工程、污水深度处理与废弃物农业综合利用等方式。</w:t>
      </w:r>
    </w:p>
    <w:p>
      <w:pPr>
        <w:pageBreakBefore w:val="0"/>
        <w:widowControl w:val="0"/>
        <w:kinsoku/>
        <w:wordWrap/>
        <w:overflowPunct/>
        <w:autoSpaceDE/>
        <w:autoSpaceDN/>
        <w:bidi w:val="0"/>
        <w:spacing w:line="590" w:lineRule="exact"/>
        <w:ind w:firstLine="643" w:firstLineChars="200"/>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西淝河茨淮新河控制区</w:t>
      </w:r>
    </w:p>
    <w:p>
      <w:pPr>
        <w:pageBreakBefore w:val="0"/>
        <w:widowControl w:val="0"/>
        <w:kinsoku/>
        <w:wordWrap/>
        <w:overflowPunct/>
        <w:autoSpaceDE/>
        <w:autoSpaceDN/>
        <w:bidi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安排重点工程7个，其中生活污水处理项目5个（包括县城污水厂新、扩建，乡镇及农村污水厂新建等），投资1.28亿元，工程建成后可新增污水处理能力1.89万t/d；安排截污导流工程2个，分别是在凤台县新集镇、张集镇和毛集镇新建节制闸、开挖河道，通过管道将新集、张集、毛集污水输送至颍凤河；截顾桥镇和阚疃镇污水进入永幸河。</w:t>
      </w:r>
    </w:p>
    <w:p>
      <w:pPr>
        <w:ind w:firstLine="482" w:firstLineChars="200"/>
        <w:jc w:val="center"/>
        <w:rPr>
          <w:rFonts w:hint="eastAsia" w:ascii="方正黑体_GBK" w:hAnsi="方正黑体_GBK" w:eastAsia="方正黑体_GBK" w:cs="方正黑体_GBK"/>
          <w:b/>
          <w:sz w:val="24"/>
        </w:rPr>
      </w:pPr>
      <w:r>
        <w:rPr>
          <w:rFonts w:hint="eastAsia" w:ascii="方正黑体_GBK" w:hAnsi="方正黑体_GBK" w:eastAsia="方正黑体_GBK" w:cs="方正黑体_GBK"/>
          <w:b/>
          <w:sz w:val="24"/>
        </w:rPr>
        <w:t>表7.7-1   引江济淮工程淮南市各控制区重点治污工程</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2977"/>
        <w:gridCol w:w="1236"/>
        <w:gridCol w:w="1489"/>
        <w:gridCol w:w="1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192"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控制区</w:t>
            </w:r>
          </w:p>
        </w:tc>
        <w:tc>
          <w:tcPr>
            <w:tcW w:w="2977"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项目类型</w:t>
            </w:r>
          </w:p>
        </w:tc>
        <w:tc>
          <w:tcPr>
            <w:tcW w:w="123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项目个数</w:t>
            </w:r>
          </w:p>
        </w:tc>
        <w:tc>
          <w:tcPr>
            <w:tcW w:w="1489"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规模</w:t>
            </w:r>
          </w:p>
        </w:tc>
        <w:tc>
          <w:tcPr>
            <w:tcW w:w="162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投资（亿元）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192" w:type="dxa"/>
            <w:vMerge w:val="restart"/>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瓦埠湖控制区</w:t>
            </w:r>
          </w:p>
        </w:tc>
        <w:tc>
          <w:tcPr>
            <w:tcW w:w="2977"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生活污水处理工程</w:t>
            </w:r>
          </w:p>
        </w:tc>
        <w:tc>
          <w:tcPr>
            <w:tcW w:w="123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14</w:t>
            </w:r>
          </w:p>
        </w:tc>
        <w:tc>
          <w:tcPr>
            <w:tcW w:w="1489"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2.72万t/d</w:t>
            </w:r>
          </w:p>
        </w:tc>
        <w:tc>
          <w:tcPr>
            <w:tcW w:w="162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192" w:type="dxa"/>
            <w:vMerge w:val="continue"/>
            <w:noWrap w:val="0"/>
            <w:vAlign w:val="center"/>
          </w:tcPr>
          <w:p>
            <w:pPr>
              <w:widowControl/>
              <w:adjustRightInd w:val="0"/>
              <w:snapToGrid w:val="0"/>
              <w:jc w:val="left"/>
              <w:rPr>
                <w:rFonts w:hint="default" w:ascii="Times New Roman" w:hAnsi="Times New Roman" w:eastAsia="方正仿宋_GBK" w:cs="Times New Roman"/>
                <w:color w:val="000000"/>
                <w:kern w:val="0"/>
                <w:szCs w:val="21"/>
              </w:rPr>
            </w:pPr>
          </w:p>
        </w:tc>
        <w:tc>
          <w:tcPr>
            <w:tcW w:w="2977"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规模化畜禽养殖废物治理</w:t>
            </w:r>
          </w:p>
        </w:tc>
        <w:tc>
          <w:tcPr>
            <w:tcW w:w="123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w:t>
            </w:r>
          </w:p>
        </w:tc>
        <w:tc>
          <w:tcPr>
            <w:tcW w:w="1489"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w:t>
            </w:r>
          </w:p>
        </w:tc>
        <w:tc>
          <w:tcPr>
            <w:tcW w:w="162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192" w:type="dxa"/>
            <w:vMerge w:val="continue"/>
            <w:noWrap w:val="0"/>
            <w:vAlign w:val="center"/>
          </w:tcPr>
          <w:p>
            <w:pPr>
              <w:widowControl/>
              <w:adjustRightInd w:val="0"/>
              <w:snapToGrid w:val="0"/>
              <w:jc w:val="left"/>
              <w:rPr>
                <w:rFonts w:hint="default" w:ascii="Times New Roman" w:hAnsi="Times New Roman" w:eastAsia="方正仿宋_GBK" w:cs="Times New Roman"/>
                <w:color w:val="000000"/>
                <w:kern w:val="0"/>
                <w:szCs w:val="21"/>
              </w:rPr>
            </w:pPr>
          </w:p>
        </w:tc>
        <w:tc>
          <w:tcPr>
            <w:tcW w:w="2977"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水环境综合整治工程</w:t>
            </w:r>
          </w:p>
        </w:tc>
        <w:tc>
          <w:tcPr>
            <w:tcW w:w="123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w:t>
            </w:r>
          </w:p>
        </w:tc>
        <w:tc>
          <w:tcPr>
            <w:tcW w:w="1489"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w:t>
            </w:r>
          </w:p>
        </w:tc>
        <w:tc>
          <w:tcPr>
            <w:tcW w:w="162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192" w:type="dxa"/>
            <w:vMerge w:val="continue"/>
            <w:noWrap w:val="0"/>
            <w:vAlign w:val="center"/>
          </w:tcPr>
          <w:p>
            <w:pPr>
              <w:widowControl/>
              <w:adjustRightInd w:val="0"/>
              <w:snapToGrid w:val="0"/>
              <w:jc w:val="left"/>
              <w:rPr>
                <w:rFonts w:hint="default" w:ascii="Times New Roman" w:hAnsi="Times New Roman" w:eastAsia="方正仿宋_GBK" w:cs="Times New Roman"/>
                <w:color w:val="000000"/>
                <w:kern w:val="0"/>
                <w:szCs w:val="21"/>
              </w:rPr>
            </w:pPr>
          </w:p>
        </w:tc>
        <w:tc>
          <w:tcPr>
            <w:tcW w:w="2977"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生态保育</w:t>
            </w:r>
          </w:p>
        </w:tc>
        <w:tc>
          <w:tcPr>
            <w:tcW w:w="123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w:t>
            </w:r>
          </w:p>
        </w:tc>
        <w:tc>
          <w:tcPr>
            <w:tcW w:w="1489"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w:t>
            </w:r>
          </w:p>
        </w:tc>
        <w:tc>
          <w:tcPr>
            <w:tcW w:w="162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192" w:type="dxa"/>
            <w:vMerge w:val="continue"/>
            <w:noWrap w:val="0"/>
            <w:vAlign w:val="center"/>
          </w:tcPr>
          <w:p>
            <w:pPr>
              <w:widowControl/>
              <w:adjustRightInd w:val="0"/>
              <w:snapToGrid w:val="0"/>
              <w:jc w:val="left"/>
              <w:rPr>
                <w:rFonts w:hint="default" w:ascii="Times New Roman" w:hAnsi="Times New Roman" w:eastAsia="方正仿宋_GBK" w:cs="Times New Roman"/>
                <w:color w:val="000000"/>
                <w:kern w:val="0"/>
                <w:szCs w:val="21"/>
              </w:rPr>
            </w:pPr>
          </w:p>
        </w:tc>
        <w:tc>
          <w:tcPr>
            <w:tcW w:w="2977"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能力建设工程</w:t>
            </w:r>
          </w:p>
        </w:tc>
        <w:tc>
          <w:tcPr>
            <w:tcW w:w="123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w:t>
            </w:r>
          </w:p>
        </w:tc>
        <w:tc>
          <w:tcPr>
            <w:tcW w:w="1489"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w:t>
            </w:r>
          </w:p>
        </w:tc>
        <w:tc>
          <w:tcPr>
            <w:tcW w:w="162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192" w:type="dxa"/>
            <w:vMerge w:val="continue"/>
            <w:noWrap w:val="0"/>
            <w:vAlign w:val="center"/>
          </w:tcPr>
          <w:p>
            <w:pPr>
              <w:widowControl/>
              <w:adjustRightInd w:val="0"/>
              <w:snapToGrid w:val="0"/>
              <w:jc w:val="left"/>
              <w:rPr>
                <w:rFonts w:hint="default" w:ascii="Times New Roman" w:hAnsi="Times New Roman" w:eastAsia="方正仿宋_GBK" w:cs="Times New Roman"/>
                <w:color w:val="000000"/>
                <w:kern w:val="0"/>
                <w:szCs w:val="21"/>
              </w:rPr>
            </w:pPr>
          </w:p>
        </w:tc>
        <w:tc>
          <w:tcPr>
            <w:tcW w:w="2977"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截污导流工程</w:t>
            </w:r>
          </w:p>
        </w:tc>
        <w:tc>
          <w:tcPr>
            <w:tcW w:w="123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w:t>
            </w:r>
          </w:p>
        </w:tc>
        <w:tc>
          <w:tcPr>
            <w:tcW w:w="1489"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w:t>
            </w:r>
          </w:p>
        </w:tc>
        <w:tc>
          <w:tcPr>
            <w:tcW w:w="162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192" w:type="dxa"/>
            <w:vMerge w:val="restart"/>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蚌埠闸上控制区</w:t>
            </w:r>
          </w:p>
        </w:tc>
        <w:tc>
          <w:tcPr>
            <w:tcW w:w="2977"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生活污水处理工程</w:t>
            </w:r>
          </w:p>
        </w:tc>
        <w:tc>
          <w:tcPr>
            <w:tcW w:w="123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w:t>
            </w:r>
          </w:p>
        </w:tc>
        <w:tc>
          <w:tcPr>
            <w:tcW w:w="1489"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11万t/d</w:t>
            </w:r>
          </w:p>
        </w:tc>
        <w:tc>
          <w:tcPr>
            <w:tcW w:w="162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192" w:type="dxa"/>
            <w:vMerge w:val="continue"/>
            <w:noWrap w:val="0"/>
            <w:vAlign w:val="center"/>
          </w:tcPr>
          <w:p>
            <w:pPr>
              <w:widowControl/>
              <w:adjustRightInd w:val="0"/>
              <w:snapToGrid w:val="0"/>
              <w:jc w:val="left"/>
              <w:rPr>
                <w:rFonts w:hint="default" w:ascii="Times New Roman" w:hAnsi="Times New Roman" w:eastAsia="方正仿宋_GBK" w:cs="Times New Roman"/>
                <w:color w:val="000000"/>
                <w:kern w:val="0"/>
                <w:szCs w:val="21"/>
              </w:rPr>
            </w:pPr>
          </w:p>
        </w:tc>
        <w:tc>
          <w:tcPr>
            <w:tcW w:w="2977"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面源污染防治工程</w:t>
            </w:r>
          </w:p>
        </w:tc>
        <w:tc>
          <w:tcPr>
            <w:tcW w:w="123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w:t>
            </w:r>
          </w:p>
        </w:tc>
        <w:tc>
          <w:tcPr>
            <w:tcW w:w="1489"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w:t>
            </w:r>
          </w:p>
        </w:tc>
        <w:tc>
          <w:tcPr>
            <w:tcW w:w="162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192" w:type="dxa"/>
            <w:vMerge w:val="continue"/>
            <w:noWrap w:val="0"/>
            <w:vAlign w:val="center"/>
          </w:tcPr>
          <w:p>
            <w:pPr>
              <w:widowControl/>
              <w:adjustRightInd w:val="0"/>
              <w:snapToGrid w:val="0"/>
              <w:jc w:val="left"/>
              <w:rPr>
                <w:rFonts w:hint="default" w:ascii="Times New Roman" w:hAnsi="Times New Roman" w:eastAsia="方正仿宋_GBK" w:cs="Times New Roman"/>
                <w:color w:val="000000"/>
                <w:kern w:val="0"/>
                <w:szCs w:val="21"/>
              </w:rPr>
            </w:pPr>
          </w:p>
        </w:tc>
        <w:tc>
          <w:tcPr>
            <w:tcW w:w="2977"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工业污染治理工程</w:t>
            </w:r>
          </w:p>
        </w:tc>
        <w:tc>
          <w:tcPr>
            <w:tcW w:w="123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w:t>
            </w:r>
          </w:p>
        </w:tc>
        <w:tc>
          <w:tcPr>
            <w:tcW w:w="1489"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w:t>
            </w:r>
          </w:p>
        </w:tc>
        <w:tc>
          <w:tcPr>
            <w:tcW w:w="162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192" w:type="dxa"/>
            <w:vMerge w:val="continue"/>
            <w:noWrap w:val="0"/>
            <w:vAlign w:val="center"/>
          </w:tcPr>
          <w:p>
            <w:pPr>
              <w:widowControl/>
              <w:adjustRightInd w:val="0"/>
              <w:snapToGrid w:val="0"/>
              <w:jc w:val="left"/>
              <w:rPr>
                <w:rFonts w:hint="default" w:ascii="Times New Roman" w:hAnsi="Times New Roman" w:eastAsia="方正仿宋_GBK" w:cs="Times New Roman"/>
                <w:color w:val="000000"/>
                <w:kern w:val="0"/>
                <w:szCs w:val="21"/>
              </w:rPr>
            </w:pPr>
          </w:p>
        </w:tc>
        <w:tc>
          <w:tcPr>
            <w:tcW w:w="2977"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生态保育工程</w:t>
            </w:r>
          </w:p>
        </w:tc>
        <w:tc>
          <w:tcPr>
            <w:tcW w:w="123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w:t>
            </w:r>
          </w:p>
        </w:tc>
        <w:tc>
          <w:tcPr>
            <w:tcW w:w="1489"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w:t>
            </w:r>
          </w:p>
        </w:tc>
        <w:tc>
          <w:tcPr>
            <w:tcW w:w="162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192" w:type="dxa"/>
            <w:vMerge w:val="restart"/>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正阳关下控制区</w:t>
            </w:r>
          </w:p>
        </w:tc>
        <w:tc>
          <w:tcPr>
            <w:tcW w:w="2977"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生活污水处理工程</w:t>
            </w:r>
          </w:p>
        </w:tc>
        <w:tc>
          <w:tcPr>
            <w:tcW w:w="123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6</w:t>
            </w:r>
          </w:p>
        </w:tc>
        <w:tc>
          <w:tcPr>
            <w:tcW w:w="1489"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0.47万t/d</w:t>
            </w:r>
          </w:p>
        </w:tc>
        <w:tc>
          <w:tcPr>
            <w:tcW w:w="162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192" w:type="dxa"/>
            <w:vMerge w:val="continue"/>
            <w:noWrap w:val="0"/>
            <w:vAlign w:val="center"/>
          </w:tcPr>
          <w:p>
            <w:pPr>
              <w:widowControl/>
              <w:adjustRightInd w:val="0"/>
              <w:snapToGrid w:val="0"/>
              <w:jc w:val="left"/>
              <w:rPr>
                <w:rFonts w:hint="default" w:ascii="Times New Roman" w:hAnsi="Times New Roman" w:eastAsia="方正仿宋_GBK" w:cs="Times New Roman"/>
                <w:color w:val="000000"/>
                <w:kern w:val="0"/>
                <w:szCs w:val="21"/>
              </w:rPr>
            </w:pPr>
          </w:p>
        </w:tc>
        <w:tc>
          <w:tcPr>
            <w:tcW w:w="2977"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规模化畜禽养殖废物治理</w:t>
            </w:r>
          </w:p>
        </w:tc>
        <w:tc>
          <w:tcPr>
            <w:tcW w:w="123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w:t>
            </w:r>
          </w:p>
        </w:tc>
        <w:tc>
          <w:tcPr>
            <w:tcW w:w="1489"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w:t>
            </w:r>
          </w:p>
        </w:tc>
        <w:tc>
          <w:tcPr>
            <w:tcW w:w="162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192" w:type="dxa"/>
            <w:vMerge w:val="restart"/>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西淝河茨淮新河控制区</w:t>
            </w:r>
          </w:p>
        </w:tc>
        <w:tc>
          <w:tcPr>
            <w:tcW w:w="2977"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生活污水处理工程</w:t>
            </w:r>
          </w:p>
        </w:tc>
        <w:tc>
          <w:tcPr>
            <w:tcW w:w="123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5</w:t>
            </w:r>
          </w:p>
        </w:tc>
        <w:tc>
          <w:tcPr>
            <w:tcW w:w="1489"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1.89万t/d</w:t>
            </w:r>
          </w:p>
        </w:tc>
        <w:tc>
          <w:tcPr>
            <w:tcW w:w="162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192" w:type="dxa"/>
            <w:vMerge w:val="continue"/>
            <w:noWrap w:val="0"/>
            <w:vAlign w:val="center"/>
          </w:tcPr>
          <w:p>
            <w:pPr>
              <w:widowControl/>
              <w:adjustRightInd w:val="0"/>
              <w:snapToGrid w:val="0"/>
              <w:jc w:val="left"/>
              <w:rPr>
                <w:rFonts w:hint="default" w:ascii="Times New Roman" w:hAnsi="Times New Roman" w:eastAsia="方正仿宋_GBK" w:cs="Times New Roman"/>
                <w:color w:val="000000"/>
                <w:kern w:val="0"/>
                <w:szCs w:val="21"/>
              </w:rPr>
            </w:pPr>
          </w:p>
        </w:tc>
        <w:tc>
          <w:tcPr>
            <w:tcW w:w="2977"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截污导流工程</w:t>
            </w:r>
          </w:p>
        </w:tc>
        <w:tc>
          <w:tcPr>
            <w:tcW w:w="123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w:t>
            </w:r>
          </w:p>
        </w:tc>
        <w:tc>
          <w:tcPr>
            <w:tcW w:w="1489"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w:t>
            </w:r>
          </w:p>
        </w:tc>
        <w:tc>
          <w:tcPr>
            <w:tcW w:w="1626" w:type="dxa"/>
            <w:noWrap w:val="0"/>
            <w:vAlign w:val="center"/>
          </w:tcPr>
          <w:p>
            <w:pPr>
              <w:widowControl/>
              <w:adjustRightInd w:val="0"/>
              <w:snapToGrid w:val="0"/>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w:t>
            </w:r>
          </w:p>
        </w:tc>
      </w:tr>
    </w:tbl>
    <w:p>
      <w:pPr>
        <w:pStyle w:val="5"/>
        <w:pageBreakBefore w:val="0"/>
        <w:widowControl w:val="0"/>
        <w:kinsoku/>
        <w:wordWrap/>
        <w:overflowPunct/>
        <w:autoSpaceDE/>
        <w:autoSpaceDN/>
        <w:bidi w:val="0"/>
        <w:spacing w:beforeAutospacing="0" w:afterAutospacing="0" w:line="590" w:lineRule="exact"/>
        <w:ind w:firstLine="568"/>
        <w:rPr>
          <w:rFonts w:hint="default" w:ascii="Times New Roman" w:hAnsi="Times New Roman" w:eastAsia="方正楷体_GBK" w:cs="Times New Roman"/>
          <w:b w:val="0"/>
          <w:bCs/>
          <w:sz w:val="32"/>
          <w:szCs w:val="32"/>
        </w:rPr>
      </w:pPr>
      <w:bookmarkStart w:id="329" w:name="_Toc24957"/>
      <w:r>
        <w:rPr>
          <w:rFonts w:hint="default" w:ascii="Times New Roman" w:hAnsi="Times New Roman" w:eastAsia="方正楷体_GBK" w:cs="Times New Roman"/>
          <w:b w:val="0"/>
          <w:bCs/>
          <w:sz w:val="32"/>
          <w:szCs w:val="32"/>
        </w:rPr>
        <w:t>二、淮南市大别山优质水源工程水资源保护</w:t>
      </w:r>
      <w:bookmarkEnd w:id="329"/>
    </w:p>
    <w:p>
      <w:pPr>
        <w:pageBreakBefore w:val="0"/>
        <w:widowControl w:val="0"/>
        <w:tabs>
          <w:tab w:val="left" w:pos="6318"/>
        </w:tabs>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引大别山优质水源工程取水泵站位于寿县大井水库，出水口在山南新区水厂，根据地形地势状况及安全用水需要，采用压力管道输水。工程由取水泵站、压力输水管道等组成。通过比较，管线自取水泵站沿乡村公路向东至义井乡，沿206国道西侧经庄墓镇至曹庵镇，后沿102省道西南侧行至杨公镇曹桥村附近，再沿一条无名小河西侧向北直至山南新区水厂，线路总长约47.35km。</w:t>
      </w:r>
    </w:p>
    <w:p>
      <w:pPr>
        <w:pageBreakBefore w:val="0"/>
        <w:widowControl w:val="0"/>
        <w:kinsoku/>
        <w:wordWrap/>
        <w:overflowPunct/>
        <w:topLine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工程所取水量均来自淠河灌区依据《安徽省中西部重点区域及淠史杭灌区水量分配方案》分配的水，在瓦东干渠及河岔铺分干渠续建配套与节水改造后，通过工程措施增加大井水库的调节库容，并加强水量调度与管理，大井水库的水源是可靠的；在加强水质保护措施后，大井水库水质满足生活饮用水水质标准。</w:t>
      </w:r>
    </w:p>
    <w:p>
      <w:pPr>
        <w:pStyle w:val="5"/>
        <w:pageBreakBefore w:val="0"/>
        <w:widowControl w:val="0"/>
        <w:kinsoku/>
        <w:wordWrap/>
        <w:overflowPunct/>
        <w:autoSpaceDE/>
        <w:autoSpaceDN/>
        <w:bidi w:val="0"/>
        <w:spacing w:beforeAutospacing="0" w:afterAutospacing="0" w:line="590" w:lineRule="exact"/>
        <w:ind w:firstLine="568"/>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（1）加强输水沿线渠道的水资源保护</w:t>
      </w:r>
    </w:p>
    <w:p>
      <w:pPr>
        <w:pageBreakBefore w:val="0"/>
        <w:widowControl w:val="0"/>
        <w:kinsoku/>
        <w:wordWrap/>
        <w:overflowPunct/>
        <w:autoSpaceDE/>
        <w:autoSpaceDN/>
        <w:bidi w:val="0"/>
        <w:spacing w:beforeAutospacing="0" w:afterAutospacing="0" w:line="590" w:lineRule="exact"/>
        <w:ind w:firstLine="640" w:firstLineChars="200"/>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z w:val="32"/>
          <w:szCs w:val="32"/>
        </w:rPr>
        <w:t>淮南市别山优质水源工程利用瓦东干渠和河岔铺分干渠将大别山分配给淮南市城市供水水源输送至大井水库调蓄，再由管道从大井水库输送至山南新区。瓦东干渠和河岔铺分干渠的沿线水质保护至关重要。</w:t>
      </w:r>
      <w:r>
        <w:rPr>
          <w:rFonts w:hint="default" w:ascii="Times New Roman" w:hAnsi="Times New Roman" w:eastAsia="方正仿宋_GBK" w:cs="Times New Roman"/>
          <w:snapToGrid w:val="0"/>
          <w:sz w:val="32"/>
          <w:szCs w:val="32"/>
        </w:rPr>
        <w:t>沿线渠道的综合治理工程，主要包括：</w:t>
      </w:r>
    </w:p>
    <w:p>
      <w:pPr>
        <w:pageBreakBefore w:val="0"/>
        <w:widowControl w:val="0"/>
        <w:kinsoku/>
        <w:wordWrap/>
        <w:overflowPunct/>
        <w:autoSpaceDE/>
        <w:autoSpaceDN/>
        <w:bidi w:val="0"/>
        <w:spacing w:beforeAutospacing="0" w:afterAutospacing="0" w:line="590" w:lineRule="exact"/>
        <w:ind w:firstLine="640" w:firstLineChars="200"/>
        <w:rPr>
          <w:rFonts w:hint="default" w:ascii="Times New Roman" w:hAnsi="Times New Roman" w:eastAsia="方正仿宋_GBK" w:cs="Times New Roman"/>
          <w:b w:val="0"/>
          <w:bCs/>
          <w:snapToGrid w:val="0"/>
          <w:sz w:val="32"/>
          <w:szCs w:val="32"/>
        </w:rPr>
      </w:pPr>
      <w:r>
        <w:rPr>
          <w:rFonts w:hint="default" w:ascii="Times New Roman" w:hAnsi="Times New Roman" w:eastAsia="方正仿宋_GBK" w:cs="Times New Roman"/>
          <w:b w:val="0"/>
          <w:bCs/>
          <w:snapToGrid w:val="0"/>
          <w:sz w:val="32"/>
          <w:szCs w:val="32"/>
        </w:rPr>
        <w:t>面源污染治理：加强农业面积污染防治，大力推广生态农业，推行“政府测土、专家配方、农民施肥”，积极引导农民发展绿色有机农产品，进一步加强农药、化肥的使用管理，科学合理堤使用高效、低毒、低残留农药。</w:t>
      </w:r>
    </w:p>
    <w:p>
      <w:pPr>
        <w:pageBreakBefore w:val="0"/>
        <w:widowControl w:val="0"/>
        <w:kinsoku/>
        <w:wordWrap/>
        <w:overflowPunct/>
        <w:autoSpaceDE/>
        <w:autoSpaceDN/>
        <w:bidi w:val="0"/>
        <w:spacing w:beforeAutospacing="0" w:afterAutospacing="0" w:line="590" w:lineRule="exact"/>
        <w:ind w:firstLine="640" w:firstLineChars="200"/>
        <w:rPr>
          <w:rFonts w:hint="default" w:ascii="Times New Roman" w:hAnsi="Times New Roman" w:eastAsia="方正仿宋_GBK" w:cs="Times New Roman"/>
          <w:b w:val="0"/>
          <w:bCs/>
          <w:snapToGrid w:val="0"/>
          <w:sz w:val="32"/>
          <w:szCs w:val="32"/>
        </w:rPr>
      </w:pPr>
      <w:r>
        <w:rPr>
          <w:rFonts w:hint="default" w:ascii="Times New Roman" w:hAnsi="Times New Roman" w:eastAsia="方正仿宋_GBK" w:cs="Times New Roman"/>
          <w:b w:val="0"/>
          <w:bCs/>
          <w:snapToGrid w:val="0"/>
          <w:sz w:val="32"/>
          <w:szCs w:val="32"/>
        </w:rPr>
        <w:t>渠道水环境整治：渠道综合整治和水土保持工程及监督管理。其中渠道综合整治需要开展水面整理、居名点整治、渠道清淤和建筑废料、垃圾清理等；水土保持工程及监督管理要开展渠道水土保持，坡耕地水土流失治理和建设项目水土保持监督管理等。</w:t>
      </w:r>
    </w:p>
    <w:p>
      <w:pPr>
        <w:pageBreakBefore w:val="0"/>
        <w:widowControl w:val="0"/>
        <w:kinsoku/>
        <w:wordWrap/>
        <w:overflowPunct/>
        <w:autoSpaceDE/>
        <w:autoSpaceDN/>
        <w:bidi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sz w:val="32"/>
          <w:szCs w:val="32"/>
        </w:rPr>
        <w:t>排污口整治：通过对</w:t>
      </w:r>
      <w:r>
        <w:rPr>
          <w:rFonts w:hint="default" w:ascii="Times New Roman" w:hAnsi="Times New Roman" w:eastAsia="方正仿宋_GBK" w:cs="Times New Roman"/>
          <w:sz w:val="32"/>
          <w:szCs w:val="32"/>
        </w:rPr>
        <w:t>现有排污口进行调查，针对现有排污口存在的问题和隐患，进行合理的截污和导污，以保障输水渠道的水质安全。</w:t>
      </w:r>
    </w:p>
    <w:p>
      <w:pPr>
        <w:pStyle w:val="5"/>
        <w:pageBreakBefore w:val="0"/>
        <w:widowControl w:val="0"/>
        <w:kinsoku/>
        <w:wordWrap/>
        <w:overflowPunct/>
        <w:autoSpaceDE/>
        <w:autoSpaceDN/>
        <w:bidi w:val="0"/>
        <w:spacing w:beforeAutospacing="0" w:afterAutospacing="0" w:line="590" w:lineRule="exact"/>
        <w:ind w:firstLine="568"/>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（2）加快大井水库水源地保护工程</w:t>
      </w:r>
    </w:p>
    <w:p>
      <w:pPr>
        <w:pageBreakBefore w:val="0"/>
        <w:widowControl w:val="0"/>
        <w:kinsoku/>
        <w:wordWrap/>
        <w:overflowPunct/>
        <w:autoSpaceDE/>
        <w:autoSpaceDN/>
        <w:bidi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大井水库作为大别山优质水源工程的水源重要调蓄场所，规划要根据饮用水源地的保护要求，加强对大井水库的水源地保护工作，根据饮用水源地保护的要求划定饮用水源地保护区。加强水源地保护区、水源地面源污染防治、水源地安全隔离、水源地安全管理等方面工程的建设。并按照《安徽省城镇生活饮用水源地环境保护条例》杜绝在生活饮用水源地保护区内进行违章生产、经营活动。</w:t>
      </w:r>
    </w:p>
    <w:p>
      <w:pPr>
        <w:pStyle w:val="5"/>
        <w:pageBreakBefore w:val="0"/>
        <w:widowControl w:val="0"/>
        <w:kinsoku/>
        <w:wordWrap/>
        <w:overflowPunct/>
        <w:autoSpaceDE/>
        <w:autoSpaceDN/>
        <w:bidi w:val="0"/>
        <w:spacing w:beforeAutospacing="0" w:afterAutospacing="0" w:line="590" w:lineRule="exact"/>
        <w:ind w:firstLine="568"/>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（3）加强水源地监控体系建设</w:t>
      </w:r>
    </w:p>
    <w:p>
      <w:pPr>
        <w:pageBreakBefore w:val="0"/>
        <w:widowControl w:val="0"/>
        <w:kinsoku/>
        <w:wordWrap/>
        <w:overflowPunct/>
        <w:autoSpaceDE/>
        <w:autoSpaceDN/>
        <w:bidi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主要包括常规监测站点建设、应急监测能力建设、水资源自动监测站建设。常规监测站点主要是监测水量和水质，测站固定；应急监测能力建设是为了提高应对突发水事事件的应急监测能力，确保快速地监测水量和水质变化，应配备流动的水量和水质监测设备；水源地自动监测站建设主要是对重要的水质断面和取水口安装自动监测设施，以便对水量和水质进行自动化监测。</w:t>
      </w:r>
    </w:p>
    <w:bookmarkEnd w:id="327"/>
    <w:bookmarkEnd w:id="328"/>
    <w:p>
      <w:pPr>
        <w:pStyle w:val="5"/>
        <w:pageBreakBefore w:val="0"/>
        <w:widowControl w:val="0"/>
        <w:kinsoku/>
        <w:wordWrap/>
        <w:overflowPunct/>
        <w:autoSpaceDE/>
        <w:autoSpaceDN/>
        <w:bidi w:val="0"/>
        <w:spacing w:beforeAutospacing="0" w:afterAutospacing="0" w:line="590" w:lineRule="exact"/>
        <w:ind w:firstLine="568"/>
        <w:rPr>
          <w:rFonts w:hint="eastAsia" w:ascii="方正楷体_GBK" w:hAnsi="方正楷体_GBK" w:eastAsia="方正楷体_GBK" w:cs="方正楷体_GBK"/>
          <w:b w:val="0"/>
          <w:bCs/>
          <w:sz w:val="32"/>
          <w:szCs w:val="32"/>
        </w:rPr>
      </w:pPr>
      <w:bookmarkStart w:id="330" w:name="_Toc271245227"/>
      <w:bookmarkStart w:id="331" w:name="_Toc312309955"/>
      <w:bookmarkStart w:id="332" w:name="_Toc8824"/>
      <w:r>
        <w:rPr>
          <w:rFonts w:hint="eastAsia" w:ascii="方正楷体_GBK" w:hAnsi="方正楷体_GBK" w:eastAsia="方正楷体_GBK" w:cs="方正楷体_GBK"/>
          <w:b w:val="0"/>
          <w:bCs/>
          <w:sz w:val="32"/>
          <w:szCs w:val="32"/>
        </w:rPr>
        <w:t>三、</w:t>
      </w:r>
      <w:bookmarkEnd w:id="330"/>
      <w:bookmarkEnd w:id="331"/>
      <w:r>
        <w:rPr>
          <w:rFonts w:hint="eastAsia" w:ascii="方正楷体_GBK" w:hAnsi="方正楷体_GBK" w:eastAsia="方正楷体_GBK" w:cs="方正楷体_GBK"/>
          <w:b w:val="0"/>
          <w:bCs/>
          <w:sz w:val="32"/>
          <w:szCs w:val="32"/>
        </w:rPr>
        <w:t>水环境整治和水生态修复</w:t>
      </w:r>
      <w:bookmarkEnd w:id="332"/>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bookmarkStart w:id="333" w:name="_Toc312309956"/>
      <w:r>
        <w:rPr>
          <w:rFonts w:hint="default" w:ascii="Times New Roman" w:hAnsi="Times New Roman" w:eastAsia="方正仿宋_GBK" w:cs="Times New Roman"/>
          <w:bCs/>
          <w:sz w:val="32"/>
          <w:szCs w:val="32"/>
        </w:rPr>
        <w:t>逐步实施淮南市</w:t>
      </w:r>
      <w:r>
        <w:rPr>
          <w:rFonts w:hint="default" w:ascii="Times New Roman" w:hAnsi="Times New Roman" w:eastAsia="方正仿宋_GBK" w:cs="Times New Roman"/>
          <w:sz w:val="32"/>
          <w:szCs w:val="32"/>
        </w:rPr>
        <w:t>主城区</w:t>
      </w:r>
      <w:r>
        <w:rPr>
          <w:rFonts w:hint="default" w:ascii="Times New Roman" w:hAnsi="Times New Roman" w:eastAsia="方正仿宋_GBK" w:cs="Times New Roman"/>
          <w:bCs/>
          <w:sz w:val="32"/>
          <w:szCs w:val="32"/>
        </w:rPr>
        <w:t>淮河沿线水环境治理，重点实施淮河南岸田家庵段水环境综合整治、东西岛绿化和水景观建设，打造主城区淮河风景区。推进山南新区水系治理及生态补水工程续建，完善“二横九纵十六湖”水网系统。</w:t>
      </w:r>
      <w:r>
        <w:rPr>
          <w:rFonts w:hint="default" w:ascii="Times New Roman" w:hAnsi="Times New Roman" w:eastAsia="方正仿宋_GBK" w:cs="Times New Roman"/>
          <w:sz w:val="32"/>
          <w:szCs w:val="32"/>
        </w:rPr>
        <w:t>重视支流上的入河排污口的综合治理工作，采取限期达标排放、关闭、截污改排等措施，改善水质状况。</w:t>
      </w:r>
    </w:p>
    <w:p>
      <w:pPr>
        <w:pStyle w:val="5"/>
        <w:pageBreakBefore w:val="0"/>
        <w:widowControl w:val="0"/>
        <w:kinsoku/>
        <w:wordWrap/>
        <w:overflowPunct/>
        <w:autoSpaceDE/>
        <w:autoSpaceDN/>
        <w:bidi w:val="0"/>
        <w:spacing w:beforeAutospacing="0" w:afterAutospacing="0" w:line="590" w:lineRule="exact"/>
        <w:ind w:firstLine="568"/>
        <w:rPr>
          <w:rFonts w:hint="default" w:ascii="方正楷体_GBK" w:hAnsi="方正楷体_GBK" w:eastAsia="方正楷体_GBK" w:cs="方正楷体_GBK"/>
          <w:b w:val="0"/>
          <w:bCs/>
          <w:sz w:val="32"/>
          <w:szCs w:val="32"/>
        </w:rPr>
      </w:pPr>
      <w:bookmarkStart w:id="334" w:name="_Toc12146"/>
      <w:r>
        <w:rPr>
          <w:rFonts w:hint="default" w:ascii="方正楷体_GBK" w:hAnsi="方正楷体_GBK" w:eastAsia="方正楷体_GBK" w:cs="方正楷体_GBK"/>
          <w:b w:val="0"/>
          <w:bCs/>
          <w:sz w:val="32"/>
          <w:szCs w:val="32"/>
        </w:rPr>
        <w:t>四、湖库水生态治理</w:t>
      </w:r>
      <w:bookmarkEnd w:id="334"/>
    </w:p>
    <w:p>
      <w:pPr>
        <w:pageBreakBefore w:val="0"/>
        <w:widowControl w:val="0"/>
        <w:kinsoku/>
        <w:wordWrap/>
        <w:overflowPunct/>
        <w:autoSpaceDE/>
        <w:autoSpaceDN/>
        <w:bidi w:val="0"/>
        <w:spacing w:beforeAutospacing="0" w:afterAutospacing="0" w:line="590" w:lineRule="exact"/>
        <w:ind w:firstLine="435"/>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bCs/>
          <w:sz w:val="32"/>
          <w:szCs w:val="32"/>
        </w:rPr>
        <w:t>对</w:t>
      </w:r>
      <w:r>
        <w:rPr>
          <w:rFonts w:hint="default" w:ascii="Times New Roman" w:hAnsi="Times New Roman" w:eastAsia="方正仿宋_GBK" w:cs="Times New Roman"/>
          <w:kern w:val="0"/>
          <w:sz w:val="32"/>
          <w:szCs w:val="32"/>
        </w:rPr>
        <w:t>瓦埠湖、高塘湖、焦岗湖、安丰塘和大井水库等湿地进行生态综合治理，实施退塘还湖、堤防建设、新建排水沟、种植水源涵养林带和花卉。</w:t>
      </w:r>
    </w:p>
    <w:p>
      <w:pPr>
        <w:pStyle w:val="5"/>
        <w:pageBreakBefore w:val="0"/>
        <w:widowControl w:val="0"/>
        <w:kinsoku/>
        <w:wordWrap/>
        <w:overflowPunct/>
        <w:autoSpaceDE/>
        <w:autoSpaceDN/>
        <w:bidi w:val="0"/>
        <w:spacing w:beforeAutospacing="0" w:afterAutospacing="0" w:line="590" w:lineRule="exact"/>
        <w:ind w:firstLine="568"/>
        <w:rPr>
          <w:rFonts w:hint="default" w:ascii="方正楷体_GBK" w:hAnsi="方正楷体_GBK" w:eastAsia="方正楷体_GBK" w:cs="方正楷体_GBK"/>
          <w:b w:val="0"/>
          <w:bCs/>
          <w:sz w:val="32"/>
          <w:szCs w:val="32"/>
        </w:rPr>
      </w:pPr>
      <w:bookmarkStart w:id="335" w:name="_Toc20597"/>
      <w:r>
        <w:rPr>
          <w:rFonts w:hint="default" w:ascii="方正楷体_GBK" w:hAnsi="方正楷体_GBK" w:eastAsia="方正楷体_GBK" w:cs="方正楷体_GBK"/>
          <w:b w:val="0"/>
          <w:bCs/>
          <w:sz w:val="32"/>
          <w:szCs w:val="32"/>
          <w:lang w:eastAsia="zh-CN"/>
        </w:rPr>
        <w:t>五</w:t>
      </w:r>
      <w:r>
        <w:rPr>
          <w:rFonts w:hint="default" w:ascii="方正楷体_GBK" w:hAnsi="方正楷体_GBK" w:eastAsia="方正楷体_GBK" w:cs="方正楷体_GBK"/>
          <w:b w:val="0"/>
          <w:bCs/>
          <w:sz w:val="32"/>
          <w:szCs w:val="32"/>
        </w:rPr>
        <w:t>、加强淮河以北地下水的保护和管理工作</w:t>
      </w:r>
      <w:bookmarkEnd w:id="333"/>
      <w:bookmarkEnd w:id="335"/>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淮南市淮河以北广大平原地区是淮南市的粮食主产区，同时也是我省乃至全国重要的煤炭资源储存区，煤炭资源的大量开采，目前淮南市境内采煤塌陷面积已经达到171.02km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sz w:val="32"/>
          <w:szCs w:val="32"/>
        </w:rPr>
        <w:t>，预计到2020年淮南市境内塌陷地面积为186.7km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zh-CN"/>
        </w:rPr>
        <w:t>2030 年，累计采煤沉陷面积为 275.2km</w:t>
      </w:r>
      <w:r>
        <w:rPr>
          <w:rFonts w:hint="default" w:ascii="Times New Roman" w:hAnsi="Times New Roman" w:eastAsia="方正仿宋_GBK" w:cs="Times New Roman"/>
          <w:sz w:val="32"/>
          <w:szCs w:val="32"/>
          <w:vertAlign w:val="superscript"/>
          <w:lang w:val="zh-CN"/>
        </w:rPr>
        <w:t>2</w:t>
      </w:r>
      <w:r>
        <w:rPr>
          <w:rFonts w:hint="default" w:ascii="Times New Roman" w:hAnsi="Times New Roman" w:eastAsia="方正仿宋_GBK" w:cs="Times New Roman"/>
          <w:sz w:val="32"/>
          <w:szCs w:val="32"/>
        </w:rPr>
        <w:t>。同时，矿业开采过程中存在着大量的的疏干排水。</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区域内淮河、泥河、永幸河等河流两岸浅层地下水受到一定程度的污染，淮河以南浅层地下水水质优于淮河以北浅层地下水水质。主要污染超标项目为锰、亚硝酸盐氮和氨氮。</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为此，必须加强沿淮淮北浅、中深层地下水的保护工作，认真做好地下水各项监测和管理工作，治理采煤造成的地质灾害，预防其他地质灾害的发生，保护有限的地下水资源。</w:t>
      </w:r>
    </w:p>
    <w:p>
      <w:pPr>
        <w:pStyle w:val="5"/>
        <w:pageBreakBefore w:val="0"/>
        <w:widowControl w:val="0"/>
        <w:kinsoku/>
        <w:wordWrap/>
        <w:overflowPunct/>
        <w:autoSpaceDE/>
        <w:autoSpaceDN/>
        <w:bidi w:val="0"/>
        <w:spacing w:beforeAutospacing="0" w:afterAutospacing="0" w:line="590" w:lineRule="exact"/>
        <w:ind w:firstLine="568"/>
        <w:rPr>
          <w:rFonts w:hint="default" w:ascii="方正楷体_GBK" w:hAnsi="方正楷体_GBK" w:eastAsia="方正楷体_GBK" w:cs="方正楷体_GBK"/>
          <w:b w:val="0"/>
          <w:bCs/>
          <w:sz w:val="32"/>
          <w:szCs w:val="32"/>
          <w:lang w:eastAsia="zh-CN"/>
        </w:rPr>
      </w:pPr>
      <w:bookmarkStart w:id="336" w:name="_Toc312309957"/>
      <w:bookmarkStart w:id="337" w:name="_Toc11910"/>
      <w:r>
        <w:rPr>
          <w:rFonts w:hint="default" w:ascii="方正楷体_GBK" w:hAnsi="方正楷体_GBK" w:eastAsia="方正楷体_GBK" w:cs="方正楷体_GBK"/>
          <w:b w:val="0"/>
          <w:bCs/>
          <w:sz w:val="32"/>
          <w:szCs w:val="32"/>
          <w:lang w:eastAsia="zh-CN"/>
        </w:rPr>
        <w:t>六、采煤沉陷区水生态保护与修复方案</w:t>
      </w:r>
      <w:bookmarkEnd w:id="336"/>
      <w:bookmarkEnd w:id="337"/>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由于多年来大规模的煤炭开采，形成了较大面积的采煤沉陷区，矿区塌陷深度最深达20m左右。淮南市目前已经形成陈油坊、岳张集、小叶庄、潘集、刘岗塘-老鳖塘5处较大面积的采矿沉陷区。淮南市境内采煤塌陷面积已经达到171.02k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zh-CN"/>
        </w:rPr>
        <w:t>预计到2020年，累计采煤沉陷面积为</w:t>
      </w:r>
      <w:r>
        <w:rPr>
          <w:rFonts w:hint="default" w:ascii="Times New Roman" w:hAnsi="Times New Roman" w:eastAsia="方正仿宋_GBK" w:cs="Times New Roman"/>
          <w:sz w:val="32"/>
          <w:szCs w:val="32"/>
        </w:rPr>
        <w:t>186.7</w:t>
      </w:r>
      <w:r>
        <w:rPr>
          <w:rFonts w:hint="default" w:ascii="Times New Roman" w:hAnsi="Times New Roman" w:eastAsia="方正仿宋_GBK" w:cs="Times New Roman"/>
          <w:sz w:val="32"/>
          <w:szCs w:val="32"/>
          <w:lang w:val="zh-CN"/>
        </w:rPr>
        <w:t>km</w:t>
      </w:r>
      <w:r>
        <w:rPr>
          <w:rFonts w:hint="default" w:ascii="Times New Roman" w:hAnsi="Times New Roman" w:eastAsia="方正仿宋_GBK" w:cs="Times New Roman"/>
          <w:sz w:val="32"/>
          <w:szCs w:val="32"/>
          <w:vertAlign w:val="superscript"/>
          <w:lang w:val="zh-CN"/>
        </w:rPr>
        <w:t>2</w:t>
      </w:r>
      <w:r>
        <w:rPr>
          <w:rFonts w:hint="default" w:ascii="Times New Roman" w:hAnsi="Times New Roman" w:eastAsia="方正仿宋_GBK" w:cs="Times New Roman"/>
          <w:sz w:val="32"/>
          <w:szCs w:val="32"/>
          <w:lang w:val="zh-CN"/>
        </w:rPr>
        <w:t>，其中积水面积 112.65km</w:t>
      </w:r>
      <w:r>
        <w:rPr>
          <w:rFonts w:hint="default" w:ascii="Times New Roman" w:hAnsi="Times New Roman" w:eastAsia="方正仿宋_GBK" w:cs="Times New Roman"/>
          <w:sz w:val="32"/>
          <w:szCs w:val="32"/>
          <w:vertAlign w:val="superscript"/>
          <w:lang w:val="zh-CN"/>
        </w:rPr>
        <w:t>2</w:t>
      </w:r>
      <w:r>
        <w:rPr>
          <w:rFonts w:hint="default" w:ascii="Times New Roman" w:hAnsi="Times New Roman" w:eastAsia="方正仿宋_GBK" w:cs="Times New Roman"/>
          <w:sz w:val="32"/>
          <w:szCs w:val="32"/>
          <w:lang w:val="zh-CN"/>
        </w:rPr>
        <w:t>，到2030年，累计采煤沉陷面积为275.2km</w:t>
      </w:r>
      <w:r>
        <w:rPr>
          <w:rFonts w:hint="default" w:ascii="Times New Roman" w:hAnsi="Times New Roman" w:eastAsia="方正仿宋_GBK" w:cs="Times New Roman"/>
          <w:sz w:val="32"/>
          <w:szCs w:val="32"/>
          <w:vertAlign w:val="superscript"/>
          <w:lang w:val="zh-CN"/>
        </w:rPr>
        <w:t>2</w:t>
      </w:r>
      <w:r>
        <w:rPr>
          <w:rFonts w:hint="default" w:ascii="Times New Roman" w:hAnsi="Times New Roman" w:eastAsia="方正仿宋_GBK" w:cs="Times New Roman"/>
          <w:sz w:val="32"/>
          <w:szCs w:val="32"/>
          <w:lang w:val="zh-CN"/>
        </w:rPr>
        <w:t>，其中积水面积195.40km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sz w:val="32"/>
          <w:szCs w:val="32"/>
          <w:lang w:val="zh-CN"/>
        </w:rPr>
        <w:t>。</w:t>
      </w:r>
      <w:r>
        <w:rPr>
          <w:rFonts w:hint="default" w:ascii="Times New Roman" w:hAnsi="Times New Roman" w:eastAsia="方正仿宋_GBK" w:cs="Times New Roman"/>
          <w:sz w:val="32"/>
          <w:szCs w:val="32"/>
        </w:rPr>
        <w:t>同时，矿业开采过程中存在着大量的的疏干排水。</w:t>
      </w:r>
    </w:p>
    <w:p>
      <w:pPr>
        <w:pStyle w:val="5"/>
        <w:pageBreakBefore w:val="0"/>
        <w:widowControl w:val="0"/>
        <w:kinsoku/>
        <w:wordWrap/>
        <w:overflowPunct/>
        <w:autoSpaceDE/>
        <w:autoSpaceDN/>
        <w:bidi w:val="0"/>
        <w:spacing w:beforeAutospacing="0" w:afterAutospacing="0" w:line="590" w:lineRule="exact"/>
        <w:ind w:firstLine="568"/>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（1）沉陷区生态修复利用</w:t>
      </w:r>
    </w:p>
    <w:p>
      <w:pPr>
        <w:pStyle w:val="2"/>
        <w:pageBreakBefore w:val="0"/>
        <w:widowControl w:val="0"/>
        <w:kinsoku/>
        <w:wordWrap/>
        <w:overflowPunct/>
        <w:autoSpaceDE/>
        <w:autoSpaceDN/>
        <w:bidi w:val="0"/>
        <w:spacing w:beforeAutospacing="0" w:afterAutospacing="0" w:line="590" w:lineRule="exact"/>
        <w:ind w:firstLine="488"/>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①沉陷区生态环境现状</w:t>
      </w:r>
    </w:p>
    <w:p>
      <w:pPr>
        <w:pStyle w:val="2"/>
        <w:pageBreakBefore w:val="0"/>
        <w:widowControl w:val="0"/>
        <w:kinsoku/>
        <w:wordWrap/>
        <w:overflowPunct/>
        <w:autoSpaceDE/>
        <w:autoSpaceDN/>
        <w:bidi w:val="0"/>
        <w:spacing w:beforeAutospacing="0" w:afterAutospacing="0" w:line="590" w:lineRule="exact"/>
        <w:ind w:firstLine="486"/>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rPr>
        <w:t>截止2015年年底，沉陷造成地表变形、沉降，原始地形、地貌被破坏，田间道路损毁，水系</w:t>
      </w:r>
      <w:r>
        <w:rPr>
          <w:rFonts w:hint="default" w:ascii="Times New Roman" w:hAnsi="Times New Roman" w:eastAsia="方正仿宋_GBK" w:cs="Times New Roman"/>
          <w:sz w:val="32"/>
          <w:szCs w:val="32"/>
          <w:lang w:eastAsia="zh-CN"/>
        </w:rPr>
        <w:t>遭</w:t>
      </w:r>
      <w:r>
        <w:rPr>
          <w:rFonts w:hint="default" w:ascii="Times New Roman" w:hAnsi="Times New Roman" w:eastAsia="方正仿宋_GBK" w:cs="Times New Roman"/>
          <w:sz w:val="32"/>
          <w:szCs w:val="32"/>
        </w:rPr>
        <w:t>破坏，水位下降，水渠、涵</w:t>
      </w:r>
      <w:r>
        <w:rPr>
          <w:rFonts w:hint="default" w:ascii="Times New Roman" w:hAnsi="Times New Roman" w:eastAsia="方正仿宋_GBK" w:cs="Times New Roman"/>
          <w:sz w:val="32"/>
          <w:szCs w:val="32"/>
          <w:lang w:eastAsia="zh-CN"/>
        </w:rPr>
        <w:t>闸</w:t>
      </w:r>
      <w:r>
        <w:rPr>
          <w:rFonts w:hint="default" w:ascii="Times New Roman" w:hAnsi="Times New Roman" w:eastAsia="方正仿宋_GBK" w:cs="Times New Roman"/>
          <w:sz w:val="32"/>
          <w:szCs w:val="32"/>
        </w:rPr>
        <w:t>、排灌站等农用水利基础设施严重破坏，</w:t>
      </w:r>
      <w:r>
        <w:rPr>
          <w:rFonts w:hint="default" w:ascii="Times New Roman" w:hAnsi="Times New Roman" w:eastAsia="方正仿宋_GBK" w:cs="Times New Roman"/>
          <w:sz w:val="32"/>
          <w:szCs w:val="32"/>
          <w:lang w:eastAsia="zh-CN"/>
        </w:rPr>
        <w:t>旱不能灌，涝不能排，土地倾斜，地面凹凸不平，耕作极不方便</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土壤物理结构恶化，沙化、盐渍化严重，导致使用工能降低，持水保肥能力差，极端贫瘠，氮、磷、钾及有机物含量极低或是养分不平衡，重金属含量过高</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影响植物各种代谢途径，抑制植物对营养元素的吸收及根系的生长，农业生产效益极其低下。</w:t>
      </w:r>
      <w:r>
        <w:rPr>
          <w:rFonts w:hint="default" w:ascii="Times New Roman" w:hAnsi="Times New Roman" w:eastAsia="方正仿宋_GBK" w:cs="Times New Roman"/>
          <w:sz w:val="32"/>
          <w:szCs w:val="32"/>
        </w:rPr>
        <w:t>士地沉输形成的大</w:t>
      </w:r>
      <w:r>
        <w:rPr>
          <w:rFonts w:hint="default" w:ascii="Times New Roman" w:hAnsi="Times New Roman" w:eastAsia="方正仿宋_GBK" w:cs="Times New Roman"/>
          <w:sz w:val="32"/>
          <w:szCs w:val="32"/>
          <w:lang w:eastAsia="zh-CN"/>
        </w:rPr>
        <w:t>面积</w:t>
      </w:r>
      <w:r>
        <w:rPr>
          <w:rFonts w:hint="default" w:ascii="Times New Roman" w:hAnsi="Times New Roman" w:eastAsia="方正仿宋_GBK" w:cs="Times New Roman"/>
          <w:sz w:val="32"/>
          <w:szCs w:val="32"/>
        </w:rPr>
        <w:t>水域，在水力</w:t>
      </w:r>
      <w:r>
        <w:rPr>
          <w:rFonts w:hint="default" w:ascii="Times New Roman" w:hAnsi="Times New Roman" w:eastAsia="方正仿宋_GBK" w:cs="Times New Roman"/>
          <w:sz w:val="32"/>
          <w:szCs w:val="32"/>
          <w:lang w:eastAsia="zh-CN"/>
        </w:rPr>
        <w:t>侵蚀</w:t>
      </w:r>
      <w:r>
        <w:rPr>
          <w:rFonts w:hint="default" w:ascii="Times New Roman" w:hAnsi="Times New Roman" w:eastAsia="方正仿宋_GBK" w:cs="Times New Roman"/>
          <w:sz w:val="32"/>
          <w:szCs w:val="32"/>
        </w:rPr>
        <w:t>下，加量了水士流失。沉输使当地生态面受严重的</w:t>
      </w:r>
      <w:r>
        <w:rPr>
          <w:rFonts w:hint="default" w:ascii="Times New Roman" w:hAnsi="Times New Roman" w:eastAsia="方正仿宋_GBK" w:cs="Times New Roman"/>
          <w:sz w:val="32"/>
          <w:szCs w:val="32"/>
          <w:lang w:eastAsia="zh-CN"/>
        </w:rPr>
        <w:t>破坏</w:t>
      </w:r>
      <w:r>
        <w:rPr>
          <w:rFonts w:hint="default" w:ascii="Times New Roman" w:hAnsi="Times New Roman" w:eastAsia="方正仿宋_GBK" w:cs="Times New Roman"/>
          <w:sz w:val="32"/>
          <w:szCs w:val="32"/>
        </w:rPr>
        <w:t>，森林</w:t>
      </w:r>
      <w:r>
        <w:rPr>
          <w:rFonts w:hint="default" w:ascii="Times New Roman" w:hAnsi="Times New Roman" w:eastAsia="方正仿宋_GBK" w:cs="Times New Roman"/>
          <w:sz w:val="32"/>
          <w:szCs w:val="32"/>
          <w:lang w:eastAsia="zh-CN"/>
        </w:rPr>
        <w:t>植被遭到</w:t>
      </w:r>
      <w:r>
        <w:rPr>
          <w:rFonts w:hint="default" w:ascii="Times New Roman" w:hAnsi="Times New Roman" w:eastAsia="方正仿宋_GBK" w:cs="Times New Roman"/>
          <w:sz w:val="32"/>
          <w:szCs w:val="32"/>
        </w:rPr>
        <w:t>损毁，动植物生长</w:t>
      </w:r>
      <w:r>
        <w:rPr>
          <w:rFonts w:hint="default" w:ascii="Times New Roman" w:hAnsi="Times New Roman" w:eastAsia="方正仿宋_GBK" w:cs="Times New Roman"/>
          <w:sz w:val="32"/>
          <w:szCs w:val="32"/>
          <w:lang w:eastAsia="zh-CN"/>
        </w:rPr>
        <w:t>栖息</w:t>
      </w:r>
      <w:r>
        <w:rPr>
          <w:rFonts w:hint="default" w:ascii="Times New Roman" w:hAnsi="Times New Roman" w:eastAsia="方正仿宋_GBK" w:cs="Times New Roman"/>
          <w:sz w:val="32"/>
          <w:szCs w:val="32"/>
        </w:rPr>
        <w:t>环境</w:t>
      </w:r>
      <w:r>
        <w:rPr>
          <w:rFonts w:hint="default" w:ascii="Times New Roman" w:hAnsi="Times New Roman" w:eastAsia="方正仿宋_GBK" w:cs="Times New Roman"/>
          <w:sz w:val="32"/>
          <w:szCs w:val="32"/>
          <w:lang w:eastAsia="zh-CN"/>
        </w:rPr>
        <w:t>条件</w:t>
      </w:r>
      <w:r>
        <w:rPr>
          <w:rFonts w:hint="default" w:ascii="Times New Roman" w:hAnsi="Times New Roman" w:eastAsia="方正仿宋_GBK" w:cs="Times New Roman"/>
          <w:sz w:val="32"/>
          <w:szCs w:val="32"/>
        </w:rPr>
        <w:t>改变，林业复</w:t>
      </w:r>
      <w:r>
        <w:rPr>
          <w:rFonts w:hint="default" w:ascii="Times New Roman" w:hAnsi="Times New Roman" w:eastAsia="方正仿宋_GBK" w:cs="Times New Roman"/>
          <w:sz w:val="32"/>
          <w:szCs w:val="32"/>
          <w:lang w:eastAsia="zh-CN"/>
        </w:rPr>
        <w:t>垦率低</w:t>
      </w:r>
      <w:r>
        <w:rPr>
          <w:rFonts w:hint="default" w:ascii="Times New Roman" w:hAnsi="Times New Roman" w:eastAsia="方正仿宋_GBK" w:cs="Times New Roman"/>
          <w:sz w:val="32"/>
          <w:szCs w:val="32"/>
        </w:rPr>
        <w:t>。生物种</w:t>
      </w:r>
      <w:r>
        <w:rPr>
          <w:rFonts w:hint="default" w:ascii="Times New Roman" w:hAnsi="Times New Roman" w:eastAsia="方正仿宋_GBK" w:cs="Times New Roman"/>
          <w:sz w:val="32"/>
          <w:szCs w:val="32"/>
          <w:lang w:eastAsia="zh-CN"/>
        </w:rPr>
        <w:t>群</w:t>
      </w:r>
      <w:r>
        <w:rPr>
          <w:rFonts w:hint="default" w:ascii="Times New Roman" w:hAnsi="Times New Roman" w:eastAsia="方正仿宋_GBK" w:cs="Times New Roman"/>
          <w:sz w:val="32"/>
          <w:szCs w:val="32"/>
        </w:rPr>
        <w:t>减少，生态系统十分</w:t>
      </w:r>
      <w:r>
        <w:rPr>
          <w:rFonts w:hint="default" w:ascii="Times New Roman" w:hAnsi="Times New Roman" w:eastAsia="方正仿宋_GBK" w:cs="Times New Roman"/>
          <w:sz w:val="32"/>
          <w:szCs w:val="32"/>
          <w:lang w:eastAsia="zh-CN"/>
        </w:rPr>
        <w:t>脆</w:t>
      </w:r>
      <w:r>
        <w:rPr>
          <w:rFonts w:hint="default" w:ascii="Times New Roman" w:hAnsi="Times New Roman" w:eastAsia="方正仿宋_GBK" w:cs="Times New Roman"/>
          <w:sz w:val="32"/>
          <w:szCs w:val="32"/>
        </w:rPr>
        <w:t>弱，陆地生态环境退变为水生生态环境，周边环境杂草丛生，生态调零。</w:t>
      </w:r>
    </w:p>
    <w:p>
      <w:pPr>
        <w:pStyle w:val="2"/>
        <w:pageBreakBefore w:val="0"/>
        <w:widowControl w:val="0"/>
        <w:kinsoku/>
        <w:wordWrap/>
        <w:overflowPunct/>
        <w:autoSpaceDE/>
        <w:autoSpaceDN/>
        <w:bidi w:val="0"/>
        <w:spacing w:beforeAutospacing="0" w:afterAutospacing="0" w:line="590" w:lineRule="exact"/>
        <w:ind w:firstLine="486"/>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sz w:val="32"/>
          <w:szCs w:val="32"/>
        </w:rPr>
        <w:t>沉陷区工业固体废</w:t>
      </w:r>
      <w:r>
        <w:rPr>
          <w:rFonts w:hint="default" w:ascii="Times New Roman" w:hAnsi="Times New Roman" w:eastAsia="方正仿宋_GBK" w:cs="Times New Roman"/>
          <w:sz w:val="32"/>
          <w:szCs w:val="32"/>
          <w:lang w:eastAsia="zh-CN"/>
        </w:rPr>
        <w:t>物</w:t>
      </w:r>
      <w:r>
        <w:rPr>
          <w:rFonts w:hint="default" w:ascii="Times New Roman" w:hAnsi="Times New Roman" w:eastAsia="方正仿宋_GBK" w:cs="Times New Roman"/>
          <w:sz w:val="32"/>
          <w:szCs w:val="32"/>
        </w:rPr>
        <w:t>产生量125</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5万吨，污水排放量8600万吨，沉陷区沉陷的</w:t>
      </w:r>
      <w:r>
        <w:rPr>
          <w:rFonts w:hint="default" w:ascii="Times New Roman" w:hAnsi="Times New Roman" w:eastAsia="方正仿宋_GBK" w:cs="Times New Roman"/>
          <w:sz w:val="32"/>
          <w:szCs w:val="32"/>
          <w:lang w:eastAsia="zh-CN"/>
        </w:rPr>
        <w:t>土壤</w:t>
      </w:r>
      <w:r>
        <w:rPr>
          <w:rFonts w:hint="default" w:ascii="Times New Roman" w:hAnsi="Times New Roman" w:eastAsia="方正仿宋_GBK" w:cs="Times New Roman"/>
          <w:sz w:val="32"/>
          <w:szCs w:val="32"/>
        </w:rPr>
        <w:t>和水体受到矿井水多次污染，加上原煤露天堆积，煤研石、粉煤灰</w:t>
      </w:r>
      <w:r>
        <w:rPr>
          <w:rFonts w:hint="default" w:ascii="Times New Roman" w:hAnsi="Times New Roman" w:eastAsia="方正仿宋_GBK" w:cs="Times New Roman"/>
          <w:sz w:val="32"/>
          <w:szCs w:val="32"/>
          <w:lang w:eastAsia="zh-CN"/>
        </w:rPr>
        <w:t>排</w:t>
      </w:r>
      <w:r>
        <w:rPr>
          <w:rFonts w:hint="default" w:ascii="Times New Roman" w:hAnsi="Times New Roman" w:eastAsia="方正仿宋_GBK" w:cs="Times New Roman"/>
          <w:sz w:val="32"/>
          <w:szCs w:val="32"/>
        </w:rPr>
        <w:t>放，环境污染问题较重；此外媒电产</w:t>
      </w:r>
      <w:r>
        <w:rPr>
          <w:rFonts w:hint="default" w:ascii="Times New Roman" w:hAnsi="Times New Roman" w:eastAsia="方正仿宋_GBK" w:cs="Times New Roman"/>
          <w:b w:val="0"/>
          <w:bCs w:val="0"/>
          <w:sz w:val="32"/>
          <w:szCs w:val="32"/>
        </w:rPr>
        <w:t>业生产排放大量有害气体，对大气也造成了严重污染。</w:t>
      </w:r>
    </w:p>
    <w:p>
      <w:pPr>
        <w:pStyle w:val="2"/>
        <w:pageBreakBefore w:val="0"/>
        <w:widowControl w:val="0"/>
        <w:kinsoku/>
        <w:wordWrap/>
        <w:overflowPunct/>
        <w:autoSpaceDE/>
        <w:autoSpaceDN/>
        <w:bidi w:val="0"/>
        <w:spacing w:beforeAutospacing="0" w:afterAutospacing="0" w:line="590" w:lineRule="exact"/>
        <w:ind w:firstLine="488"/>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②沉陷区生态修复及利用基本思路</w:t>
      </w:r>
    </w:p>
    <w:p>
      <w:pPr>
        <w:pStyle w:val="2"/>
        <w:pageBreakBefore w:val="0"/>
        <w:widowControl w:val="0"/>
        <w:kinsoku/>
        <w:wordWrap/>
        <w:overflowPunct/>
        <w:autoSpaceDE/>
        <w:autoSpaceDN/>
        <w:bidi w:val="0"/>
        <w:spacing w:beforeAutospacing="0" w:afterAutospacing="0" w:line="590" w:lineRule="exact"/>
        <w:ind w:firstLine="486"/>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rPr>
        <w:t>实施“可持续发展、循环经济”战略，以“生态矿区”建设为目标，坚持“资源环境保护、社会经济效应、生态系统（自维持）</w:t>
      </w:r>
      <w:r>
        <w:rPr>
          <w:rFonts w:hint="default" w:ascii="Times New Roman" w:hAnsi="Times New Roman" w:eastAsia="方正仿宋_GBK" w:cs="Times New Roman"/>
          <w:sz w:val="32"/>
          <w:szCs w:val="32"/>
        </w:rPr>
        <w:t>和保障系统建设”原则，贯彻“资源开发、高效利用、循环经济、环境治理、生态修复”的生命周期生态矿区建设理念，实施采煤沉陷区生态环境修复系统工程，发展生态经济，重建矿区新的和谐人地关系，实现矿业城市资源、环境、经济、社会协调发展。</w:t>
      </w:r>
    </w:p>
    <w:p>
      <w:pPr>
        <w:pStyle w:val="2"/>
        <w:pageBreakBefore w:val="0"/>
        <w:widowControl w:val="0"/>
        <w:kinsoku/>
        <w:wordWrap/>
        <w:overflowPunct/>
        <w:autoSpaceDE/>
        <w:autoSpaceDN/>
        <w:bidi w:val="0"/>
        <w:spacing w:beforeAutospacing="0" w:afterAutospacing="0" w:line="590" w:lineRule="exact"/>
        <w:ind w:firstLine="486"/>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突出“三废”和“一沉”是淮南生态矿区建设面临的生态环境问题。通过企业推进“清洁生产”和“企业共生循环”，着力对“三废”综合利用，突出循环经济发展主题，实现对采煤沉陷区“最小化或零污染”排放，同时，突出贯彻“两化”（资源化、生态化）历年的煤电工业固废（煤研石、媒粉灰等）综合处置。和采煤沉陷区土地复垦与生态重建有机结合的系统生态环境修复主题。矿并煤炭开采结束后，以整个矿区范围为统筹目标，以多类型项目为载体，通过多种方式和途径进行沉陷区生态修复工作，从而达到矿区的地质、人居、生态环境进一步得到改善和恢复，争取将淮南采煤沉陷区建设成为一个集生产、生态、旅游、休闲为一体的准河流域上一座“半城潮光半城楼”的美丽水城。</w:t>
      </w:r>
    </w:p>
    <w:p>
      <w:pPr>
        <w:pStyle w:val="2"/>
        <w:pageBreakBefore w:val="0"/>
        <w:widowControl w:val="0"/>
        <w:kinsoku/>
        <w:wordWrap/>
        <w:overflowPunct/>
        <w:autoSpaceDE/>
        <w:autoSpaceDN/>
        <w:bidi w:val="0"/>
        <w:spacing w:beforeAutospacing="0" w:afterAutospacing="0" w:line="590" w:lineRule="exact"/>
        <w:ind w:firstLine="488"/>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③生态修复工作和利用重点</w:t>
      </w:r>
    </w:p>
    <w:p>
      <w:pPr>
        <w:pStyle w:val="2"/>
        <w:pageBreakBefore w:val="0"/>
        <w:widowControl w:val="0"/>
        <w:kinsoku/>
        <w:wordWrap/>
        <w:overflowPunct/>
        <w:autoSpaceDE/>
        <w:autoSpaceDN/>
        <w:bidi w:val="0"/>
        <w:spacing w:beforeAutospacing="0" w:afterAutospacing="0" w:line="590" w:lineRule="exact"/>
        <w:ind w:firstLine="488"/>
        <w:rPr>
          <w:rFonts w:hint="default" w:ascii="Times New Roman" w:hAnsi="Times New Roman" w:eastAsia="方正仿宋_GBK" w:cs="Times New Roman"/>
          <w:b w:val="0"/>
          <w:bCs w:val="0"/>
          <w:sz w:val="32"/>
          <w:szCs w:val="32"/>
          <w:lang w:eastAsia="zh-CN"/>
        </w:rPr>
      </w:pPr>
      <w:r>
        <w:rPr>
          <w:rFonts w:hint="default" w:ascii="Times New Roman" w:hAnsi="Times New Roman" w:eastAsia="方正仿宋_GBK" w:cs="Times New Roman"/>
          <w:b w:val="0"/>
          <w:bCs w:val="0"/>
          <w:sz w:val="32"/>
          <w:szCs w:val="32"/>
        </w:rPr>
        <w:t>固废治理</w:t>
      </w:r>
    </w:p>
    <w:p>
      <w:pPr>
        <w:pStyle w:val="2"/>
        <w:pageBreakBefore w:val="0"/>
        <w:widowControl w:val="0"/>
        <w:kinsoku/>
        <w:wordWrap/>
        <w:overflowPunct/>
        <w:autoSpaceDE/>
        <w:autoSpaceDN/>
        <w:bidi w:val="0"/>
        <w:spacing w:beforeAutospacing="0" w:afterAutospacing="0" w:line="590" w:lineRule="exact"/>
        <w:ind w:firstLine="486"/>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rPr>
        <w:t>煤矿开采生产作业中最主要</w:t>
      </w:r>
      <w:r>
        <w:rPr>
          <w:rFonts w:hint="default" w:ascii="Times New Roman" w:hAnsi="Times New Roman" w:eastAsia="方正仿宋_GBK" w:cs="Times New Roman"/>
          <w:sz w:val="32"/>
          <w:szCs w:val="32"/>
        </w:rPr>
        <w:t>的固体废弃物是煤研石和粉煤灰，煤炭生产</w:t>
      </w:r>
      <w:r>
        <w:rPr>
          <w:rFonts w:hint="default" w:ascii="Times New Roman" w:hAnsi="Times New Roman" w:eastAsia="方正仿宋_GBK" w:cs="Times New Roman"/>
          <w:sz w:val="32"/>
          <w:szCs w:val="32"/>
          <w:lang w:eastAsia="zh-CN"/>
        </w:rPr>
        <w:t>固废</w:t>
      </w:r>
      <w:r>
        <w:rPr>
          <w:rFonts w:hint="default" w:ascii="Times New Roman" w:hAnsi="Times New Roman" w:eastAsia="方正仿宋_GBK" w:cs="Times New Roman"/>
          <w:sz w:val="32"/>
          <w:szCs w:val="32"/>
        </w:rPr>
        <w:t>的堆积一方面侵占了大量的土地和农田，破坏了土地资源，另一方面带来一系列的环境问题，如煤研石山溢流水使地下水呈现高矿度化、高硬度，导致</w:t>
      </w:r>
      <w:r>
        <w:rPr>
          <w:rFonts w:hint="default" w:ascii="Times New Roman" w:hAnsi="Times New Roman" w:eastAsia="方正仿宋_GBK" w:cs="Times New Roman"/>
          <w:sz w:val="32"/>
          <w:szCs w:val="32"/>
          <w:lang w:eastAsia="zh-CN"/>
        </w:rPr>
        <w:t>土壤盐碱化</w:t>
      </w:r>
      <w:r>
        <w:rPr>
          <w:rFonts w:hint="default" w:ascii="Times New Roman" w:hAnsi="Times New Roman" w:eastAsia="方正仿宋_GBK" w:cs="Times New Roman"/>
          <w:sz w:val="32"/>
          <w:szCs w:val="32"/>
        </w:rPr>
        <w:t>，使农作物减产甚至绝收；煤研石长时间露地堆积后，往往会发生自燃现象。并排放出大量有毒的二氧化硫、硫化氢、氮氧化物、一氧化碳和二氧化碳等气体，污染周边环境，破坏生态平衡。采煤固废物弃之为害，用之为宝，加强对媒开石、粉煤灰的生态治理和综合利用是采煤沉陷区综合治理工作极为重要的一环。</w:t>
      </w:r>
    </w:p>
    <w:p>
      <w:pPr>
        <w:pStyle w:val="2"/>
        <w:pageBreakBefore w:val="0"/>
        <w:widowControl w:val="0"/>
        <w:kinsoku/>
        <w:wordWrap/>
        <w:overflowPunct/>
        <w:autoSpaceDE/>
        <w:autoSpaceDN/>
        <w:bidi w:val="0"/>
        <w:spacing w:beforeAutospacing="0" w:afterAutospacing="0" w:line="590" w:lineRule="exact"/>
        <w:ind w:firstLine="486"/>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sz w:val="32"/>
          <w:szCs w:val="32"/>
        </w:rPr>
        <w:t>固废治理工作是在“十三五”期间处于在产状</w:t>
      </w:r>
      <w:r>
        <w:rPr>
          <w:rFonts w:hint="default" w:ascii="Times New Roman" w:hAnsi="Times New Roman" w:eastAsia="方正仿宋_GBK" w:cs="Times New Roman"/>
          <w:sz w:val="32"/>
          <w:szCs w:val="32"/>
          <w:lang w:eastAsia="zh-CN"/>
        </w:rPr>
        <w:t>态</w:t>
      </w:r>
      <w:r>
        <w:rPr>
          <w:rFonts w:hint="default" w:ascii="Times New Roman" w:hAnsi="Times New Roman" w:eastAsia="方正仿宋_GBK" w:cs="Times New Roman"/>
          <w:sz w:val="32"/>
          <w:szCs w:val="32"/>
        </w:rPr>
        <w:t>，煤炭开采固废产生较多的，或煤电联营的区域，如凤台县的张集矿、顾桥矿、顾北矿区，潘集区的潘一矿（含播一东矿）、潘二矿、潘三矿、</w:t>
      </w:r>
      <w:r>
        <w:rPr>
          <w:rFonts w:hint="default" w:ascii="Times New Roman" w:hAnsi="Times New Roman" w:eastAsia="方正仿宋_GBK" w:cs="Times New Roman"/>
          <w:b w:val="0"/>
          <w:bCs w:val="0"/>
          <w:sz w:val="32"/>
          <w:szCs w:val="32"/>
        </w:rPr>
        <w:t>潘四东矿沉陷区综合治理工作的重中之重。</w:t>
      </w:r>
    </w:p>
    <w:p>
      <w:pPr>
        <w:pStyle w:val="2"/>
        <w:pageBreakBefore w:val="0"/>
        <w:widowControl w:val="0"/>
        <w:kinsoku/>
        <w:wordWrap/>
        <w:overflowPunct/>
        <w:autoSpaceDE/>
        <w:autoSpaceDN/>
        <w:bidi w:val="0"/>
        <w:spacing w:beforeAutospacing="0" w:afterAutospacing="0" w:line="590" w:lineRule="exact"/>
        <w:ind w:firstLine="488"/>
        <w:rPr>
          <w:rFonts w:hint="default" w:ascii="Times New Roman" w:hAnsi="Times New Roman" w:eastAsia="方正仿宋_GBK" w:cs="Times New Roman"/>
          <w:b w:val="0"/>
          <w:bCs w:val="0"/>
          <w:sz w:val="32"/>
          <w:szCs w:val="32"/>
          <w:lang w:eastAsia="zh-CN"/>
        </w:rPr>
      </w:pPr>
      <w:r>
        <w:rPr>
          <w:rFonts w:hint="default" w:ascii="Times New Roman" w:hAnsi="Times New Roman" w:eastAsia="方正仿宋_GBK" w:cs="Times New Roman"/>
          <w:b w:val="0"/>
          <w:bCs w:val="0"/>
          <w:sz w:val="32"/>
          <w:szCs w:val="32"/>
        </w:rPr>
        <w:t>采煤沉陷区水资源保护与恢复</w:t>
      </w:r>
    </w:p>
    <w:p>
      <w:pPr>
        <w:pStyle w:val="2"/>
        <w:pageBreakBefore w:val="0"/>
        <w:widowControl w:val="0"/>
        <w:kinsoku/>
        <w:wordWrap/>
        <w:overflowPunct/>
        <w:autoSpaceDE/>
        <w:autoSpaceDN/>
        <w:bidi w:val="0"/>
        <w:spacing w:beforeAutospacing="0" w:afterAutospacing="0" w:line="590" w:lineRule="exact"/>
        <w:ind w:firstLine="486"/>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rPr>
        <w:t>采煤形成的沉陷水体是一种特殊的地表水</w:t>
      </w:r>
      <w:r>
        <w:rPr>
          <w:rFonts w:hint="default" w:ascii="Times New Roman" w:hAnsi="Times New Roman" w:eastAsia="方正仿宋_GBK" w:cs="Times New Roman"/>
          <w:sz w:val="32"/>
          <w:szCs w:val="32"/>
        </w:rPr>
        <w:t>资源，其不同于一般的地表水</w:t>
      </w:r>
      <w:r>
        <w:rPr>
          <w:rFonts w:hint="default" w:ascii="Times New Roman" w:hAnsi="Times New Roman" w:eastAsia="方正仿宋_GBK" w:cs="Times New Roman"/>
          <w:sz w:val="32"/>
          <w:szCs w:val="32"/>
          <w:lang w:eastAsia="zh-CN"/>
        </w:rPr>
        <w:t>原</w:t>
      </w:r>
      <w:r>
        <w:rPr>
          <w:rFonts w:hint="default" w:ascii="Times New Roman" w:hAnsi="Times New Roman" w:eastAsia="方正仿宋_GBK" w:cs="Times New Roman"/>
          <w:sz w:val="32"/>
          <w:szCs w:val="32"/>
        </w:rPr>
        <w:t>因在于：水的来源较为复杂，采煤沉陷区水体主要来自于浅层地下水、大气降水以及矿业排水，其可能的污染源主要有矿业污染物，如煤矿开采外排矿井水、选（洗）煤水、煤研石等煤矿固体废弃物经过风化淋溶释放产生的有害成分：工业污染物，如燃料燃烧污染大气，大气中的污染物随着降水进入水体；农业污染物，如农田中的营养盐、农药化肥残留等；生活污水，如矿区职工生活和沉陷区周边</w:t>
      </w:r>
      <w:r>
        <w:rPr>
          <w:rFonts w:hint="default" w:ascii="Times New Roman" w:hAnsi="Times New Roman" w:eastAsia="方正仿宋_GBK" w:cs="Times New Roman"/>
          <w:sz w:val="32"/>
          <w:szCs w:val="32"/>
          <w:lang w:eastAsia="zh-CN"/>
        </w:rPr>
        <w:t>乡</w:t>
      </w:r>
      <w:r>
        <w:rPr>
          <w:rFonts w:hint="default" w:ascii="Times New Roman" w:hAnsi="Times New Roman" w:eastAsia="方正仿宋_GBK" w:cs="Times New Roman"/>
          <w:sz w:val="32"/>
          <w:szCs w:val="32"/>
        </w:rPr>
        <w:t>镇居民产生的生活污水排入沉陷区水体，引起污染。</w:t>
      </w:r>
    </w:p>
    <w:p>
      <w:pPr>
        <w:pStyle w:val="2"/>
        <w:pageBreakBefore w:val="0"/>
        <w:widowControl w:val="0"/>
        <w:kinsoku/>
        <w:wordWrap/>
        <w:overflowPunct/>
        <w:autoSpaceDE/>
        <w:autoSpaceDN/>
        <w:bidi w:val="0"/>
        <w:spacing w:beforeAutospacing="0" w:afterAutospacing="0" w:line="590" w:lineRule="exact"/>
        <w:ind w:firstLine="486"/>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沉陷区水体与区域内的诸多自然或人工形成的地表及地下径流一道，构成了淮南市市域水生态，是淮南市采煤沉陷区综合治理，发展水产养殖、水生</w:t>
      </w:r>
      <w:r>
        <w:rPr>
          <w:rFonts w:hint="default" w:ascii="Times New Roman" w:hAnsi="Times New Roman" w:eastAsia="方正仿宋_GBK" w:cs="Times New Roman"/>
          <w:sz w:val="32"/>
          <w:szCs w:val="32"/>
          <w:lang w:eastAsia="zh-CN"/>
        </w:rPr>
        <w:t>蔬菜</w:t>
      </w:r>
      <w:r>
        <w:rPr>
          <w:rFonts w:hint="default" w:ascii="Times New Roman" w:hAnsi="Times New Roman" w:eastAsia="方正仿宋_GBK" w:cs="Times New Roman"/>
          <w:sz w:val="32"/>
          <w:szCs w:val="32"/>
        </w:rPr>
        <w:t>种植、湿地公园、水上</w:t>
      </w:r>
      <w:r>
        <w:rPr>
          <w:rFonts w:hint="default" w:ascii="Times New Roman" w:hAnsi="Times New Roman" w:eastAsia="方正仿宋_GBK" w:cs="Times New Roman"/>
          <w:sz w:val="32"/>
          <w:szCs w:val="32"/>
          <w:lang w:eastAsia="zh-CN"/>
        </w:rPr>
        <w:t>游</w:t>
      </w:r>
      <w:r>
        <w:rPr>
          <w:rFonts w:hint="default" w:ascii="Times New Roman" w:hAnsi="Times New Roman" w:eastAsia="方正仿宋_GBK" w:cs="Times New Roman"/>
          <w:sz w:val="32"/>
          <w:szCs w:val="32"/>
        </w:rPr>
        <w:t>乐场等相关项目的物质基础；是淮南市打造水生态文明城市，建设“半城湖光半城楼”的特色景观城市的物质前提，因此通过采取工程指施、生物措施相结合的系统治理方案，净化、保护沉陷区水体，修复区该水生态系统，是沉陷区综合治理工作的重中之重。</w:t>
      </w:r>
    </w:p>
    <w:p>
      <w:pPr>
        <w:pStyle w:val="2"/>
        <w:pageBreakBefore w:val="0"/>
        <w:widowControl w:val="0"/>
        <w:kinsoku/>
        <w:wordWrap/>
        <w:overflowPunct/>
        <w:autoSpaceDE/>
        <w:autoSpaceDN/>
        <w:bidi w:val="0"/>
        <w:spacing w:beforeAutospacing="0" w:afterAutospacing="0" w:line="590" w:lineRule="exact"/>
        <w:ind w:firstLine="486"/>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sz w:val="32"/>
          <w:szCs w:val="32"/>
        </w:rPr>
        <w:t>采煤沉陷区水资源保护与恢复，主要在风台县张集矿沉陷区，八公山区谢一矿、李一矿、新庄孜矿、李嘴孜矿沉陷区，潘集区潘一矿、潘二矿沉陷区，大通区大通、陈巷、九龙岗、孔店，这些受沉陷影响的区域多临近淮南市境内主要水系，如淮河、泥河、港河、湿河、花家湖等，水体污染后污染影响范围广，治理难度大，所以做好这些区域的采煤沉陷区水资源保护与恢复工作意义</w:t>
      </w:r>
      <w:r>
        <w:rPr>
          <w:rFonts w:hint="default" w:ascii="Times New Roman" w:hAnsi="Times New Roman" w:eastAsia="方正仿宋_GBK" w:cs="Times New Roman"/>
          <w:b w:val="0"/>
          <w:bCs w:val="0"/>
          <w:sz w:val="32"/>
          <w:szCs w:val="32"/>
        </w:rPr>
        <w:t>重大。</w:t>
      </w:r>
    </w:p>
    <w:p>
      <w:pPr>
        <w:pStyle w:val="2"/>
        <w:pageBreakBefore w:val="0"/>
        <w:widowControl w:val="0"/>
        <w:kinsoku/>
        <w:wordWrap/>
        <w:overflowPunct/>
        <w:autoSpaceDE/>
        <w:autoSpaceDN/>
        <w:bidi w:val="0"/>
        <w:spacing w:beforeAutospacing="0" w:afterAutospacing="0" w:line="590" w:lineRule="exact"/>
        <w:ind w:firstLine="488"/>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矿区耕作层表土保护</w:t>
      </w:r>
    </w:p>
    <w:p>
      <w:pPr>
        <w:pStyle w:val="2"/>
        <w:pageBreakBefore w:val="0"/>
        <w:widowControl w:val="0"/>
        <w:kinsoku/>
        <w:wordWrap/>
        <w:overflowPunct/>
        <w:autoSpaceDE/>
        <w:autoSpaceDN/>
        <w:bidi w:val="0"/>
        <w:spacing w:beforeAutospacing="0" w:afterAutospacing="0" w:line="590" w:lineRule="exact"/>
        <w:ind w:firstLine="486"/>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表土剥离是指将建设用地或露天开采用地（包括临时性或永久性用地）所涉及到的适合耕种的表层土壤剥离出来，用于原地或异地土地复层、</w:t>
      </w:r>
      <w:r>
        <w:rPr>
          <w:rFonts w:hint="default" w:ascii="Times New Roman" w:hAnsi="Times New Roman" w:eastAsia="方正仿宋_GBK" w:cs="Times New Roman"/>
          <w:sz w:val="32"/>
          <w:szCs w:val="32"/>
          <w:lang w:eastAsia="zh-CN"/>
        </w:rPr>
        <w:t>土壤</w:t>
      </w:r>
      <w:r>
        <w:rPr>
          <w:rFonts w:hint="default" w:ascii="Times New Roman" w:hAnsi="Times New Roman" w:eastAsia="方正仿宋_GBK" w:cs="Times New Roman"/>
          <w:sz w:val="32"/>
          <w:szCs w:val="32"/>
        </w:rPr>
        <w:t>改良、造地及其它用途的剥离、存放、搬运、耕层构造与检测等一系列相关技术。</w:t>
      </w:r>
    </w:p>
    <w:p>
      <w:pPr>
        <w:pStyle w:val="2"/>
        <w:pageBreakBefore w:val="0"/>
        <w:widowControl w:val="0"/>
        <w:kinsoku/>
        <w:wordWrap/>
        <w:overflowPunct/>
        <w:autoSpaceDE/>
        <w:autoSpaceDN/>
        <w:bidi w:val="0"/>
        <w:spacing w:beforeAutospacing="0" w:afterAutospacing="0" w:line="590" w:lineRule="exact"/>
        <w:ind w:firstLine="486"/>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sz w:val="32"/>
          <w:szCs w:val="32"/>
        </w:rPr>
        <w:t>淮南市沉陷区内土地在沉陷前80%以上都是优质耕地，其表土肥沃。而准南市为多煤层开采，区域内煤层完全开采结束以后，沉陷积水深度一般都要达到10米以上，优质的表土层沉入水下而无法利用，因此在在产矿区范围内沉陷之初可将肥沃的表土层</w:t>
      </w:r>
      <w:r>
        <w:rPr>
          <w:rFonts w:hint="default" w:ascii="Times New Roman" w:hAnsi="Times New Roman" w:eastAsia="方正仿宋_GBK" w:cs="Times New Roman"/>
          <w:b w:val="0"/>
          <w:bCs w:val="0"/>
          <w:sz w:val="32"/>
          <w:szCs w:val="32"/>
        </w:rPr>
        <w:t>进行保护性剥离。</w:t>
      </w:r>
    </w:p>
    <w:p>
      <w:pPr>
        <w:pStyle w:val="2"/>
        <w:pageBreakBefore w:val="0"/>
        <w:widowControl w:val="0"/>
        <w:kinsoku/>
        <w:wordWrap/>
        <w:overflowPunct/>
        <w:autoSpaceDE/>
        <w:autoSpaceDN/>
        <w:bidi w:val="0"/>
        <w:spacing w:beforeAutospacing="0" w:afterAutospacing="0" w:line="590" w:lineRule="exact"/>
        <w:ind w:firstLine="488"/>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采煤沉陷地的生态复垦与利用</w:t>
      </w:r>
    </w:p>
    <w:p>
      <w:pPr>
        <w:pStyle w:val="2"/>
        <w:pageBreakBefore w:val="0"/>
        <w:widowControl w:val="0"/>
        <w:kinsoku/>
        <w:wordWrap/>
        <w:overflowPunct/>
        <w:autoSpaceDE/>
        <w:autoSpaceDN/>
        <w:bidi w:val="0"/>
        <w:spacing w:beforeAutospacing="0" w:afterAutospacing="0" w:line="590" w:lineRule="exact"/>
        <w:ind w:firstLine="486"/>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采煤沉陷地生态复是以矿区生态系统健康与环境安全为恢复重建目标，通过采取工程、生物等措施，在符合土地利用总体规划和城镇建设规划的前提下，结合实际地形和地质情况，将城镇建设规划区以外的采煤沉陷地，优先复垦为农用地（耕地），以满足耕地占补平衡的需要；将城镇建设规划区以内的采煤沉陷地，优先复</w:t>
      </w:r>
      <w:r>
        <w:rPr>
          <w:rFonts w:hint="default" w:ascii="Times New Roman" w:hAnsi="Times New Roman" w:eastAsia="方正仿宋_GBK" w:cs="Times New Roman"/>
          <w:sz w:val="32"/>
          <w:szCs w:val="32"/>
          <w:lang w:eastAsia="zh-CN"/>
        </w:rPr>
        <w:t>垦</w:t>
      </w:r>
      <w:r>
        <w:rPr>
          <w:rFonts w:hint="default" w:ascii="Times New Roman" w:hAnsi="Times New Roman" w:eastAsia="方正仿宋_GBK" w:cs="Times New Roman"/>
          <w:sz w:val="32"/>
          <w:szCs w:val="32"/>
        </w:rPr>
        <w:t>为建设用地，以保障经济社会发展的用地需求；将沉陷较深的，合理保留沉陷水面，建设生态湿地景观。采煤沉陷地的生态复显、生态利用对于实现生态环境改善，促进资源</w:t>
      </w:r>
      <w:r>
        <w:rPr>
          <w:rFonts w:hint="default" w:ascii="Times New Roman" w:hAnsi="Times New Roman" w:eastAsia="方正仿宋_GBK" w:cs="Times New Roman"/>
          <w:sz w:val="32"/>
          <w:szCs w:val="32"/>
          <w:lang w:eastAsia="zh-CN"/>
        </w:rPr>
        <w:t>枯竭</w:t>
      </w:r>
      <w:r>
        <w:rPr>
          <w:rFonts w:hint="default" w:ascii="Times New Roman" w:hAnsi="Times New Roman" w:eastAsia="方正仿宋_GBK" w:cs="Times New Roman"/>
          <w:sz w:val="32"/>
          <w:szCs w:val="32"/>
        </w:rPr>
        <w:t>性城市转型，增加就业空间，缓解矿区及周边的人地矛盾，社会稳定创造条件，改善矿区广大群众生活居住环境、促进人与自然的和谐发展，构建和谐社会，具有重要的现实意义和战略意义。</w:t>
      </w:r>
    </w:p>
    <w:p>
      <w:pPr>
        <w:pStyle w:val="2"/>
        <w:pageBreakBefore w:val="0"/>
        <w:widowControl w:val="0"/>
        <w:kinsoku/>
        <w:wordWrap/>
        <w:overflowPunct/>
        <w:autoSpaceDE/>
        <w:autoSpaceDN/>
        <w:bidi w:val="0"/>
        <w:spacing w:beforeAutospacing="0" w:afterAutospacing="0" w:line="590" w:lineRule="exact"/>
        <w:ind w:firstLine="486"/>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采煤沉陷地生态复</w:t>
      </w:r>
      <w:r>
        <w:rPr>
          <w:rFonts w:hint="default" w:ascii="Times New Roman" w:hAnsi="Times New Roman" w:eastAsia="方正仿宋_GBK" w:cs="Times New Roman"/>
          <w:sz w:val="32"/>
          <w:szCs w:val="32"/>
          <w:lang w:eastAsia="zh-CN"/>
        </w:rPr>
        <w:t>垦</w:t>
      </w:r>
      <w:r>
        <w:rPr>
          <w:rFonts w:hint="default" w:ascii="Times New Roman" w:hAnsi="Times New Roman" w:eastAsia="方正仿宋_GBK" w:cs="Times New Roman"/>
          <w:sz w:val="32"/>
          <w:szCs w:val="32"/>
        </w:rPr>
        <w:t>与利用，主要在稳沉矿区或停产矿区开展，如九大历史矿区，以保证治理复</w:t>
      </w:r>
      <w:r>
        <w:rPr>
          <w:rFonts w:hint="default" w:ascii="Times New Roman" w:hAnsi="Times New Roman" w:eastAsia="方正仿宋_GBK" w:cs="Times New Roman"/>
          <w:sz w:val="32"/>
          <w:szCs w:val="32"/>
          <w:lang w:eastAsia="zh-CN"/>
        </w:rPr>
        <w:t>垦</w:t>
      </w:r>
      <w:r>
        <w:rPr>
          <w:rFonts w:hint="default" w:ascii="Times New Roman" w:hAnsi="Times New Roman" w:eastAsia="方正仿宋_GBK" w:cs="Times New Roman"/>
          <w:sz w:val="32"/>
          <w:szCs w:val="32"/>
        </w:rPr>
        <w:t>后，可以满足农业生产或</w:t>
      </w:r>
      <w:r>
        <w:rPr>
          <w:rFonts w:hint="default" w:ascii="Times New Roman" w:hAnsi="Times New Roman" w:eastAsia="方正仿宋_GBK" w:cs="Times New Roman"/>
          <w:sz w:val="32"/>
          <w:szCs w:val="32"/>
          <w:lang w:eastAsia="zh-CN"/>
        </w:rPr>
        <w:t>城镇</w:t>
      </w:r>
      <w:r>
        <w:rPr>
          <w:rFonts w:hint="default" w:ascii="Times New Roman" w:hAnsi="Times New Roman" w:eastAsia="方正仿宋_GBK" w:cs="Times New Roman"/>
          <w:sz w:val="32"/>
          <w:szCs w:val="32"/>
        </w:rPr>
        <w:t>建没的需要。</w:t>
      </w:r>
    </w:p>
    <w:p>
      <w:pPr>
        <w:pStyle w:val="2"/>
        <w:pageBreakBefore w:val="0"/>
        <w:widowControl w:val="0"/>
        <w:kinsoku/>
        <w:wordWrap/>
        <w:overflowPunct/>
        <w:autoSpaceDE/>
        <w:autoSpaceDN/>
        <w:bidi w:val="0"/>
        <w:spacing w:beforeAutospacing="0" w:afterAutospacing="0" w:line="590" w:lineRule="exact"/>
        <w:ind w:firstLine="488"/>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沉陷区地表景观的构建</w:t>
      </w:r>
    </w:p>
    <w:p>
      <w:pPr>
        <w:pStyle w:val="2"/>
        <w:pageBreakBefore w:val="0"/>
        <w:widowControl w:val="0"/>
        <w:kinsoku/>
        <w:wordWrap/>
        <w:overflowPunct/>
        <w:autoSpaceDE/>
        <w:autoSpaceDN/>
        <w:bidi w:val="0"/>
        <w:spacing w:beforeAutospacing="0" w:afterAutospacing="0" w:line="590" w:lineRule="exact"/>
        <w:ind w:firstLine="486"/>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采煤沉陷严重影响着当地生态环境，而对于地表植被景观的破坏尤其严重：森林植被遭到损毁，动植物生长栖息环境条件改变，林业资源萎缩，生物种群减少，陆地生态环境蜕变为水生生态环境，生态系统承载力严重下降。</w:t>
      </w:r>
    </w:p>
    <w:p>
      <w:pPr>
        <w:pStyle w:val="2"/>
        <w:pageBreakBefore w:val="0"/>
        <w:widowControl w:val="0"/>
        <w:kinsoku/>
        <w:wordWrap/>
        <w:overflowPunct/>
        <w:autoSpaceDE/>
        <w:autoSpaceDN/>
        <w:bidi w:val="0"/>
        <w:spacing w:beforeAutospacing="0" w:afterAutospacing="0" w:line="590" w:lineRule="exact"/>
        <w:ind w:firstLine="486"/>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运用工程措施、生物措施，充分利用现有资源，整合鱼塘、农田、湿地等，发展观光农业，在现有的旅游资源的基础上，补充发展新的湿地景观，不仅有利于水体水质的改善，还能为沉陷区的动植物提供一个栖息紧衍的良好环境，也为当地群众提供风景秀围的宜居环境。</w:t>
      </w:r>
    </w:p>
    <w:p>
      <w:pPr>
        <w:pStyle w:val="2"/>
        <w:pageBreakBefore w:val="0"/>
        <w:widowControl w:val="0"/>
        <w:kinsoku/>
        <w:wordWrap/>
        <w:overflowPunct/>
        <w:autoSpaceDE/>
        <w:autoSpaceDN/>
        <w:bidi w:val="0"/>
        <w:spacing w:beforeAutospacing="0" w:afterAutospacing="0" w:line="590" w:lineRule="exact"/>
        <w:ind w:firstLine="486"/>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沉陷区地表景观的构建主要在活集区来庄矿沉陷区、风台县新三矿沉陷区、八公山区新庄孜矿、李嘴孜矿、谢一矿、李一矿等沉陷区开展。</w:t>
      </w:r>
    </w:p>
    <w:p>
      <w:pPr>
        <w:pStyle w:val="5"/>
        <w:pageBreakBefore w:val="0"/>
        <w:widowControl w:val="0"/>
        <w:kinsoku/>
        <w:wordWrap/>
        <w:overflowPunct/>
        <w:autoSpaceDE/>
        <w:autoSpaceDN/>
        <w:bidi w:val="0"/>
        <w:spacing w:beforeAutospacing="0" w:afterAutospacing="0" w:line="590" w:lineRule="exact"/>
        <w:ind w:firstLine="568"/>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（2）采煤沉陷区水资源保护措施</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① 实施与周边河流联通工程</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目前，沉陷区水域绝大多数多为封闭水域，水体流动性差、自净能力弱，生物种类单一，水生态系统脆弱，为此，将全面开展沉陷区与周边河流的连通工程，实现沉陷区水体与河流水源连通流动，实现水流生态修复，达到“流水不腐”的效果。</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② 沉陷区周边的绿化工程</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sz w:val="32"/>
          <w:szCs w:val="32"/>
        </w:rPr>
        <w:t>对积水水域四周进行整治、加固</w:t>
      </w:r>
      <w:r>
        <w:rPr>
          <w:rFonts w:hint="default" w:ascii="Times New Roman" w:hAnsi="Times New Roman" w:eastAsia="方正仿宋_GBK" w:cs="Times New Roman"/>
          <w:sz w:val="32"/>
          <w:szCs w:val="32"/>
        </w:rPr>
        <w:t>，并砌筑护坝，人工湖周边布</w:t>
      </w:r>
      <w:r>
        <w:rPr>
          <w:rFonts w:hint="default" w:ascii="Times New Roman" w:hAnsi="Times New Roman" w:eastAsia="方正仿宋_GBK" w:cs="Times New Roman"/>
          <w:b w:val="0"/>
          <w:bCs w:val="0"/>
          <w:sz w:val="32"/>
          <w:szCs w:val="32"/>
        </w:rPr>
        <w:t>置绿化带、人行道等附属设施，构建沉陷区周边的生态长廊。</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③ 规划水资源的开发利用</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相比天然湖泊沉陷区集水面积小，水生态系统脆弱，沉陷区本身逐年在下沉，不能按常规方法进行开发，对沉陷区水资源的开发利用进行科学化管理，研制一套专门开发利用采煤沉陷区蓄水量的方案，防止破坏初步形成的沉陷区水生态系统。</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④ 预防工业污染，控制面源污染</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严禁工业企业和生活污水排入沉陷区，防止工业污染沉陷区水生态环境，同时注意做好沉陷区周边的面源治理工作，为营造良好的沉陷区水生态环境创造有利条件。</w:t>
      </w:r>
    </w:p>
    <w:p>
      <w:pPr>
        <w:pStyle w:val="5"/>
        <w:pageBreakBefore w:val="0"/>
        <w:widowControl w:val="0"/>
        <w:kinsoku/>
        <w:wordWrap/>
        <w:overflowPunct/>
        <w:autoSpaceDE/>
        <w:autoSpaceDN/>
        <w:bidi w:val="0"/>
        <w:spacing w:beforeAutospacing="0" w:afterAutospacing="0" w:line="590" w:lineRule="exact"/>
        <w:ind w:firstLine="568"/>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（3）采煤沉陷区水量监测</w:t>
      </w:r>
    </w:p>
    <w:p>
      <w:pPr>
        <w:pageBreakBefore w:val="0"/>
        <w:widowControl w:val="0"/>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目前淮南市境内采煤塌陷面积已经达到171.02km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zh-CN"/>
        </w:rPr>
        <w:t>预计到2020年，累计采煤沉陷面积为</w:t>
      </w:r>
      <w:r>
        <w:rPr>
          <w:rFonts w:hint="default" w:ascii="Times New Roman" w:hAnsi="Times New Roman" w:eastAsia="方正仿宋_GBK" w:cs="Times New Roman"/>
          <w:sz w:val="32"/>
          <w:szCs w:val="32"/>
        </w:rPr>
        <w:t>186.7</w:t>
      </w:r>
      <w:r>
        <w:rPr>
          <w:rFonts w:hint="default" w:ascii="Times New Roman" w:hAnsi="Times New Roman" w:eastAsia="方正仿宋_GBK" w:cs="Times New Roman"/>
          <w:sz w:val="32"/>
          <w:szCs w:val="32"/>
          <w:lang w:val="zh-CN"/>
        </w:rPr>
        <w:t>km</w:t>
      </w:r>
      <w:r>
        <w:rPr>
          <w:rFonts w:hint="default" w:ascii="Times New Roman" w:hAnsi="Times New Roman" w:eastAsia="方正仿宋_GBK" w:cs="Times New Roman"/>
          <w:sz w:val="32"/>
          <w:szCs w:val="32"/>
          <w:vertAlign w:val="superscript"/>
          <w:lang w:val="zh-CN"/>
        </w:rPr>
        <w:t xml:space="preserve"> 2</w:t>
      </w:r>
      <w:r>
        <w:rPr>
          <w:rFonts w:hint="default" w:ascii="Times New Roman" w:hAnsi="Times New Roman" w:eastAsia="方正仿宋_GBK" w:cs="Times New Roman"/>
          <w:sz w:val="32"/>
          <w:szCs w:val="32"/>
          <w:lang w:val="zh-CN"/>
        </w:rPr>
        <w:t>，其中积水面积112.65km</w:t>
      </w:r>
      <w:r>
        <w:rPr>
          <w:rFonts w:hint="default" w:ascii="Times New Roman" w:hAnsi="Times New Roman" w:eastAsia="方正仿宋_GBK" w:cs="Times New Roman"/>
          <w:sz w:val="32"/>
          <w:szCs w:val="32"/>
          <w:vertAlign w:val="superscript"/>
          <w:lang w:val="zh-CN"/>
        </w:rPr>
        <w:t xml:space="preserve"> 2</w:t>
      </w:r>
      <w:r>
        <w:rPr>
          <w:rFonts w:hint="default" w:ascii="Times New Roman" w:hAnsi="Times New Roman" w:eastAsia="方正仿宋_GBK" w:cs="Times New Roman"/>
          <w:sz w:val="32"/>
          <w:szCs w:val="32"/>
          <w:lang w:val="zh-CN"/>
        </w:rPr>
        <w:t xml:space="preserve">，到 2030 年，累计采煤沉陷面积为275.2km </w:t>
      </w:r>
      <w:r>
        <w:rPr>
          <w:rFonts w:hint="default" w:ascii="Times New Roman" w:hAnsi="Times New Roman" w:eastAsia="方正仿宋_GBK" w:cs="Times New Roman"/>
          <w:sz w:val="32"/>
          <w:szCs w:val="32"/>
          <w:vertAlign w:val="superscript"/>
          <w:lang w:val="zh-CN"/>
        </w:rPr>
        <w:t>2</w:t>
      </w:r>
      <w:r>
        <w:rPr>
          <w:rFonts w:hint="default" w:ascii="Times New Roman" w:hAnsi="Times New Roman" w:eastAsia="方正仿宋_GBK" w:cs="Times New Roman"/>
          <w:sz w:val="32"/>
          <w:szCs w:val="32"/>
          <w:lang w:val="zh-CN"/>
        </w:rPr>
        <w:t>，其中积水面积195.40km</w:t>
      </w:r>
      <w:r>
        <w:rPr>
          <w:rFonts w:hint="default" w:ascii="Times New Roman" w:hAnsi="Times New Roman" w:eastAsia="方正仿宋_GBK" w:cs="Times New Roman"/>
          <w:sz w:val="32"/>
          <w:szCs w:val="32"/>
          <w:vertAlign w:val="superscript"/>
          <w:lang w:val="zh-CN"/>
        </w:rPr>
        <w:t xml:space="preserve"> 2</w:t>
      </w:r>
      <w:r>
        <w:rPr>
          <w:rFonts w:hint="default" w:ascii="Times New Roman" w:hAnsi="Times New Roman" w:eastAsia="方正仿宋_GBK" w:cs="Times New Roman"/>
          <w:sz w:val="32"/>
          <w:szCs w:val="32"/>
          <w:lang w:val="zh-CN"/>
        </w:rPr>
        <w:t>。最大水深达</w:t>
      </w:r>
      <w:r>
        <w:rPr>
          <w:rFonts w:hint="default" w:ascii="Times New Roman" w:hAnsi="Times New Roman" w:eastAsia="方正仿宋_GBK" w:cs="Times New Roman"/>
          <w:sz w:val="32"/>
          <w:szCs w:val="32"/>
        </w:rPr>
        <w:t>20m左右，整个沉陷区蓄水量是个庞大的数字，目前采用的数据是预估数，要想算清淮南市水帐，必须对沉陷区水量进行详细测量，计算出沉陷区确切的蓄水量，同时还要加强对沉陷区水量自动监测。</w:t>
      </w:r>
    </w:p>
    <w:p>
      <w:pPr>
        <w:pStyle w:val="5"/>
        <w:pageBreakBefore w:val="0"/>
        <w:widowControl w:val="0"/>
        <w:kinsoku/>
        <w:wordWrap/>
        <w:overflowPunct/>
        <w:autoSpaceDE/>
        <w:autoSpaceDN/>
        <w:bidi w:val="0"/>
        <w:spacing w:beforeAutospacing="0" w:afterAutospacing="0" w:line="590" w:lineRule="exact"/>
        <w:ind w:firstLine="568"/>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（4）采煤沉陷区安全保障规划</w:t>
      </w:r>
    </w:p>
    <w:p>
      <w:pPr>
        <w:pStyle w:val="2"/>
        <w:pageBreakBefore w:val="0"/>
        <w:widowControl w:val="0"/>
        <w:kinsoku/>
        <w:wordWrap/>
        <w:overflowPunct/>
        <w:autoSpaceDE/>
        <w:autoSpaceDN/>
        <w:bidi w:val="0"/>
        <w:spacing w:beforeAutospacing="0" w:afterAutospacing="0" w:line="590" w:lineRule="exact"/>
        <w:ind w:firstLine="486"/>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sz w:val="32"/>
          <w:szCs w:val="32"/>
        </w:rPr>
        <w:t>保障采煤沉陷区安全，应制订相关配套管理制度，并从采煤沉陷区安全隐患排查、落实“先搬后采”搬迁政策、及时进行搬迁村庄房屋拆除、建立沉陷区日常运护和防御警示机制、加强沉陷区水质监测，充分利用塌陷区水利资源等多方面做好应对措施和</w:t>
      </w:r>
      <w:r>
        <w:rPr>
          <w:rFonts w:hint="default" w:ascii="Times New Roman" w:hAnsi="Times New Roman" w:eastAsia="方正仿宋_GBK" w:cs="Times New Roman"/>
          <w:b w:val="0"/>
          <w:bCs w:val="0"/>
          <w:sz w:val="32"/>
          <w:szCs w:val="32"/>
        </w:rPr>
        <w:t>制度。</w:t>
      </w:r>
    </w:p>
    <w:p>
      <w:pPr>
        <w:pStyle w:val="2"/>
        <w:pageBreakBefore w:val="0"/>
        <w:widowControl w:val="0"/>
        <w:kinsoku/>
        <w:wordWrap/>
        <w:overflowPunct/>
        <w:autoSpaceDE/>
        <w:autoSpaceDN/>
        <w:bidi w:val="0"/>
        <w:spacing w:beforeAutospacing="0" w:afterAutospacing="0" w:line="590" w:lineRule="exact"/>
        <w:ind w:firstLine="488"/>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①全面进行采煤沉陷区安全隐患排查，并做好应对措施</w:t>
      </w:r>
    </w:p>
    <w:p>
      <w:pPr>
        <w:pStyle w:val="2"/>
        <w:pageBreakBefore w:val="0"/>
        <w:widowControl w:val="0"/>
        <w:kinsoku/>
        <w:wordWrap/>
        <w:overflowPunct/>
        <w:autoSpaceDE/>
        <w:autoSpaceDN/>
        <w:bidi w:val="0"/>
        <w:spacing w:beforeAutospacing="0" w:afterAutospacing="0" w:line="590" w:lineRule="exact"/>
        <w:ind w:firstLine="486"/>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由各区县人民政府牵头，组织力量对涉矿乡镇危房户进行全面、细致排查登记，做到村不漏户、户不漏人，掌握第一手资料，同时由各乡镇干部包片到村、村干部包片到户，对严重危房进行及时拆除，对危房户群众采取租房、投亲靠友、提供机关学校用房和搭设帐篷、彩板房等多种形式进行应急安置。</w:t>
      </w:r>
    </w:p>
    <w:p>
      <w:pPr>
        <w:pStyle w:val="2"/>
        <w:pageBreakBefore w:val="0"/>
        <w:widowControl w:val="0"/>
        <w:kinsoku/>
        <w:wordWrap/>
        <w:overflowPunct/>
        <w:autoSpaceDE/>
        <w:autoSpaceDN/>
        <w:bidi w:val="0"/>
        <w:spacing w:beforeAutospacing="0" w:afterAutospacing="0" w:line="590" w:lineRule="exact"/>
        <w:ind w:firstLine="488"/>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②落实“先搬后采”搬迁政策</w:t>
      </w:r>
    </w:p>
    <w:p>
      <w:pPr>
        <w:pStyle w:val="2"/>
        <w:pageBreakBefore w:val="0"/>
        <w:widowControl w:val="0"/>
        <w:kinsoku/>
        <w:wordWrap/>
        <w:overflowPunct/>
        <w:autoSpaceDE/>
        <w:autoSpaceDN/>
        <w:bidi w:val="0"/>
        <w:spacing w:beforeAutospacing="0" w:afterAutospacing="0" w:line="590" w:lineRule="exact"/>
        <w:ind w:firstLine="486"/>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各采煤企业提前上报未来采据计划，并对涉及采煤区域进行采煤沉陷预测，提前制定搬迁计划，全面实行“先搬后采”，确保采煤沉陷区群众生命财产安全。对改变采掘计划，未进行搬迁区域则禁止开采。</w:t>
      </w:r>
    </w:p>
    <w:p>
      <w:pPr>
        <w:pStyle w:val="2"/>
        <w:pageBreakBefore w:val="0"/>
        <w:widowControl w:val="0"/>
        <w:kinsoku/>
        <w:wordWrap/>
        <w:overflowPunct/>
        <w:autoSpaceDE/>
        <w:autoSpaceDN/>
        <w:bidi w:val="0"/>
        <w:spacing w:beforeAutospacing="0" w:afterAutospacing="0" w:line="590" w:lineRule="exact"/>
        <w:ind w:firstLine="488"/>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③及时进行搬迁村庄房屋拆除，杜绝搬迁人员回流</w:t>
      </w:r>
    </w:p>
    <w:p>
      <w:pPr>
        <w:pStyle w:val="2"/>
        <w:pageBreakBefore w:val="0"/>
        <w:widowControl w:val="0"/>
        <w:kinsoku/>
        <w:wordWrap/>
        <w:overflowPunct/>
        <w:autoSpaceDE/>
        <w:autoSpaceDN/>
        <w:bidi w:val="0"/>
        <w:spacing w:beforeAutospacing="0" w:afterAutospacing="0" w:line="590" w:lineRule="exact"/>
        <w:ind w:firstLine="486"/>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制定搬迁村庄拆除计划，并设立专项拆除资金，全力推进</w:t>
      </w:r>
      <w:r>
        <w:rPr>
          <w:rFonts w:hint="default" w:ascii="Times New Roman" w:hAnsi="Times New Roman" w:eastAsia="方正仿宋_GBK" w:cs="Times New Roman"/>
          <w:sz w:val="32"/>
          <w:szCs w:val="32"/>
        </w:rPr>
        <w:t>采煤塌陷区老村庄的拆除和垃圾清理工作，杜绝搬迁人员存在侥幸心理回流入住，严防老旧危房倒塌造成人员伤亡。此外，针对搬迁出的群众做好再就业工作，努力实现“搬得出、稳得住、有事做、能致富”工作目标。对于搬迁后居民所承包的未征且可继续耕种耕地，由政府牵头对土地使用权进行统一扭转，避免搬迁居民</w:t>
      </w:r>
      <w:r>
        <w:rPr>
          <w:rFonts w:hint="default" w:ascii="Times New Roman" w:hAnsi="Times New Roman" w:eastAsia="方正仿宋_GBK" w:cs="Times New Roman"/>
          <w:b w:val="0"/>
          <w:bCs w:val="0"/>
          <w:sz w:val="32"/>
          <w:szCs w:val="32"/>
        </w:rPr>
        <w:t>因耕种重返危房。</w:t>
      </w:r>
    </w:p>
    <w:p>
      <w:pPr>
        <w:pStyle w:val="2"/>
        <w:pageBreakBefore w:val="0"/>
        <w:widowControl w:val="0"/>
        <w:kinsoku/>
        <w:wordWrap/>
        <w:overflowPunct/>
        <w:autoSpaceDE/>
        <w:autoSpaceDN/>
        <w:bidi w:val="0"/>
        <w:spacing w:beforeAutospacing="0" w:afterAutospacing="0" w:line="590" w:lineRule="exact"/>
        <w:ind w:firstLine="488"/>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④建立沉陷区日常巡护和防御警示机制</w:t>
      </w:r>
    </w:p>
    <w:p>
      <w:pPr>
        <w:pStyle w:val="2"/>
        <w:pageBreakBefore w:val="0"/>
        <w:widowControl w:val="0"/>
        <w:kinsoku/>
        <w:wordWrap/>
        <w:overflowPunct/>
        <w:autoSpaceDE/>
        <w:autoSpaceDN/>
        <w:bidi w:val="0"/>
        <w:spacing w:beforeAutospacing="0" w:afterAutospacing="0" w:line="590" w:lineRule="exact"/>
        <w:ind w:firstLine="486"/>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沉陷区内重要道路和供电、供水等重要基础设施应设立专门的日常巡护机制，重点区段实行分片、分村、分组包干，对于有一定危险隐患区域应及时上报主管部门，由主管部门有保有关责任单位进行及时维护，穿越沉陷深积水区区域通路两侧应加进防护设施，同时深积水区岸边应设立“水深危险”等字样警示标标志牌。</w:t>
      </w:r>
    </w:p>
    <w:p>
      <w:pPr>
        <w:pStyle w:val="2"/>
        <w:pageBreakBefore w:val="0"/>
        <w:widowControl w:val="0"/>
        <w:kinsoku/>
        <w:wordWrap/>
        <w:overflowPunct/>
        <w:autoSpaceDE/>
        <w:autoSpaceDN/>
        <w:bidi w:val="0"/>
        <w:spacing w:beforeAutospacing="0" w:afterAutospacing="0" w:line="590" w:lineRule="exact"/>
        <w:ind w:firstLine="488"/>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⑤加强沉陷区水质监测，充分利用增陷区水利资源，变“无主水域”为“有主水域”</w:t>
      </w:r>
    </w:p>
    <w:p>
      <w:pPr>
        <w:pStyle w:val="2"/>
        <w:pageBreakBefore w:val="0"/>
        <w:widowControl w:val="0"/>
        <w:kinsoku/>
        <w:wordWrap/>
        <w:overflowPunct/>
        <w:autoSpaceDE/>
        <w:autoSpaceDN/>
        <w:bidi w:val="0"/>
        <w:spacing w:beforeAutospacing="0" w:afterAutospacing="0" w:line="590" w:lineRule="exact"/>
        <w:ind w:firstLine="486"/>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rPr>
        <w:t>建立沉陷区水质监测系统，</w:t>
      </w:r>
      <w:r>
        <w:rPr>
          <w:rFonts w:hint="default" w:ascii="Times New Roman" w:hAnsi="Times New Roman" w:eastAsia="方正仿宋_GBK" w:cs="Times New Roman"/>
          <w:sz w:val="32"/>
          <w:szCs w:val="32"/>
        </w:rPr>
        <w:t>做好污染源清理工作，防止水质污染，对于适合进行养殖水面，由政府出面协调有关所有权或使用权单位，发包给单位或个人承包，有限进行水域利用管护工作，使得水域管理责任更加明确和有效，变“无主水域”为“有主水域”。</w:t>
      </w:r>
    </w:p>
    <w:p>
      <w:pPr>
        <w:pStyle w:val="5"/>
        <w:pageBreakBefore w:val="0"/>
        <w:widowControl w:val="0"/>
        <w:kinsoku/>
        <w:wordWrap/>
        <w:overflowPunct/>
        <w:autoSpaceDE/>
        <w:autoSpaceDN/>
        <w:bidi w:val="0"/>
        <w:spacing w:beforeAutospacing="0" w:afterAutospacing="0" w:line="590" w:lineRule="exact"/>
        <w:ind w:firstLine="568"/>
        <w:rPr>
          <w:rFonts w:hint="eastAsia" w:ascii="方正楷体_GBK" w:hAnsi="方正楷体_GBK" w:eastAsia="方正楷体_GBK" w:cs="方正楷体_GBK"/>
          <w:b w:val="0"/>
          <w:bCs/>
          <w:sz w:val="32"/>
          <w:szCs w:val="32"/>
        </w:rPr>
      </w:pPr>
      <w:bookmarkStart w:id="338" w:name="_Toc17969"/>
      <w:r>
        <w:rPr>
          <w:rFonts w:hint="eastAsia" w:ascii="方正楷体_GBK" w:hAnsi="方正楷体_GBK" w:eastAsia="方正楷体_GBK" w:cs="方正楷体_GBK"/>
          <w:b w:val="0"/>
          <w:bCs/>
          <w:sz w:val="32"/>
          <w:szCs w:val="32"/>
          <w:lang w:eastAsia="zh-CN"/>
        </w:rPr>
        <w:t>七</w:t>
      </w:r>
      <w:r>
        <w:rPr>
          <w:rFonts w:hint="eastAsia" w:ascii="方正楷体_GBK" w:hAnsi="方正楷体_GBK" w:eastAsia="方正楷体_GBK" w:cs="方正楷体_GBK"/>
          <w:b w:val="0"/>
          <w:bCs/>
          <w:sz w:val="32"/>
          <w:szCs w:val="32"/>
        </w:rPr>
        <w:t>、水生态文明建设</w:t>
      </w:r>
      <w:bookmarkEnd w:id="338"/>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实施完成</w:t>
      </w:r>
      <w:r>
        <w:rPr>
          <w:rFonts w:hint="default" w:ascii="Times New Roman" w:hAnsi="Times New Roman" w:eastAsia="方正仿宋_GBK" w:cs="Times New Roman"/>
          <w:sz w:val="32"/>
          <w:szCs w:val="32"/>
        </w:rPr>
        <w:t>第二批全国水生态文明试点城市建设</w:t>
      </w:r>
      <w:r>
        <w:rPr>
          <w:rFonts w:hint="default" w:ascii="Times New Roman" w:hAnsi="Times New Roman" w:eastAsia="方正仿宋_GBK" w:cs="Times New Roman"/>
          <w:bCs/>
          <w:sz w:val="32"/>
          <w:szCs w:val="32"/>
        </w:rPr>
        <w:t>。加快水利风景区建设与管理，实施凤台县八一林牧场、毛集实验区焦岗湖国家级水利风景区续建工程、寿县安丰塘省级水利风景区建设。实施凤台县城淮河干流滩地及西淝河干流滩地、凤台县凤凰湖、永幸河等淮上明珠水利风景区建设和寿县淠史杭灌区滩地风景区、县城护城河风景区建设。在部分有条件的乡村实施美好乡村水环境治理，适时推进农村河网水系综合治理。</w:t>
      </w:r>
    </w:p>
    <w:p>
      <w:pPr>
        <w:pStyle w:val="3"/>
        <w:pageBreakBefore w:val="0"/>
        <w:widowControl w:val="0"/>
        <w:kinsoku/>
        <w:wordWrap/>
        <w:overflowPunct/>
        <w:autoSpaceDE/>
        <w:autoSpaceDN/>
        <w:bidi w:val="0"/>
        <w:adjustRightInd w:val="0"/>
        <w:spacing w:before="0" w:beforeAutospacing="0" w:after="0" w:afterAutospacing="0" w:line="590" w:lineRule="exact"/>
        <w:jc w:val="center"/>
        <w:rPr>
          <w:rStyle w:val="16"/>
          <w:rFonts w:hint="default" w:ascii="Times New Roman" w:hAnsi="Times New Roman" w:cs="Times New Roman"/>
          <w:b w:val="0"/>
          <w:bCs w:val="0"/>
          <w:sz w:val="32"/>
        </w:rPr>
      </w:pPr>
      <w:bookmarkStart w:id="339" w:name="_Toc312309958"/>
      <w:r>
        <w:rPr>
          <w:rStyle w:val="16"/>
          <w:rFonts w:hint="default" w:ascii="Times New Roman" w:hAnsi="Times New Roman" w:cs="Times New Roman"/>
          <w:b w:val="0"/>
          <w:bCs w:val="0"/>
          <w:sz w:val="32"/>
        </w:rPr>
        <w:br w:type="page"/>
      </w:r>
      <w:bookmarkStart w:id="340" w:name="_Toc18952"/>
    </w:p>
    <w:p>
      <w:pPr>
        <w:pStyle w:val="3"/>
        <w:pageBreakBefore w:val="0"/>
        <w:widowControl w:val="0"/>
        <w:kinsoku/>
        <w:wordWrap/>
        <w:overflowPunct/>
        <w:autoSpaceDE/>
        <w:autoSpaceDN/>
        <w:bidi w:val="0"/>
        <w:adjustRightInd w:val="0"/>
        <w:spacing w:before="0" w:beforeAutospacing="0" w:after="0" w:afterAutospacing="0" w:line="590" w:lineRule="exact"/>
        <w:jc w:val="center"/>
        <w:rPr>
          <w:rStyle w:val="16"/>
          <w:rFonts w:hint="default" w:ascii="Times New Roman" w:hAnsi="Times New Roman" w:cs="Times New Roman"/>
          <w:b w:val="0"/>
          <w:bCs w:val="0"/>
          <w:sz w:val="32"/>
        </w:rPr>
      </w:pPr>
    </w:p>
    <w:p>
      <w:pPr>
        <w:pStyle w:val="3"/>
        <w:pageBreakBefore w:val="0"/>
        <w:widowControl w:val="0"/>
        <w:kinsoku/>
        <w:wordWrap/>
        <w:overflowPunct/>
        <w:autoSpaceDE/>
        <w:autoSpaceDN/>
        <w:bidi w:val="0"/>
        <w:adjustRightInd w:val="0"/>
        <w:spacing w:before="0" w:beforeAutospacing="0" w:after="0" w:afterAutospacing="0" w:line="590" w:lineRule="exact"/>
        <w:jc w:val="center"/>
        <w:rPr>
          <w:rStyle w:val="16"/>
          <w:rFonts w:hint="eastAsia" w:ascii="方正小标宋_GBK" w:hAnsi="方正小标宋_GBK" w:eastAsia="方正小标宋_GBK" w:cs="方正小标宋_GBK"/>
          <w:b w:val="0"/>
          <w:bCs w:val="0"/>
          <w:sz w:val="44"/>
          <w:szCs w:val="44"/>
        </w:rPr>
      </w:pPr>
      <w:r>
        <w:rPr>
          <w:rStyle w:val="16"/>
          <w:rFonts w:hint="eastAsia" w:ascii="方正小标宋_GBK" w:hAnsi="方正小标宋_GBK" w:eastAsia="方正小标宋_GBK" w:cs="方正小标宋_GBK"/>
          <w:b w:val="0"/>
          <w:bCs w:val="0"/>
          <w:sz w:val="44"/>
          <w:szCs w:val="44"/>
        </w:rPr>
        <w:t>第八章  重要饮用水水源地安全保障规划</w:t>
      </w:r>
      <w:bookmarkEnd w:id="339"/>
      <w:bookmarkEnd w:id="340"/>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bCs/>
          <w:sz w:val="32"/>
          <w:szCs w:val="32"/>
        </w:rPr>
      </w:pPr>
      <w:bookmarkStart w:id="341" w:name="_Toc293556891"/>
      <w:bookmarkStart w:id="342" w:name="_Toc312309965"/>
      <w:r>
        <w:rPr>
          <w:rFonts w:hint="default" w:ascii="Times New Roman" w:hAnsi="Times New Roman" w:eastAsia="方正仿宋_GBK" w:cs="Times New Roman"/>
          <w:bCs/>
          <w:sz w:val="32"/>
          <w:szCs w:val="32"/>
        </w:rPr>
        <w:t>为保障饮水安全，维护人民群众生命健康，查清境内主要水源地饮水安全的现状、合理确定饮用水水源地安全建设方案、科学制定饮用水水源地保护和管理对对策和保障措施，统筹协调好生活、生产和生态用水关系，为今后一个时期城市饮用水水源地建设、保护和管理提供依据。为此重点对保障饮用水源地安全进行规划。</w:t>
      </w:r>
    </w:p>
    <w:p>
      <w:pPr>
        <w:pStyle w:val="4"/>
        <w:pageBreakBefore w:val="0"/>
        <w:widowControl w:val="0"/>
        <w:kinsoku/>
        <w:wordWrap/>
        <w:overflowPunct/>
        <w:autoSpaceDE/>
        <w:autoSpaceDN/>
        <w:bidi w:val="0"/>
        <w:spacing w:beforeAutospacing="0" w:afterAutospacing="0" w:line="590" w:lineRule="exact"/>
        <w:rPr>
          <w:rFonts w:hint="default" w:ascii="Times New Roman" w:hAnsi="Times New Roman" w:eastAsia="方正黑体_GBK" w:cs="Times New Roman"/>
          <w:b w:val="0"/>
          <w:bCs w:val="0"/>
          <w:sz w:val="32"/>
          <w:szCs w:val="32"/>
        </w:rPr>
      </w:pPr>
      <w:bookmarkStart w:id="343" w:name="_Toc312309959"/>
      <w:bookmarkStart w:id="344" w:name="_Toc293556885"/>
      <w:bookmarkStart w:id="345" w:name="_Toc31916"/>
      <w:bookmarkStart w:id="346" w:name="_Toc26806"/>
      <w:bookmarkStart w:id="347" w:name="_Toc27508"/>
      <w:r>
        <w:rPr>
          <w:rFonts w:hint="default" w:ascii="Times New Roman" w:hAnsi="Times New Roman" w:eastAsia="方正黑体_GBK" w:cs="Times New Roman"/>
          <w:b w:val="0"/>
          <w:bCs w:val="0"/>
          <w:sz w:val="32"/>
          <w:szCs w:val="32"/>
        </w:rPr>
        <w:t>第一节  全市主要饮用水水源地现状</w:t>
      </w:r>
      <w:bookmarkEnd w:id="343"/>
      <w:bookmarkEnd w:id="344"/>
      <w:bookmarkEnd w:id="345"/>
      <w:bookmarkEnd w:id="346"/>
      <w:bookmarkEnd w:id="347"/>
    </w:p>
    <w:p>
      <w:pPr>
        <w:pStyle w:val="5"/>
        <w:pageBreakBefore w:val="0"/>
        <w:widowControl w:val="0"/>
        <w:kinsoku/>
        <w:wordWrap/>
        <w:overflowPunct/>
        <w:autoSpaceDE/>
        <w:autoSpaceDN/>
        <w:bidi w:val="0"/>
        <w:spacing w:beforeAutospacing="0" w:afterAutospacing="0" w:line="590" w:lineRule="exact"/>
        <w:ind w:firstLine="568"/>
        <w:rPr>
          <w:rFonts w:hint="eastAsia" w:ascii="方正楷体_GBK" w:hAnsi="方正楷体_GBK" w:eastAsia="方正楷体_GBK" w:cs="方正楷体_GBK"/>
          <w:b w:val="0"/>
          <w:bCs w:val="0"/>
          <w:sz w:val="32"/>
          <w:szCs w:val="32"/>
        </w:rPr>
      </w:pPr>
      <w:bookmarkStart w:id="348" w:name="_Toc293556886"/>
      <w:bookmarkStart w:id="349" w:name="_Toc10990"/>
      <w:bookmarkStart w:id="350" w:name="_Toc312309960"/>
      <w:bookmarkStart w:id="351" w:name="_Toc17039"/>
      <w:bookmarkStart w:id="352" w:name="_Toc3638"/>
      <w:r>
        <w:rPr>
          <w:rFonts w:hint="eastAsia" w:ascii="方正楷体_GBK" w:hAnsi="方正楷体_GBK" w:eastAsia="方正楷体_GBK" w:cs="方正楷体_GBK"/>
          <w:b w:val="0"/>
          <w:bCs w:val="0"/>
          <w:sz w:val="32"/>
          <w:szCs w:val="32"/>
        </w:rPr>
        <w:t>一、水源地</w:t>
      </w:r>
      <w:bookmarkEnd w:id="348"/>
      <w:r>
        <w:rPr>
          <w:rFonts w:hint="eastAsia" w:ascii="方正楷体_GBK" w:hAnsi="方正楷体_GBK" w:eastAsia="方正楷体_GBK" w:cs="方正楷体_GBK"/>
          <w:b w:val="0"/>
          <w:bCs w:val="0"/>
          <w:sz w:val="32"/>
          <w:szCs w:val="32"/>
        </w:rPr>
        <w:t>分布情况</w:t>
      </w:r>
      <w:bookmarkEnd w:id="349"/>
      <w:bookmarkEnd w:id="350"/>
      <w:bookmarkEnd w:id="351"/>
      <w:bookmarkEnd w:id="352"/>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淮南市现有地表水集中式饮用水水源地9个：淮河干流上7个、东淝河（瓦埠湖）2个分别为凤台县水厂水源地、袁庄水厂水源地、李嘴孜水厂水源地、四水厂水源地、毛集试验区水厂水源地、三水厂水源地、一水厂集水源地、平山头水厂水源地、寿县二水厂水源地。地下水集中式供水水源地1个：凤台县地下水饮用水源地。淮南市水源地具体分布见附图7。淮南市县级以上主要饮用水水源地情况见表8.1-1。</w:t>
      </w:r>
    </w:p>
    <w:p>
      <w:pPr>
        <w:topLinePunct/>
        <w:adjustRightInd w:val="0"/>
        <w:snapToGrid w:val="0"/>
        <w:jc w:val="center"/>
        <w:rPr>
          <w:b/>
          <w:bCs/>
          <w:kern w:val="10"/>
          <w:sz w:val="24"/>
          <w:szCs w:val="22"/>
          <w:lang w:val="zh-CN"/>
        </w:rPr>
      </w:pPr>
      <w:r>
        <w:rPr>
          <w:rFonts w:hint="eastAsia" w:ascii="方正黑体_GBK" w:hAnsi="方正黑体_GBK" w:eastAsia="方正黑体_GBK" w:cs="方正黑体_GBK"/>
          <w:b/>
          <w:bCs/>
          <w:kern w:val="10"/>
          <w:sz w:val="24"/>
          <w:szCs w:val="22"/>
          <w:lang w:val="zh-CN"/>
        </w:rPr>
        <w:t>表</w:t>
      </w:r>
      <w:r>
        <w:rPr>
          <w:rFonts w:hint="eastAsia" w:ascii="方正黑体_GBK" w:hAnsi="方正黑体_GBK" w:eastAsia="方正黑体_GBK" w:cs="方正黑体_GBK"/>
          <w:b/>
          <w:bCs/>
          <w:kern w:val="10"/>
          <w:sz w:val="24"/>
          <w:szCs w:val="22"/>
        </w:rPr>
        <w:t>8.1-1</w:t>
      </w:r>
      <w:r>
        <w:rPr>
          <w:rFonts w:hint="eastAsia" w:ascii="方正黑体_GBK" w:hAnsi="方正黑体_GBK" w:eastAsia="方正黑体_GBK" w:cs="方正黑体_GBK"/>
          <w:b/>
          <w:bCs/>
          <w:kern w:val="10"/>
          <w:sz w:val="24"/>
          <w:szCs w:val="22"/>
          <w:lang w:val="zh-CN"/>
        </w:rPr>
        <w:t xml:space="preserve">    淮南市域县级以上主要饮用水水源地一览表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1435"/>
        <w:gridCol w:w="1345"/>
        <w:gridCol w:w="1014"/>
        <w:gridCol w:w="1281"/>
        <w:gridCol w:w="1164"/>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1393" w:type="dxa"/>
            <w:vMerge w:val="restart"/>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水源地</w:t>
            </w:r>
          </w:p>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名称</w:t>
            </w:r>
          </w:p>
        </w:tc>
        <w:tc>
          <w:tcPr>
            <w:tcW w:w="1435" w:type="dxa"/>
            <w:vMerge w:val="restart"/>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县区</w:t>
            </w:r>
          </w:p>
        </w:tc>
        <w:tc>
          <w:tcPr>
            <w:tcW w:w="1345" w:type="dxa"/>
            <w:vMerge w:val="restart"/>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供水</w:t>
            </w:r>
          </w:p>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服务范围</w:t>
            </w:r>
          </w:p>
        </w:tc>
        <w:tc>
          <w:tcPr>
            <w:tcW w:w="1014" w:type="dxa"/>
            <w:vMerge w:val="restart"/>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供水</w:t>
            </w:r>
          </w:p>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人口</w:t>
            </w:r>
          </w:p>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（万人）</w:t>
            </w:r>
          </w:p>
        </w:tc>
        <w:tc>
          <w:tcPr>
            <w:tcW w:w="2445" w:type="dxa"/>
            <w:gridSpan w:val="2"/>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取水口坐标</w:t>
            </w:r>
          </w:p>
        </w:tc>
        <w:tc>
          <w:tcPr>
            <w:tcW w:w="908" w:type="dxa"/>
            <w:vMerge w:val="restart"/>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blHeader/>
          <w:jc w:val="center"/>
        </w:trPr>
        <w:tc>
          <w:tcPr>
            <w:tcW w:w="1393" w:type="dxa"/>
            <w:vMerge w:val="continue"/>
            <w:noWrap w:val="0"/>
            <w:vAlign w:val="center"/>
          </w:tcPr>
          <w:p>
            <w:pPr>
              <w:widowControl/>
              <w:topLinePunct/>
              <w:adjustRightInd w:val="0"/>
              <w:snapToGrid w:val="0"/>
              <w:jc w:val="center"/>
              <w:rPr>
                <w:rFonts w:hint="default" w:ascii="Times New Roman" w:hAnsi="Times New Roman" w:eastAsia="方正仿宋_GBK" w:cs="Times New Roman"/>
                <w:szCs w:val="21"/>
              </w:rPr>
            </w:pPr>
          </w:p>
        </w:tc>
        <w:tc>
          <w:tcPr>
            <w:tcW w:w="1435" w:type="dxa"/>
            <w:vMerge w:val="continue"/>
            <w:noWrap w:val="0"/>
            <w:vAlign w:val="center"/>
          </w:tcPr>
          <w:p>
            <w:pPr>
              <w:widowControl/>
              <w:topLinePunct/>
              <w:adjustRightInd w:val="0"/>
              <w:snapToGrid w:val="0"/>
              <w:jc w:val="center"/>
              <w:rPr>
                <w:rFonts w:hint="default" w:ascii="Times New Roman" w:hAnsi="Times New Roman" w:eastAsia="方正仿宋_GBK" w:cs="Times New Roman"/>
                <w:szCs w:val="21"/>
              </w:rPr>
            </w:pPr>
          </w:p>
        </w:tc>
        <w:tc>
          <w:tcPr>
            <w:tcW w:w="1345" w:type="dxa"/>
            <w:vMerge w:val="continue"/>
            <w:noWrap w:val="0"/>
            <w:vAlign w:val="center"/>
          </w:tcPr>
          <w:p>
            <w:pPr>
              <w:widowControl/>
              <w:topLinePunct/>
              <w:adjustRightInd w:val="0"/>
              <w:snapToGrid w:val="0"/>
              <w:jc w:val="center"/>
              <w:rPr>
                <w:rFonts w:hint="default" w:ascii="Times New Roman" w:hAnsi="Times New Roman" w:eastAsia="方正仿宋_GBK" w:cs="Times New Roman"/>
                <w:szCs w:val="21"/>
              </w:rPr>
            </w:pPr>
          </w:p>
        </w:tc>
        <w:tc>
          <w:tcPr>
            <w:tcW w:w="1014" w:type="dxa"/>
            <w:vMerge w:val="continue"/>
            <w:noWrap w:val="0"/>
            <w:vAlign w:val="center"/>
          </w:tcPr>
          <w:p>
            <w:pPr>
              <w:widowControl/>
              <w:topLinePunct/>
              <w:adjustRightInd w:val="0"/>
              <w:snapToGrid w:val="0"/>
              <w:jc w:val="center"/>
              <w:rPr>
                <w:rFonts w:hint="default" w:ascii="Times New Roman" w:hAnsi="Times New Roman" w:eastAsia="方正仿宋_GBK" w:cs="Times New Roman"/>
                <w:szCs w:val="21"/>
              </w:rPr>
            </w:pPr>
          </w:p>
        </w:tc>
        <w:tc>
          <w:tcPr>
            <w:tcW w:w="1281"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经度</w:t>
            </w:r>
          </w:p>
        </w:tc>
        <w:tc>
          <w:tcPr>
            <w:tcW w:w="1164"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纬度</w:t>
            </w:r>
          </w:p>
        </w:tc>
        <w:tc>
          <w:tcPr>
            <w:tcW w:w="908" w:type="dxa"/>
            <w:vMerge w:val="continue"/>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1393"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三水厂</w:t>
            </w:r>
          </w:p>
        </w:tc>
        <w:tc>
          <w:tcPr>
            <w:tcW w:w="1435"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淮南市区</w:t>
            </w:r>
          </w:p>
        </w:tc>
        <w:tc>
          <w:tcPr>
            <w:tcW w:w="1345"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淮南市区</w:t>
            </w:r>
          </w:p>
        </w:tc>
        <w:tc>
          <w:tcPr>
            <w:tcW w:w="1014"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w:t>
            </w:r>
          </w:p>
        </w:tc>
        <w:tc>
          <w:tcPr>
            <w:tcW w:w="1281" w:type="dxa"/>
            <w:noWrap w:val="0"/>
            <w:vAlign w:val="center"/>
          </w:tcPr>
          <w:p>
            <w:pPr>
              <w:widowControl/>
              <w:topLinePunct/>
              <w:adjustRightInd w:val="0"/>
              <w:snapToGrid w:val="0"/>
              <w:jc w:val="center"/>
              <w:textAlignment w:val="center"/>
              <w:rPr>
                <w:rFonts w:hint="default" w:ascii="Times New Roman" w:hAnsi="Times New Roman" w:eastAsia="方正仿宋_GBK" w:cs="Times New Roman"/>
                <w:color w:val="000000"/>
                <w:kern w:val="0"/>
                <w:szCs w:val="21"/>
                <w:lang w:bidi="ar"/>
              </w:rPr>
            </w:pPr>
            <w:r>
              <w:rPr>
                <w:rFonts w:hint="default" w:ascii="Times New Roman" w:hAnsi="Times New Roman" w:eastAsia="方正仿宋_GBK" w:cs="Times New Roman"/>
                <w:color w:val="000000"/>
                <w:kern w:val="0"/>
                <w:szCs w:val="21"/>
                <w:lang w:bidi="ar"/>
              </w:rPr>
              <w:t>116°59′41″</w:t>
            </w:r>
          </w:p>
        </w:tc>
        <w:tc>
          <w:tcPr>
            <w:tcW w:w="1164" w:type="dxa"/>
            <w:noWrap w:val="0"/>
            <w:vAlign w:val="center"/>
          </w:tcPr>
          <w:p>
            <w:pPr>
              <w:widowControl/>
              <w:topLinePunct/>
              <w:adjustRightInd w:val="0"/>
              <w:snapToGrid w:val="0"/>
              <w:jc w:val="center"/>
              <w:textAlignment w:val="center"/>
              <w:rPr>
                <w:rFonts w:hint="default" w:ascii="Times New Roman" w:hAnsi="Times New Roman" w:eastAsia="方正仿宋_GBK" w:cs="Times New Roman"/>
                <w:color w:val="000000"/>
                <w:kern w:val="0"/>
                <w:szCs w:val="21"/>
                <w:lang w:bidi="ar"/>
              </w:rPr>
            </w:pPr>
            <w:r>
              <w:rPr>
                <w:rFonts w:hint="default" w:ascii="Times New Roman" w:hAnsi="Times New Roman" w:eastAsia="方正仿宋_GBK" w:cs="Times New Roman"/>
                <w:color w:val="000000"/>
                <w:kern w:val="0"/>
                <w:szCs w:val="21"/>
                <w:lang w:bidi="ar"/>
              </w:rPr>
              <w:t>32°40′12″</w:t>
            </w:r>
          </w:p>
        </w:tc>
        <w:tc>
          <w:tcPr>
            <w:tcW w:w="908"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1393"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袁庄水厂</w:t>
            </w:r>
          </w:p>
        </w:tc>
        <w:tc>
          <w:tcPr>
            <w:tcW w:w="1435"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345"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014"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w:t>
            </w:r>
          </w:p>
        </w:tc>
        <w:tc>
          <w:tcPr>
            <w:tcW w:w="1281" w:type="dxa"/>
            <w:noWrap w:val="0"/>
            <w:vAlign w:val="center"/>
          </w:tcPr>
          <w:p>
            <w:pPr>
              <w:widowControl/>
              <w:topLinePunct/>
              <w:adjustRightInd w:val="0"/>
              <w:snapToGrid w:val="0"/>
              <w:jc w:val="center"/>
              <w:textAlignment w:val="center"/>
              <w:rPr>
                <w:rFonts w:hint="default" w:ascii="Times New Roman" w:hAnsi="Times New Roman" w:eastAsia="方正仿宋_GBK" w:cs="Times New Roman"/>
                <w:color w:val="000000"/>
                <w:kern w:val="0"/>
                <w:szCs w:val="21"/>
                <w:lang w:bidi="ar"/>
              </w:rPr>
            </w:pPr>
            <w:r>
              <w:rPr>
                <w:rFonts w:hint="default" w:ascii="Times New Roman" w:hAnsi="Times New Roman" w:eastAsia="方正仿宋_GBK" w:cs="Times New Roman"/>
                <w:color w:val="000000"/>
                <w:kern w:val="0"/>
                <w:szCs w:val="21"/>
                <w:lang w:bidi="ar"/>
              </w:rPr>
              <w:t>116°48′21″</w:t>
            </w:r>
          </w:p>
        </w:tc>
        <w:tc>
          <w:tcPr>
            <w:tcW w:w="1164" w:type="dxa"/>
            <w:noWrap w:val="0"/>
            <w:vAlign w:val="center"/>
          </w:tcPr>
          <w:p>
            <w:pPr>
              <w:widowControl/>
              <w:topLinePunct/>
              <w:adjustRightInd w:val="0"/>
              <w:snapToGrid w:val="0"/>
              <w:jc w:val="center"/>
              <w:textAlignment w:val="center"/>
              <w:rPr>
                <w:rFonts w:hint="default" w:ascii="Times New Roman" w:hAnsi="Times New Roman" w:eastAsia="方正仿宋_GBK" w:cs="Times New Roman"/>
                <w:color w:val="000000"/>
                <w:kern w:val="0"/>
                <w:szCs w:val="21"/>
                <w:lang w:bidi="ar"/>
              </w:rPr>
            </w:pPr>
            <w:r>
              <w:rPr>
                <w:rFonts w:hint="default" w:ascii="Times New Roman" w:hAnsi="Times New Roman" w:eastAsia="方正仿宋_GBK" w:cs="Times New Roman"/>
                <w:color w:val="000000"/>
                <w:kern w:val="0"/>
                <w:szCs w:val="21"/>
                <w:lang w:bidi="ar"/>
              </w:rPr>
              <w:t>32°42′07″</w:t>
            </w:r>
          </w:p>
        </w:tc>
        <w:tc>
          <w:tcPr>
            <w:tcW w:w="908"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1393"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平山头水厂</w:t>
            </w:r>
          </w:p>
        </w:tc>
        <w:tc>
          <w:tcPr>
            <w:tcW w:w="1435"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淮南市区</w:t>
            </w:r>
          </w:p>
        </w:tc>
        <w:tc>
          <w:tcPr>
            <w:tcW w:w="1345"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淮南市西部</w:t>
            </w:r>
          </w:p>
        </w:tc>
        <w:tc>
          <w:tcPr>
            <w:tcW w:w="1014"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23</w:t>
            </w:r>
          </w:p>
        </w:tc>
        <w:tc>
          <w:tcPr>
            <w:tcW w:w="1281" w:type="dxa"/>
            <w:noWrap w:val="0"/>
            <w:vAlign w:val="center"/>
          </w:tcPr>
          <w:p>
            <w:pPr>
              <w:widowControl/>
              <w:topLinePunct/>
              <w:adjustRightInd w:val="0"/>
              <w:snapToGrid w:val="0"/>
              <w:jc w:val="center"/>
              <w:textAlignment w:val="center"/>
              <w:rPr>
                <w:rFonts w:hint="default" w:ascii="Times New Roman" w:hAnsi="Times New Roman" w:eastAsia="方正仿宋_GBK" w:cs="Times New Roman"/>
                <w:color w:val="000000"/>
                <w:kern w:val="0"/>
                <w:szCs w:val="21"/>
                <w:lang w:bidi="ar"/>
              </w:rPr>
            </w:pPr>
            <w:r>
              <w:rPr>
                <w:rFonts w:hint="default" w:ascii="Times New Roman" w:hAnsi="Times New Roman" w:eastAsia="方正仿宋_GBK" w:cs="Times New Roman"/>
                <w:color w:val="000000"/>
                <w:kern w:val="0"/>
                <w:szCs w:val="21"/>
                <w:lang w:bidi="ar"/>
              </w:rPr>
              <w:t>116°49′24″</w:t>
            </w:r>
          </w:p>
        </w:tc>
        <w:tc>
          <w:tcPr>
            <w:tcW w:w="1164" w:type="dxa"/>
            <w:noWrap w:val="0"/>
            <w:vAlign w:val="center"/>
          </w:tcPr>
          <w:p>
            <w:pPr>
              <w:widowControl/>
              <w:topLinePunct/>
              <w:adjustRightInd w:val="0"/>
              <w:snapToGrid w:val="0"/>
              <w:jc w:val="center"/>
              <w:textAlignment w:val="center"/>
              <w:rPr>
                <w:rFonts w:hint="default" w:ascii="Times New Roman" w:hAnsi="Times New Roman" w:eastAsia="方正仿宋_GBK" w:cs="Times New Roman"/>
                <w:color w:val="000000"/>
                <w:kern w:val="0"/>
                <w:szCs w:val="21"/>
                <w:lang w:bidi="ar"/>
              </w:rPr>
            </w:pPr>
            <w:r>
              <w:rPr>
                <w:rFonts w:hint="default" w:ascii="Times New Roman" w:hAnsi="Times New Roman" w:eastAsia="方正仿宋_GBK" w:cs="Times New Roman"/>
                <w:color w:val="000000"/>
                <w:kern w:val="0"/>
                <w:szCs w:val="21"/>
                <w:lang w:bidi="ar"/>
              </w:rPr>
              <w:t>32°34′36″</w:t>
            </w:r>
          </w:p>
        </w:tc>
        <w:tc>
          <w:tcPr>
            <w:tcW w:w="908"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1393"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李嘴孜水厂</w:t>
            </w:r>
          </w:p>
        </w:tc>
        <w:tc>
          <w:tcPr>
            <w:tcW w:w="1435"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淮南市区</w:t>
            </w:r>
          </w:p>
        </w:tc>
        <w:tc>
          <w:tcPr>
            <w:tcW w:w="1345"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淮南市区</w:t>
            </w:r>
          </w:p>
        </w:tc>
        <w:tc>
          <w:tcPr>
            <w:tcW w:w="1014"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23</w:t>
            </w:r>
          </w:p>
        </w:tc>
        <w:tc>
          <w:tcPr>
            <w:tcW w:w="1281" w:type="dxa"/>
            <w:noWrap w:val="0"/>
            <w:vAlign w:val="center"/>
          </w:tcPr>
          <w:p>
            <w:pPr>
              <w:widowControl/>
              <w:topLinePunct/>
              <w:adjustRightInd w:val="0"/>
              <w:snapToGrid w:val="0"/>
              <w:jc w:val="center"/>
              <w:textAlignment w:val="center"/>
              <w:rPr>
                <w:rFonts w:hint="default" w:ascii="Times New Roman" w:hAnsi="Times New Roman" w:eastAsia="方正仿宋_GBK" w:cs="Times New Roman"/>
                <w:color w:val="000000"/>
                <w:kern w:val="0"/>
                <w:szCs w:val="21"/>
                <w:lang w:bidi="ar"/>
              </w:rPr>
            </w:pPr>
            <w:r>
              <w:rPr>
                <w:rFonts w:hint="default" w:ascii="Times New Roman" w:hAnsi="Times New Roman" w:eastAsia="方正仿宋_GBK" w:cs="Times New Roman"/>
                <w:color w:val="000000"/>
                <w:kern w:val="0"/>
                <w:szCs w:val="21"/>
                <w:lang w:bidi="ar"/>
              </w:rPr>
              <w:t>116°49′34″</w:t>
            </w:r>
          </w:p>
        </w:tc>
        <w:tc>
          <w:tcPr>
            <w:tcW w:w="1164" w:type="dxa"/>
            <w:noWrap w:val="0"/>
            <w:vAlign w:val="center"/>
          </w:tcPr>
          <w:p>
            <w:pPr>
              <w:widowControl/>
              <w:topLinePunct/>
              <w:adjustRightInd w:val="0"/>
              <w:snapToGrid w:val="0"/>
              <w:jc w:val="center"/>
              <w:textAlignment w:val="center"/>
              <w:rPr>
                <w:rFonts w:hint="default" w:ascii="Times New Roman" w:hAnsi="Times New Roman" w:eastAsia="方正仿宋_GBK" w:cs="Times New Roman"/>
                <w:color w:val="000000"/>
                <w:kern w:val="0"/>
                <w:szCs w:val="21"/>
                <w:lang w:bidi="ar"/>
              </w:rPr>
            </w:pPr>
            <w:r>
              <w:rPr>
                <w:rFonts w:hint="default" w:ascii="Times New Roman" w:hAnsi="Times New Roman" w:eastAsia="方正仿宋_GBK" w:cs="Times New Roman"/>
                <w:color w:val="000000"/>
                <w:kern w:val="0"/>
                <w:szCs w:val="21"/>
                <w:lang w:bidi="ar"/>
              </w:rPr>
              <w:t>32°40′17″</w:t>
            </w:r>
          </w:p>
        </w:tc>
        <w:tc>
          <w:tcPr>
            <w:tcW w:w="908"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393"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一水厂</w:t>
            </w:r>
          </w:p>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（上移前）</w:t>
            </w:r>
          </w:p>
        </w:tc>
        <w:tc>
          <w:tcPr>
            <w:tcW w:w="1435"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淮南市区</w:t>
            </w:r>
          </w:p>
        </w:tc>
        <w:tc>
          <w:tcPr>
            <w:tcW w:w="1345"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淮南市区</w:t>
            </w:r>
          </w:p>
        </w:tc>
        <w:tc>
          <w:tcPr>
            <w:tcW w:w="1014"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15</w:t>
            </w:r>
          </w:p>
        </w:tc>
        <w:tc>
          <w:tcPr>
            <w:tcW w:w="1281" w:type="dxa"/>
            <w:noWrap w:val="0"/>
            <w:vAlign w:val="center"/>
          </w:tcPr>
          <w:p>
            <w:pPr>
              <w:widowControl/>
              <w:topLinePunct/>
              <w:adjustRightInd w:val="0"/>
              <w:snapToGrid w:val="0"/>
              <w:jc w:val="center"/>
              <w:textAlignment w:val="center"/>
              <w:rPr>
                <w:rFonts w:hint="default" w:ascii="Times New Roman" w:hAnsi="Times New Roman" w:eastAsia="方正仿宋_GBK" w:cs="Times New Roman"/>
                <w:color w:val="000000"/>
                <w:kern w:val="0"/>
                <w:szCs w:val="21"/>
                <w:lang w:bidi="ar"/>
              </w:rPr>
            </w:pPr>
            <w:r>
              <w:rPr>
                <w:rFonts w:hint="default" w:ascii="Times New Roman" w:hAnsi="Times New Roman" w:eastAsia="方正仿宋_GBK" w:cs="Times New Roman"/>
                <w:color w:val="000000"/>
                <w:kern w:val="0"/>
                <w:szCs w:val="21"/>
                <w:lang w:bidi="ar"/>
              </w:rPr>
              <w:t>117°01′17″</w:t>
            </w:r>
          </w:p>
        </w:tc>
        <w:tc>
          <w:tcPr>
            <w:tcW w:w="1164" w:type="dxa"/>
            <w:noWrap w:val="0"/>
            <w:vAlign w:val="center"/>
          </w:tcPr>
          <w:p>
            <w:pPr>
              <w:widowControl/>
              <w:topLinePunct/>
              <w:adjustRightInd w:val="0"/>
              <w:snapToGrid w:val="0"/>
              <w:jc w:val="center"/>
              <w:textAlignment w:val="center"/>
              <w:rPr>
                <w:rFonts w:hint="default" w:ascii="Times New Roman" w:hAnsi="Times New Roman" w:eastAsia="方正仿宋_GBK" w:cs="Times New Roman"/>
                <w:color w:val="000000"/>
                <w:kern w:val="0"/>
                <w:szCs w:val="21"/>
                <w:lang w:bidi="ar"/>
              </w:rPr>
            </w:pPr>
            <w:r>
              <w:rPr>
                <w:rFonts w:hint="default" w:ascii="Times New Roman" w:hAnsi="Times New Roman" w:eastAsia="方正仿宋_GBK" w:cs="Times New Roman"/>
                <w:color w:val="000000"/>
                <w:kern w:val="0"/>
                <w:szCs w:val="21"/>
                <w:lang w:bidi="ar"/>
              </w:rPr>
              <w:t>32°40′12″</w:t>
            </w:r>
          </w:p>
        </w:tc>
        <w:tc>
          <w:tcPr>
            <w:tcW w:w="908"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1393"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寿县二水厂</w:t>
            </w:r>
          </w:p>
        </w:tc>
        <w:tc>
          <w:tcPr>
            <w:tcW w:w="1435"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345"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寿县县城</w:t>
            </w:r>
          </w:p>
        </w:tc>
        <w:tc>
          <w:tcPr>
            <w:tcW w:w="1014"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16</w:t>
            </w:r>
          </w:p>
        </w:tc>
        <w:tc>
          <w:tcPr>
            <w:tcW w:w="1281" w:type="dxa"/>
            <w:noWrap w:val="0"/>
            <w:vAlign w:val="center"/>
          </w:tcPr>
          <w:p>
            <w:pPr>
              <w:widowControl/>
              <w:topLinePunct/>
              <w:adjustRightInd w:val="0"/>
              <w:snapToGrid w:val="0"/>
              <w:jc w:val="center"/>
              <w:textAlignment w:val="center"/>
              <w:rPr>
                <w:rFonts w:hint="default" w:ascii="Times New Roman" w:hAnsi="Times New Roman" w:eastAsia="方正仿宋_GBK" w:cs="Times New Roman"/>
                <w:color w:val="000000"/>
                <w:kern w:val="0"/>
                <w:szCs w:val="21"/>
                <w:lang w:bidi="ar"/>
              </w:rPr>
            </w:pPr>
            <w:r>
              <w:rPr>
                <w:rFonts w:hint="default" w:ascii="Times New Roman" w:hAnsi="Times New Roman" w:eastAsia="方正仿宋_GBK" w:cs="Times New Roman"/>
                <w:color w:val="000000"/>
                <w:kern w:val="0"/>
                <w:szCs w:val="21"/>
                <w:lang w:bidi="ar"/>
              </w:rPr>
              <w:t>116°49′27″</w:t>
            </w:r>
          </w:p>
        </w:tc>
        <w:tc>
          <w:tcPr>
            <w:tcW w:w="1164" w:type="dxa"/>
            <w:noWrap w:val="0"/>
            <w:vAlign w:val="center"/>
          </w:tcPr>
          <w:p>
            <w:pPr>
              <w:widowControl/>
              <w:topLinePunct/>
              <w:adjustRightInd w:val="0"/>
              <w:snapToGrid w:val="0"/>
              <w:jc w:val="center"/>
              <w:textAlignment w:val="center"/>
              <w:rPr>
                <w:rFonts w:hint="default" w:ascii="Times New Roman" w:hAnsi="Times New Roman" w:eastAsia="方正仿宋_GBK" w:cs="Times New Roman"/>
                <w:color w:val="000000"/>
                <w:kern w:val="0"/>
                <w:szCs w:val="21"/>
                <w:lang w:bidi="ar"/>
              </w:rPr>
            </w:pPr>
            <w:r>
              <w:rPr>
                <w:rFonts w:hint="default" w:ascii="Times New Roman" w:hAnsi="Times New Roman" w:eastAsia="方正仿宋_GBK" w:cs="Times New Roman"/>
                <w:color w:val="000000"/>
                <w:kern w:val="0"/>
                <w:szCs w:val="21"/>
                <w:lang w:bidi="ar"/>
              </w:rPr>
              <w:t>32°34′18″</w:t>
            </w:r>
          </w:p>
        </w:tc>
        <w:tc>
          <w:tcPr>
            <w:tcW w:w="908"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1393"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凤台县水厂</w:t>
            </w:r>
          </w:p>
        </w:tc>
        <w:tc>
          <w:tcPr>
            <w:tcW w:w="1435"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w:t>
            </w:r>
          </w:p>
        </w:tc>
        <w:tc>
          <w:tcPr>
            <w:tcW w:w="1345"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凤台县城</w:t>
            </w:r>
          </w:p>
        </w:tc>
        <w:tc>
          <w:tcPr>
            <w:tcW w:w="1014"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12</w:t>
            </w:r>
          </w:p>
        </w:tc>
        <w:tc>
          <w:tcPr>
            <w:tcW w:w="1281" w:type="dxa"/>
            <w:noWrap w:val="0"/>
            <w:vAlign w:val="center"/>
          </w:tcPr>
          <w:p>
            <w:pPr>
              <w:widowControl/>
              <w:topLinePunct/>
              <w:adjustRightInd w:val="0"/>
              <w:snapToGrid w:val="0"/>
              <w:jc w:val="center"/>
              <w:textAlignment w:val="center"/>
              <w:rPr>
                <w:rFonts w:hint="default" w:ascii="Times New Roman" w:hAnsi="Times New Roman" w:eastAsia="方正仿宋_GBK" w:cs="Times New Roman"/>
                <w:color w:val="000000"/>
                <w:kern w:val="0"/>
                <w:szCs w:val="21"/>
                <w:lang w:bidi="ar"/>
              </w:rPr>
            </w:pPr>
            <w:r>
              <w:rPr>
                <w:rFonts w:hint="default" w:ascii="Times New Roman" w:hAnsi="Times New Roman" w:eastAsia="方正仿宋_GBK" w:cs="Times New Roman"/>
                <w:color w:val="000000"/>
                <w:kern w:val="0"/>
                <w:szCs w:val="21"/>
                <w:lang w:bidi="ar"/>
              </w:rPr>
              <w:t>116°42′58″</w:t>
            </w:r>
          </w:p>
        </w:tc>
        <w:tc>
          <w:tcPr>
            <w:tcW w:w="1164" w:type="dxa"/>
            <w:noWrap w:val="0"/>
            <w:vAlign w:val="center"/>
          </w:tcPr>
          <w:p>
            <w:pPr>
              <w:widowControl/>
              <w:topLinePunct/>
              <w:adjustRightInd w:val="0"/>
              <w:snapToGrid w:val="0"/>
              <w:jc w:val="center"/>
              <w:textAlignment w:val="center"/>
              <w:rPr>
                <w:rFonts w:hint="default" w:ascii="Times New Roman" w:hAnsi="Times New Roman" w:eastAsia="方正仿宋_GBK" w:cs="Times New Roman"/>
                <w:color w:val="000000"/>
                <w:kern w:val="0"/>
                <w:szCs w:val="21"/>
                <w:lang w:bidi="ar"/>
              </w:rPr>
            </w:pPr>
            <w:r>
              <w:rPr>
                <w:rFonts w:hint="default" w:ascii="Times New Roman" w:hAnsi="Times New Roman" w:eastAsia="方正仿宋_GBK" w:cs="Times New Roman"/>
                <w:color w:val="000000"/>
                <w:kern w:val="0"/>
                <w:szCs w:val="21"/>
                <w:lang w:bidi="ar"/>
              </w:rPr>
              <w:t>32°42′02″</w:t>
            </w:r>
          </w:p>
        </w:tc>
        <w:tc>
          <w:tcPr>
            <w:tcW w:w="908"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1393"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四水厂</w:t>
            </w:r>
          </w:p>
        </w:tc>
        <w:tc>
          <w:tcPr>
            <w:tcW w:w="1435"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淮南市区</w:t>
            </w:r>
          </w:p>
        </w:tc>
        <w:tc>
          <w:tcPr>
            <w:tcW w:w="1345"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淮南市区</w:t>
            </w:r>
          </w:p>
        </w:tc>
        <w:tc>
          <w:tcPr>
            <w:tcW w:w="1014"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w:t>
            </w:r>
          </w:p>
        </w:tc>
        <w:tc>
          <w:tcPr>
            <w:tcW w:w="1281" w:type="dxa"/>
            <w:noWrap w:val="0"/>
            <w:vAlign w:val="center"/>
          </w:tcPr>
          <w:p>
            <w:pPr>
              <w:widowControl/>
              <w:topLinePunct/>
              <w:adjustRightInd w:val="0"/>
              <w:snapToGrid w:val="0"/>
              <w:jc w:val="center"/>
              <w:textAlignment w:val="center"/>
              <w:rPr>
                <w:rFonts w:hint="default" w:ascii="Times New Roman" w:hAnsi="Times New Roman" w:eastAsia="方正仿宋_GBK" w:cs="Times New Roman"/>
                <w:color w:val="000000"/>
                <w:kern w:val="0"/>
                <w:szCs w:val="21"/>
                <w:lang w:bidi="ar"/>
              </w:rPr>
            </w:pPr>
            <w:r>
              <w:rPr>
                <w:rFonts w:hint="default" w:ascii="Times New Roman" w:hAnsi="Times New Roman" w:eastAsia="方正仿宋_GBK" w:cs="Times New Roman"/>
                <w:color w:val="000000"/>
                <w:kern w:val="0"/>
                <w:szCs w:val="21"/>
                <w:lang w:bidi="ar"/>
              </w:rPr>
              <w:t>116°57′43″</w:t>
            </w:r>
          </w:p>
        </w:tc>
        <w:tc>
          <w:tcPr>
            <w:tcW w:w="1164" w:type="dxa"/>
            <w:noWrap w:val="0"/>
            <w:vAlign w:val="center"/>
          </w:tcPr>
          <w:p>
            <w:pPr>
              <w:widowControl/>
              <w:topLinePunct/>
              <w:adjustRightInd w:val="0"/>
              <w:snapToGrid w:val="0"/>
              <w:jc w:val="center"/>
              <w:textAlignment w:val="center"/>
              <w:rPr>
                <w:rFonts w:hint="default" w:ascii="Times New Roman" w:hAnsi="Times New Roman" w:eastAsia="方正仿宋_GBK" w:cs="Times New Roman"/>
                <w:color w:val="000000"/>
                <w:kern w:val="0"/>
                <w:szCs w:val="21"/>
                <w:lang w:bidi="ar"/>
              </w:rPr>
            </w:pPr>
            <w:r>
              <w:rPr>
                <w:rFonts w:hint="default" w:ascii="Times New Roman" w:hAnsi="Times New Roman" w:eastAsia="方正仿宋_GBK" w:cs="Times New Roman"/>
                <w:color w:val="000000"/>
                <w:kern w:val="0"/>
                <w:szCs w:val="21"/>
                <w:lang w:bidi="ar"/>
              </w:rPr>
              <w:t>32°40′37″</w:t>
            </w:r>
          </w:p>
        </w:tc>
        <w:tc>
          <w:tcPr>
            <w:tcW w:w="908"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blHeader/>
          <w:jc w:val="center"/>
        </w:trPr>
        <w:tc>
          <w:tcPr>
            <w:tcW w:w="1393"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毛集水厂</w:t>
            </w:r>
          </w:p>
        </w:tc>
        <w:tc>
          <w:tcPr>
            <w:tcW w:w="1435"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毛集实验区</w:t>
            </w:r>
          </w:p>
        </w:tc>
        <w:tc>
          <w:tcPr>
            <w:tcW w:w="1345"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毛集实验区</w:t>
            </w:r>
          </w:p>
        </w:tc>
        <w:tc>
          <w:tcPr>
            <w:tcW w:w="1014"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12.2</w:t>
            </w:r>
          </w:p>
        </w:tc>
        <w:tc>
          <w:tcPr>
            <w:tcW w:w="1281" w:type="dxa"/>
            <w:noWrap w:val="0"/>
            <w:vAlign w:val="center"/>
          </w:tcPr>
          <w:p>
            <w:pPr>
              <w:widowControl/>
              <w:topLinePunct/>
              <w:adjustRightInd w:val="0"/>
              <w:snapToGrid w:val="0"/>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color w:val="000000"/>
                <w:kern w:val="0"/>
                <w:szCs w:val="21"/>
                <w:lang w:bidi="ar"/>
              </w:rPr>
              <w:t>116°40′47″</w:t>
            </w:r>
          </w:p>
        </w:tc>
        <w:tc>
          <w:tcPr>
            <w:tcW w:w="1164" w:type="dxa"/>
            <w:noWrap w:val="0"/>
            <w:vAlign w:val="center"/>
          </w:tcPr>
          <w:p>
            <w:pPr>
              <w:widowControl/>
              <w:topLinePunct/>
              <w:adjustRightInd w:val="0"/>
              <w:snapToGrid w:val="0"/>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color w:val="000000"/>
                <w:kern w:val="0"/>
                <w:szCs w:val="21"/>
                <w:lang w:bidi="ar"/>
              </w:rPr>
              <w:t>32°34′50″</w:t>
            </w:r>
          </w:p>
        </w:tc>
        <w:tc>
          <w:tcPr>
            <w:tcW w:w="908" w:type="dxa"/>
            <w:noWrap w:val="0"/>
            <w:vAlign w:val="center"/>
          </w:tcPr>
          <w:p>
            <w:pPr>
              <w:widowControl/>
              <w:topLinePunct/>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2017年建成</w:t>
            </w:r>
          </w:p>
        </w:tc>
      </w:tr>
    </w:tbl>
    <w:p>
      <w:pPr>
        <w:pStyle w:val="5"/>
        <w:keepNext w:val="0"/>
        <w:keepLines w:val="0"/>
        <w:pageBreakBefore w:val="0"/>
        <w:widowControl w:val="0"/>
        <w:kinsoku/>
        <w:wordWrap/>
        <w:overflowPunct/>
        <w:autoSpaceDE/>
        <w:autoSpaceDN/>
        <w:bidi w:val="0"/>
        <w:spacing w:line="590" w:lineRule="exact"/>
        <w:ind w:firstLine="568"/>
        <w:rPr>
          <w:rFonts w:hint="default" w:ascii="Times New Roman" w:hAnsi="Times New Roman" w:eastAsia="方正楷体_GBK" w:cs="Times New Roman"/>
          <w:b w:val="0"/>
          <w:bCs w:val="0"/>
          <w:sz w:val="32"/>
          <w:szCs w:val="32"/>
          <w:lang w:val="en-US" w:eastAsia="zh-CN"/>
        </w:rPr>
      </w:pPr>
      <w:bookmarkStart w:id="353" w:name="_Toc19982"/>
      <w:bookmarkStart w:id="354" w:name="_Toc17411"/>
      <w:bookmarkStart w:id="355" w:name="_Toc29027"/>
      <w:r>
        <w:rPr>
          <w:rFonts w:hint="default" w:ascii="Times New Roman" w:hAnsi="Times New Roman" w:eastAsia="方正楷体_GBK" w:cs="Times New Roman"/>
          <w:b w:val="0"/>
          <w:bCs w:val="0"/>
          <w:sz w:val="32"/>
          <w:szCs w:val="32"/>
          <w:lang w:val="en-US" w:eastAsia="zh-CN"/>
        </w:rPr>
        <w:t>饮用水水源地</w:t>
      </w:r>
      <w:bookmarkEnd w:id="353"/>
      <w:r>
        <w:rPr>
          <w:rFonts w:hint="default" w:ascii="Times New Roman" w:hAnsi="Times New Roman" w:eastAsia="方正楷体_GBK" w:cs="Times New Roman"/>
          <w:b w:val="0"/>
          <w:bCs w:val="0"/>
          <w:sz w:val="32"/>
          <w:szCs w:val="32"/>
          <w:lang w:val="en-US" w:eastAsia="zh-CN"/>
        </w:rPr>
        <w:t>状况</w:t>
      </w:r>
      <w:bookmarkEnd w:id="354"/>
      <w:bookmarkEnd w:id="355"/>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bookmarkStart w:id="356" w:name="_Toc13551"/>
      <w:r>
        <w:rPr>
          <w:rFonts w:hint="default" w:ascii="Times New Roman" w:hAnsi="Times New Roman" w:eastAsia="方正仿宋_GBK" w:cs="Times New Roman"/>
          <w:b/>
          <w:bCs w:val="0"/>
          <w:sz w:val="32"/>
          <w:szCs w:val="32"/>
        </w:rPr>
        <w:t>（1）一水厂水源地</w:t>
      </w:r>
      <w:bookmarkEnd w:id="356"/>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 xml:space="preserve">该水厂位于田家庵区电厂路，占地60亩，1960年10月1日投产，日供水能力3万吨；经1974年、1982年两次扩建。设计取水量为2555万吨/年。现2.8万吨/日。生产设施：一级泵房1座，DN800 mm源水管2道合计长度3600 m，加矾间1座，平流式沉淀池4组，普通快滤池7组，鸭舌阀滤池5组，加氯间1座，冲洗水塔1座，1500 </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 xml:space="preserve">清水库2座、3000 </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清水库1座，二级泵房1座，出厂总管DN500 4道。服务人口约为7.45万人，至2015年，该水厂已经服务56年。</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一水厂水源地取水口上移前位于淮南市田家庵圈堤发电厂后，一、三水厂取水口合并后上移280m。</w:t>
      </w:r>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bookmarkStart w:id="357" w:name="_Toc13951"/>
      <w:r>
        <w:rPr>
          <w:rFonts w:hint="default" w:ascii="Times New Roman" w:hAnsi="Times New Roman" w:eastAsia="方正仿宋_GBK" w:cs="Times New Roman"/>
          <w:b/>
          <w:bCs w:val="0"/>
          <w:sz w:val="32"/>
          <w:szCs w:val="32"/>
        </w:rPr>
        <w:t>（2）三水厂</w:t>
      </w:r>
      <w:bookmarkEnd w:id="357"/>
      <w:r>
        <w:rPr>
          <w:rFonts w:hint="default" w:ascii="Times New Roman" w:hAnsi="Times New Roman" w:eastAsia="方正仿宋_GBK" w:cs="Times New Roman"/>
          <w:b/>
          <w:bCs w:val="0"/>
          <w:sz w:val="32"/>
          <w:szCs w:val="32"/>
        </w:rPr>
        <w:t>水源地</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Cs/>
          <w:sz w:val="32"/>
          <w:szCs w:val="32"/>
        </w:rPr>
      </w:pPr>
      <w:bookmarkStart w:id="358" w:name="_Toc31128"/>
      <w:r>
        <w:rPr>
          <w:rFonts w:hint="default" w:ascii="Times New Roman" w:hAnsi="Times New Roman" w:eastAsia="方正仿宋_GBK" w:cs="Times New Roman"/>
          <w:bCs/>
          <w:sz w:val="32"/>
          <w:szCs w:val="32"/>
        </w:rPr>
        <w:t>该水厂位于田家庵区学院北路东、公园南，占地33.5亩，1978年5月1日投产，日供水能力5万吨；88年扩建后，总供水能力10万吨/日。 现供水8 万吨/日。主要生产设施：一级泵房1座,源水管DN600mm 2道、DN800mm 1道、各长约2600m，加矾间1座，平流式沉淀池4座, 双阀滤池12座，3000</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清水库2座, 4000</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清水座1座，吸水井2座共1000</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，加氯间1座，二级泵房1座，出厂总管DN800mm 2道、DN500mm 1道。</w:t>
      </w:r>
    </w:p>
    <w:bookmarkEnd w:id="358"/>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bookmarkStart w:id="359" w:name="_Toc2912"/>
      <w:r>
        <w:rPr>
          <w:rFonts w:hint="default" w:ascii="Times New Roman" w:hAnsi="Times New Roman" w:eastAsia="方正仿宋_GBK" w:cs="Times New Roman"/>
          <w:b/>
          <w:bCs w:val="0"/>
          <w:sz w:val="32"/>
          <w:szCs w:val="32"/>
        </w:rPr>
        <w:t>（3）四水厂</w:t>
      </w:r>
      <w:bookmarkEnd w:id="359"/>
      <w:r>
        <w:rPr>
          <w:rFonts w:hint="default" w:ascii="Times New Roman" w:hAnsi="Times New Roman" w:eastAsia="方正仿宋_GBK" w:cs="Times New Roman"/>
          <w:b/>
          <w:bCs w:val="0"/>
          <w:sz w:val="32"/>
          <w:szCs w:val="32"/>
        </w:rPr>
        <w:t>水源地</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该水厂位于田家庵区国庆路西路，占地72亩。1993年9月试产，一期规模10万吨/日。现供6万吨/日。主要生产设施：一级泵房1座，浑水管DN1200mm 1道长5260米，加矾间1座，折板隔板组合反应、平流沉淀池2座,双阀滤池12座，10000</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清水库1座，加氯间1座，二级泵房1座，出厂总管DN1000mm、DN800mm各1道,厂围墙外污泥干化场占地18.5亩。</w:t>
      </w:r>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bookmarkStart w:id="360" w:name="_Toc28033"/>
      <w:r>
        <w:rPr>
          <w:rFonts w:hint="default" w:ascii="Times New Roman" w:hAnsi="Times New Roman" w:eastAsia="方正仿宋_GBK" w:cs="Times New Roman"/>
          <w:b/>
          <w:bCs w:val="0"/>
          <w:sz w:val="32"/>
          <w:szCs w:val="32"/>
        </w:rPr>
        <w:t>（4）李嘴孜</w:t>
      </w:r>
      <w:bookmarkEnd w:id="360"/>
      <w:r>
        <w:rPr>
          <w:rFonts w:hint="default" w:ascii="Times New Roman" w:hAnsi="Times New Roman" w:eastAsia="方正仿宋_GBK" w:cs="Times New Roman"/>
          <w:b/>
          <w:bCs w:val="0"/>
          <w:sz w:val="32"/>
          <w:szCs w:val="32"/>
        </w:rPr>
        <w:t>水厂水源地</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李嘴孜水厂水源地位于八公山区王镇李嘴孜码头下游，为河流型水源地，该水厂始建于1970年，设计能力3万</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/d，占地50亩。1990年进行了二期扩建，1996年扩建了一座斜管沉淀池，净化能力达到8万</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/d，同年新铺一根DN600源水输水管，改造了两座脉冲澄清池为斜管沉淀池。目前供水能力1.8万</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/d。主要构筑物有：1座淮河岸边取水泵房，取水能力设计为9万</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 xml:space="preserve">/d；脉冲澄清池2座、折板反应，斜管沉淀池3组、虹吸滤池4组、双阀滤池6格，净水能力8万m³/d； 清水库3座、容积共6000 </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，二级泵房1座，送水能力9万</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/d，出厂水压力0.50Mpa，时变化系数1.34。该水厂服务人口约23万人（与平山头水厂联通），至2015年，已经服务46年。</w:t>
      </w:r>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bookmarkStart w:id="361" w:name="_Toc18082"/>
      <w:r>
        <w:rPr>
          <w:rFonts w:hint="default" w:ascii="Times New Roman" w:hAnsi="Times New Roman" w:eastAsia="方正仿宋_GBK" w:cs="Times New Roman"/>
          <w:b/>
          <w:bCs w:val="0"/>
          <w:sz w:val="32"/>
          <w:szCs w:val="32"/>
        </w:rPr>
        <w:t>（5）平山头水厂</w:t>
      </w:r>
      <w:bookmarkEnd w:id="361"/>
      <w:r>
        <w:rPr>
          <w:rFonts w:hint="default" w:ascii="Times New Roman" w:hAnsi="Times New Roman" w:eastAsia="方正仿宋_GBK" w:cs="Times New Roman"/>
          <w:b/>
          <w:bCs w:val="0"/>
          <w:sz w:val="32"/>
          <w:szCs w:val="32"/>
        </w:rPr>
        <w:t>水源地</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平山头（五水厂）水源地位于谢家集区平山头瓦埠湖东津渡大桥上游，该水厂设计规模10万</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d，设计为淮南市主城区的第二水源，建于1998年，2005年正式建成，主要供给谢家集区地区居民用水和工业用水，其水源地属于河流型地表水水源地，位于淮河支流东淝河上，设计取水量为3650万吨/年，服务人口约为33.53万人，至2015年，该水厂已经服务11年。采用栅条反应、平流沉淀、v型滤池处理工艺，有2座1万</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清水池，滤后水经加氯消毒后进入城市配水管网。</w:t>
      </w:r>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bookmarkStart w:id="362" w:name="_Toc10974"/>
      <w:r>
        <w:rPr>
          <w:rFonts w:hint="default" w:ascii="Times New Roman" w:hAnsi="Times New Roman" w:eastAsia="方正仿宋_GBK" w:cs="Times New Roman"/>
          <w:b/>
          <w:bCs w:val="0"/>
          <w:sz w:val="32"/>
          <w:szCs w:val="32"/>
        </w:rPr>
        <w:t>（6）袁庄水厂</w:t>
      </w:r>
      <w:bookmarkEnd w:id="362"/>
      <w:r>
        <w:rPr>
          <w:rFonts w:hint="default" w:ascii="Times New Roman" w:hAnsi="Times New Roman" w:eastAsia="方正仿宋_GBK" w:cs="Times New Roman"/>
          <w:b/>
          <w:bCs w:val="0"/>
          <w:sz w:val="32"/>
          <w:szCs w:val="32"/>
        </w:rPr>
        <w:t>水源地</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袁庄水厂是潘集区袁庄区域唯一以地表水为水源的供水企业，该项目2007年由淮南市发展和改革委员会批准立项（发改投资〔2007〕337号文件）。水厂于2011年建成投产，设计供水能力为3万m³/d，现实际供水量为0.8万m³/d，服务人口2万人，基本能够满足袁庄地区生活用水需要。</w:t>
      </w:r>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bookmarkStart w:id="363" w:name="_Toc9406"/>
      <w:r>
        <w:rPr>
          <w:rFonts w:hint="default" w:ascii="Times New Roman" w:hAnsi="Times New Roman" w:eastAsia="方正仿宋_GBK" w:cs="Times New Roman"/>
          <w:b/>
          <w:bCs w:val="0"/>
          <w:sz w:val="32"/>
          <w:szCs w:val="32"/>
        </w:rPr>
        <w:t>（7）寿县二水厂</w:t>
      </w:r>
      <w:bookmarkEnd w:id="363"/>
      <w:r>
        <w:rPr>
          <w:rFonts w:hint="default" w:ascii="Times New Roman" w:hAnsi="Times New Roman" w:eastAsia="方正仿宋_GBK" w:cs="Times New Roman"/>
          <w:b/>
          <w:bCs w:val="0"/>
          <w:sz w:val="32"/>
          <w:szCs w:val="32"/>
        </w:rPr>
        <w:t>水源地</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寿县二水厂取水口位于寿县城东4.5公里的东津渡大桥南侧，取水口位置东经116°49' 27"，北纬32°34' 18"。水源地始建于2001年，日设计取水能力4万t，实际取水量约3.5万t/d。取水主要用于县城现有16万人、规划20万人口的饮用、三产服务行业用水以及部分企业生产用水。现已对县城饮用水源地划定了水源保护区域，并设立了水源保护标志牌、一级保护区警示牌、道路警示牌及防护栅栏。</w:t>
      </w:r>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val="0"/>
          <w:sz w:val="32"/>
          <w:szCs w:val="32"/>
        </w:rPr>
      </w:pPr>
      <w:bookmarkStart w:id="364" w:name="_Toc8980"/>
      <w:r>
        <w:rPr>
          <w:rFonts w:hint="default" w:ascii="Times New Roman" w:hAnsi="Times New Roman" w:eastAsia="方正仿宋_GBK" w:cs="Times New Roman"/>
          <w:b/>
          <w:bCs w:val="0"/>
          <w:sz w:val="32"/>
          <w:szCs w:val="32"/>
        </w:rPr>
        <w:t>（8）</w:t>
      </w:r>
      <w:bookmarkEnd w:id="364"/>
      <w:r>
        <w:rPr>
          <w:rFonts w:hint="default" w:ascii="Times New Roman" w:hAnsi="Times New Roman" w:eastAsia="方正仿宋_GBK" w:cs="Times New Roman"/>
          <w:b/>
          <w:bCs w:val="0"/>
          <w:sz w:val="32"/>
          <w:szCs w:val="32"/>
        </w:rPr>
        <w:t>凤台县水厂水源地</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凤台县水厂水源地位于凤台县菱角湖排涝站边，为河流型水源地，设计取水量3650万t/a，服务人口12万人。</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eastAsia" w:ascii="方正楷体_GBK" w:hAnsi="方正楷体_GBK" w:eastAsia="方正楷体_GBK" w:cs="方正楷体_GBK"/>
          <w:bCs/>
          <w:sz w:val="32"/>
          <w:szCs w:val="32"/>
        </w:rPr>
      </w:pPr>
      <w:bookmarkStart w:id="365" w:name="_Toc312309964"/>
      <w:bookmarkStart w:id="366" w:name="_Toc13326"/>
      <w:bookmarkStart w:id="367" w:name="_Toc1007"/>
      <w:bookmarkStart w:id="368" w:name="_Toc293556890"/>
      <w:r>
        <w:rPr>
          <w:rFonts w:hint="eastAsia" w:ascii="方正楷体_GBK" w:hAnsi="方正楷体_GBK" w:eastAsia="方正楷体_GBK" w:cs="方正楷体_GBK"/>
          <w:bCs/>
          <w:sz w:val="32"/>
          <w:szCs w:val="32"/>
          <w:lang w:val="en-US" w:eastAsia="zh-CN"/>
        </w:rPr>
        <w:t>二</w:t>
      </w:r>
      <w:r>
        <w:rPr>
          <w:rFonts w:hint="eastAsia" w:ascii="方正楷体_GBK" w:hAnsi="方正楷体_GBK" w:eastAsia="方正楷体_GBK" w:cs="方正楷体_GBK"/>
          <w:bCs/>
          <w:sz w:val="32"/>
          <w:szCs w:val="32"/>
        </w:rPr>
        <w:t>、</w:t>
      </w:r>
      <w:r>
        <w:rPr>
          <w:rFonts w:hint="eastAsia" w:ascii="方正楷体_GBK" w:hAnsi="方正楷体_GBK" w:eastAsia="方正楷体_GBK" w:cs="方正楷体_GBK"/>
          <w:bCs/>
          <w:sz w:val="32"/>
          <w:szCs w:val="32"/>
          <w:lang w:val="en-US" w:eastAsia="zh-CN"/>
        </w:rPr>
        <w:t>饮用水源地</w:t>
      </w:r>
      <w:r>
        <w:rPr>
          <w:rFonts w:hint="eastAsia" w:ascii="方正楷体_GBK" w:hAnsi="方正楷体_GBK" w:eastAsia="方正楷体_GBK" w:cs="方正楷体_GBK"/>
          <w:bCs/>
          <w:sz w:val="32"/>
          <w:szCs w:val="32"/>
        </w:rPr>
        <w:t>存在的主要问题</w:t>
      </w:r>
      <w:bookmarkEnd w:id="365"/>
      <w:bookmarkEnd w:id="366"/>
      <w:bookmarkEnd w:id="367"/>
      <w:bookmarkEnd w:id="368"/>
    </w:p>
    <w:p>
      <w:pPr>
        <w:keepNext w:val="0"/>
        <w:keepLines w:val="0"/>
        <w:pageBreakBefore w:val="0"/>
        <w:widowControl w:val="0"/>
        <w:tabs>
          <w:tab w:val="left" w:pos="625"/>
        </w:tabs>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kern w:val="21"/>
          <w:sz w:val="32"/>
          <w:szCs w:val="32"/>
          <w:lang w:val="en-US" w:eastAsia="zh-CN" w:bidi="ar-SA"/>
        </w:rPr>
        <w:t>（1）城市化进程加快，城市供水量需求量不断增加。</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随着社会经济不断发展，城市化进程加快，城市人口大幅度增加，城市规模不断扩大，城镇供水量需求旺盛，城市缺水趋势明显，已有水源地水量缺水程度增大，开辟新水源任务加重。</w:t>
      </w:r>
    </w:p>
    <w:p>
      <w:pPr>
        <w:keepNext w:val="0"/>
        <w:keepLines w:val="0"/>
        <w:pageBreakBefore w:val="0"/>
        <w:widowControl w:val="0"/>
        <w:tabs>
          <w:tab w:val="left" w:pos="625"/>
        </w:tabs>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kern w:val="21"/>
          <w:sz w:val="32"/>
          <w:szCs w:val="32"/>
          <w:lang w:val="en-US" w:eastAsia="zh-CN" w:bidi="ar-SA"/>
        </w:rPr>
      </w:pPr>
      <w:r>
        <w:rPr>
          <w:rFonts w:hint="default" w:ascii="Times New Roman" w:hAnsi="Times New Roman" w:eastAsia="方正仿宋_GBK" w:cs="Times New Roman"/>
          <w:b/>
          <w:bCs/>
          <w:kern w:val="21"/>
          <w:sz w:val="32"/>
          <w:szCs w:val="32"/>
          <w:lang w:val="en-US" w:eastAsia="zh-CN" w:bidi="ar-SA"/>
        </w:rPr>
        <w:t>（2）河湖污染形势严峻，水源地水质安全受到威胁。</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随着社会经济不断发展，城市化进程加快，城市生活污水量不断增加，化学需氧量、氨氮含量均有不同的增加，地表水饮用水源地水质整体上呈下降趋势。东淝河与瓦埠湖是规划中“引江济淮”的输水通道，加强水源保护势在必行。</w:t>
      </w:r>
    </w:p>
    <w:p>
      <w:pPr>
        <w:keepNext w:val="0"/>
        <w:keepLines w:val="0"/>
        <w:pageBreakBefore w:val="0"/>
        <w:widowControl w:val="0"/>
        <w:tabs>
          <w:tab w:val="left" w:pos="625"/>
        </w:tabs>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kern w:val="21"/>
          <w:sz w:val="32"/>
          <w:szCs w:val="32"/>
          <w:lang w:val="en-US" w:eastAsia="zh-CN" w:bidi="ar-SA"/>
        </w:rPr>
      </w:pPr>
      <w:r>
        <w:rPr>
          <w:rFonts w:hint="default" w:ascii="Times New Roman" w:hAnsi="Times New Roman" w:eastAsia="方正仿宋_GBK" w:cs="Times New Roman"/>
          <w:b/>
          <w:bCs/>
          <w:kern w:val="21"/>
          <w:sz w:val="32"/>
          <w:szCs w:val="32"/>
          <w:lang w:val="en-US" w:eastAsia="zh-CN" w:bidi="ar-SA"/>
        </w:rPr>
        <w:t>（3）中深层地下水水量有限，水源地安全保障程度低。</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淮南市多年平均浅层地下水资源量5.75亿m³，其中，与地表水重复计算量3.29亿m³，不重复计算量2.47亿m³。浅层地下水可开采量4.14亿</w:t>
      </w:r>
      <w:r>
        <w:rPr>
          <w:rFonts w:hint="default" w:ascii="Times New Roman" w:hAnsi="Times New Roman" w:eastAsia="方正仿宋_GBK" w:cs="Times New Roman"/>
          <w:bCs/>
          <w:sz w:val="32"/>
          <w:szCs w:val="32"/>
          <w:lang w:eastAsia="zh-CN"/>
        </w:rPr>
        <w:t>m³</w:t>
      </w:r>
      <w:r>
        <w:rPr>
          <w:rFonts w:hint="default" w:ascii="Times New Roman" w:hAnsi="Times New Roman" w:eastAsia="方正仿宋_GBK" w:cs="Times New Roman"/>
          <w:bCs/>
          <w:sz w:val="32"/>
          <w:szCs w:val="32"/>
        </w:rPr>
        <w:t>，浅层地下水尚有一定的开采潜力。</w:t>
      </w:r>
    </w:p>
    <w:p>
      <w:pPr>
        <w:keepNext w:val="0"/>
        <w:keepLines w:val="0"/>
        <w:pageBreakBefore w:val="0"/>
        <w:widowControl w:val="0"/>
        <w:kinsoku/>
        <w:wordWrap/>
        <w:overflowPunct/>
        <w:autoSpaceDE/>
        <w:autoSpaceDN/>
        <w:bidi w:val="0"/>
        <w:adjustRightInd w:val="0"/>
        <w:snapToGrid w:val="0"/>
        <w:spacing w:line="590" w:lineRule="exact"/>
        <w:ind w:firstLine="640" w:firstLineChars="200"/>
        <w:jc w:val="center"/>
        <w:rPr>
          <w:rFonts w:hint="default" w:ascii="Times New Roman" w:hAnsi="Times New Roman" w:eastAsia="方正黑体_GBK" w:cs="Times New Roman"/>
          <w:bCs/>
          <w:sz w:val="32"/>
          <w:szCs w:val="32"/>
        </w:rPr>
      </w:pPr>
      <w:bookmarkStart w:id="369" w:name="_Toc19910"/>
      <w:r>
        <w:rPr>
          <w:rFonts w:hint="default" w:ascii="Times New Roman" w:hAnsi="Times New Roman" w:eastAsia="方正黑体_GBK" w:cs="Times New Roman"/>
          <w:bCs/>
          <w:sz w:val="32"/>
          <w:szCs w:val="32"/>
        </w:rPr>
        <w:t>第</w:t>
      </w:r>
      <w:r>
        <w:rPr>
          <w:rFonts w:hint="default" w:ascii="Times New Roman" w:hAnsi="Times New Roman" w:eastAsia="方正黑体_GBK" w:cs="Times New Roman"/>
          <w:bCs/>
          <w:sz w:val="32"/>
          <w:szCs w:val="32"/>
          <w:lang w:val="en-US" w:eastAsia="zh-CN"/>
        </w:rPr>
        <w:t>二</w:t>
      </w:r>
      <w:r>
        <w:rPr>
          <w:rFonts w:hint="default" w:ascii="Times New Roman" w:hAnsi="Times New Roman" w:eastAsia="方正黑体_GBK" w:cs="Times New Roman"/>
          <w:bCs/>
          <w:sz w:val="32"/>
          <w:szCs w:val="32"/>
        </w:rPr>
        <w:t>节  水源地安全保障规划原则与目标</w:t>
      </w:r>
      <w:bookmarkEnd w:id="341"/>
      <w:bookmarkEnd w:id="342"/>
      <w:bookmarkEnd w:id="369"/>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eastAsia" w:ascii="方正楷体_GBK" w:hAnsi="方正楷体_GBK" w:eastAsia="方正楷体_GBK" w:cs="方正楷体_GBK"/>
          <w:bCs/>
          <w:sz w:val="32"/>
          <w:szCs w:val="32"/>
          <w:lang w:val="en-US" w:eastAsia="zh-CN"/>
        </w:rPr>
      </w:pPr>
      <w:bookmarkStart w:id="370" w:name="_Toc293556892"/>
      <w:bookmarkStart w:id="371" w:name="_Toc2750"/>
      <w:bookmarkStart w:id="372" w:name="_Toc312309966"/>
      <w:r>
        <w:rPr>
          <w:rFonts w:hint="eastAsia" w:ascii="方正楷体_GBK" w:hAnsi="方正楷体_GBK" w:eastAsia="方正楷体_GBK" w:cs="方正楷体_GBK"/>
          <w:bCs/>
          <w:sz w:val="32"/>
          <w:szCs w:val="32"/>
          <w:lang w:val="en-US" w:eastAsia="zh-CN"/>
        </w:rPr>
        <w:t>一、规划原则</w:t>
      </w:r>
      <w:bookmarkEnd w:id="370"/>
      <w:bookmarkEnd w:id="371"/>
      <w:bookmarkEnd w:id="372"/>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kern w:val="21"/>
          <w:sz w:val="32"/>
          <w:szCs w:val="32"/>
          <w:lang w:val="en-US" w:eastAsia="zh-CN" w:bidi="ar-SA"/>
        </w:rPr>
        <w:t>（1）统筹规划、突出重点</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统筹规划水资源的开发利用与保护之间的关系，优先解决水源地安全问题。</w:t>
      </w:r>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kern w:val="21"/>
          <w:sz w:val="32"/>
          <w:szCs w:val="32"/>
          <w:lang w:val="en-US" w:eastAsia="zh-CN" w:bidi="ar-SA"/>
        </w:rPr>
      </w:pPr>
      <w:r>
        <w:rPr>
          <w:rFonts w:hint="default" w:ascii="Times New Roman" w:hAnsi="Times New Roman" w:eastAsia="方正仿宋_GBK" w:cs="Times New Roman"/>
          <w:b/>
          <w:bCs/>
          <w:kern w:val="21"/>
          <w:sz w:val="32"/>
          <w:szCs w:val="32"/>
          <w:lang w:val="en-US" w:eastAsia="zh-CN" w:bidi="ar-SA"/>
        </w:rPr>
        <w:t>（2）防治并重、注重管理</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坚持饮用水水源地预防保护和综合治理并重的原则，根据城市饮用水安全保障目标，拟定城市饮用水水源地安全保障的总体格局。</w:t>
      </w:r>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kern w:val="21"/>
          <w:sz w:val="32"/>
          <w:szCs w:val="32"/>
          <w:lang w:val="en-US" w:eastAsia="zh-CN" w:bidi="ar-SA"/>
        </w:rPr>
      </w:pPr>
      <w:r>
        <w:rPr>
          <w:rFonts w:hint="default" w:ascii="Times New Roman" w:hAnsi="Times New Roman" w:eastAsia="方正仿宋_GBK" w:cs="Times New Roman"/>
          <w:b/>
          <w:bCs/>
          <w:kern w:val="21"/>
          <w:sz w:val="32"/>
          <w:szCs w:val="32"/>
          <w:lang w:val="en-US" w:eastAsia="zh-CN" w:bidi="ar-SA"/>
        </w:rPr>
        <w:t>（3）质量统一，防御风险</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水质安全和水量保障统一，优化水资源配置，按照首先满足饮用水要求，统筹安排供水水源的工业、农业等其他用水。提高饮用水日常供给（常规水源）和应急供给（储备水源）的保障能力。增强防御突发污染事故、连续干旱年和特殊干旱等风险的能力。</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eastAsia" w:ascii="方正楷体_GBK" w:hAnsi="方正楷体_GBK" w:eastAsia="方正楷体_GBK" w:cs="方正楷体_GBK"/>
          <w:bCs/>
          <w:sz w:val="32"/>
          <w:szCs w:val="32"/>
          <w:lang w:val="en-US" w:eastAsia="zh-CN"/>
        </w:rPr>
      </w:pPr>
      <w:bookmarkStart w:id="373" w:name="_Toc293556893"/>
      <w:bookmarkStart w:id="374" w:name="_Toc238269768"/>
      <w:bookmarkStart w:id="375" w:name="_Toc312309967"/>
      <w:bookmarkStart w:id="376" w:name="_Toc26505"/>
      <w:bookmarkStart w:id="377" w:name="_Toc173859317"/>
      <w:r>
        <w:rPr>
          <w:rFonts w:hint="eastAsia" w:ascii="方正楷体_GBK" w:hAnsi="方正楷体_GBK" w:eastAsia="方正楷体_GBK" w:cs="方正楷体_GBK"/>
          <w:bCs/>
          <w:sz w:val="32"/>
          <w:szCs w:val="32"/>
          <w:lang w:val="en-US" w:eastAsia="zh-CN"/>
        </w:rPr>
        <w:t>二、规划目标</w:t>
      </w:r>
      <w:bookmarkEnd w:id="373"/>
      <w:bookmarkEnd w:id="374"/>
      <w:bookmarkEnd w:id="375"/>
      <w:bookmarkEnd w:id="376"/>
      <w:bookmarkEnd w:id="377"/>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基本解决饮用水水源地安全保障问题，根据已划定的饮用水水源保护区，提出保障饮用水水源地安全的工程措施和非工程措施；建立水源地监测体系和应急预案，水源地水质基本达到饮用水水源地标准，水量保证率达95%以上。</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Cs/>
          <w:sz w:val="32"/>
          <w:szCs w:val="32"/>
          <w:lang w:val="en-US" w:eastAsia="zh-CN"/>
        </w:rPr>
      </w:pPr>
      <w:r>
        <w:rPr>
          <w:rFonts w:hint="default" w:ascii="Times New Roman" w:hAnsi="Times New Roman" w:eastAsia="方正仿宋_GBK" w:cs="Times New Roman"/>
          <w:bCs/>
          <w:sz w:val="32"/>
          <w:szCs w:val="32"/>
          <w:lang w:val="en-US" w:eastAsia="zh-CN"/>
        </w:rPr>
        <w:t>应急备用水源地规划：</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Cs/>
          <w:sz w:val="32"/>
          <w:szCs w:val="32"/>
          <w:lang w:val="en-US" w:eastAsia="zh-CN"/>
        </w:rPr>
      </w:pPr>
      <w:r>
        <w:rPr>
          <w:rFonts w:hint="default" w:ascii="Times New Roman" w:hAnsi="Times New Roman" w:eastAsia="方正仿宋_GBK" w:cs="Times New Roman"/>
          <w:bCs/>
          <w:sz w:val="32"/>
          <w:szCs w:val="32"/>
          <w:lang w:val="en-US" w:eastAsia="zh-CN"/>
        </w:rPr>
        <w:t>现状淮南市市区（田家庵区、八公山区、大通区、谢家集区、潘集区）均以平山头水源地为应急备用水源；凤台县以凤台县地下水厂水源地为应急备用水源；毛集试验区和寿县暂未与应急备用水源地。</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Cs/>
          <w:sz w:val="32"/>
          <w:szCs w:val="32"/>
          <w:lang w:val="en-US" w:eastAsia="zh-CN"/>
        </w:rPr>
      </w:pPr>
      <w:r>
        <w:rPr>
          <w:rFonts w:hint="default" w:ascii="Times New Roman" w:hAnsi="Times New Roman" w:eastAsia="方正仿宋_GBK" w:cs="Times New Roman"/>
          <w:bCs/>
          <w:sz w:val="32"/>
          <w:szCs w:val="32"/>
          <w:lang w:val="en-US" w:eastAsia="zh-CN"/>
        </w:rPr>
        <w:t>规划以西淝河调水通道为备用水源设计并建设毛集实验区饮用水备用水源工程；以安丰塘为备用水源设计并建设寿县实验区饮用水备用水源工程。</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Cs/>
          <w:sz w:val="32"/>
          <w:szCs w:val="32"/>
          <w:lang w:val="en-US" w:eastAsia="zh-CN"/>
        </w:rPr>
      </w:pPr>
    </w:p>
    <w:p>
      <w:pPr>
        <w:keepNext w:val="0"/>
        <w:keepLines w:val="0"/>
        <w:pageBreakBefore w:val="0"/>
        <w:widowControl w:val="0"/>
        <w:kinsoku/>
        <w:wordWrap/>
        <w:overflowPunct/>
        <w:autoSpaceDE/>
        <w:autoSpaceDN/>
        <w:bidi w:val="0"/>
        <w:adjustRightInd w:val="0"/>
        <w:snapToGrid w:val="0"/>
        <w:spacing w:line="590" w:lineRule="exact"/>
        <w:ind w:firstLine="640" w:firstLineChars="200"/>
        <w:jc w:val="center"/>
        <w:rPr>
          <w:rFonts w:hint="default" w:ascii="Times New Roman" w:hAnsi="Times New Roman" w:eastAsia="方正黑体_GBK" w:cs="Times New Roman"/>
          <w:bCs/>
          <w:sz w:val="32"/>
          <w:szCs w:val="32"/>
          <w:lang w:val="en-US" w:eastAsia="zh-CN"/>
        </w:rPr>
      </w:pPr>
      <w:bookmarkStart w:id="378" w:name="_Toc312309968"/>
      <w:bookmarkStart w:id="379" w:name="_Toc11393"/>
      <w:bookmarkStart w:id="380" w:name="_Toc293556894"/>
      <w:r>
        <w:rPr>
          <w:rFonts w:hint="default" w:ascii="Times New Roman" w:hAnsi="Times New Roman" w:eastAsia="方正黑体_GBK" w:cs="Times New Roman"/>
          <w:bCs/>
          <w:sz w:val="32"/>
          <w:szCs w:val="32"/>
          <w:lang w:val="en-US" w:eastAsia="zh-CN"/>
        </w:rPr>
        <w:t>第三节  实施方案</w:t>
      </w:r>
      <w:bookmarkEnd w:id="378"/>
      <w:bookmarkEnd w:id="379"/>
      <w:bookmarkEnd w:id="380"/>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eastAsia" w:ascii="方正楷体_GBK" w:hAnsi="方正楷体_GBK" w:eastAsia="方正楷体_GBK" w:cs="方正楷体_GBK"/>
          <w:bCs/>
          <w:sz w:val="32"/>
          <w:szCs w:val="32"/>
          <w:lang w:val="en-US" w:eastAsia="zh-CN"/>
        </w:rPr>
      </w:pPr>
      <w:bookmarkStart w:id="381" w:name="_Toc18497"/>
      <w:bookmarkStart w:id="382" w:name="_Toc312309969"/>
      <w:r>
        <w:rPr>
          <w:rFonts w:hint="eastAsia" w:ascii="方正楷体_GBK" w:hAnsi="方正楷体_GBK" w:eastAsia="方正楷体_GBK" w:cs="方正楷体_GBK"/>
          <w:bCs/>
          <w:sz w:val="32"/>
          <w:szCs w:val="32"/>
          <w:lang w:val="en-US" w:eastAsia="zh-CN"/>
        </w:rPr>
        <w:t>一、建立水源地具体的保护区及准保护区</w:t>
      </w:r>
      <w:bookmarkEnd w:id="381"/>
      <w:bookmarkEnd w:id="382"/>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根据原安徽省环境保护局《关于印发安徽省城市集中式饮用水水源地保护区划分方案的通知》（环水函[2009]268号）和安徽省人民政府《安徽省人民政府关于淮南市袁庄水厂饮用水水源保护区、凤台县地下水饮用水源保护区划定方案的批复》（皖政秘[2015]150号）文件可知淮南市评价的9个地表饮用水源水源地和1个凤台县地下饮用水水源地均已划定水源地保护区并批准。袁庄水厂和凤台地下水厂饮用水水源保护区划分方案见表8.3-1。</w:t>
      </w:r>
    </w:p>
    <w:p>
      <w:pPr>
        <w:pStyle w:val="2"/>
        <w:ind w:firstLine="486"/>
        <w:rPr>
          <w:rFonts w:ascii="Times New Roman" w:hAnsi="Times New Roman"/>
          <w:lang w:val="en-US" w:eastAsia="zh-CN"/>
        </w:rPr>
      </w:pPr>
    </w:p>
    <w:p>
      <w:pPr>
        <w:pStyle w:val="2"/>
        <w:ind w:firstLine="486"/>
        <w:rPr>
          <w:rFonts w:ascii="Times New Roman" w:hAnsi="Times New Roman"/>
          <w:lang w:val="en-US" w:eastAsia="zh-CN"/>
        </w:rPr>
      </w:pPr>
    </w:p>
    <w:p>
      <w:pPr>
        <w:topLinePunct/>
        <w:adjustRightInd w:val="0"/>
        <w:snapToGrid w:val="0"/>
        <w:jc w:val="center"/>
        <w:rPr>
          <w:b/>
          <w:bCs/>
          <w:kern w:val="10"/>
          <w:sz w:val="24"/>
          <w:szCs w:val="22"/>
          <w:lang w:val="zh-CN"/>
        </w:rPr>
      </w:pPr>
    </w:p>
    <w:p>
      <w:pPr>
        <w:topLinePunct/>
        <w:adjustRightInd w:val="0"/>
        <w:snapToGrid w:val="0"/>
        <w:jc w:val="center"/>
        <w:rPr>
          <w:rFonts w:hint="eastAsia" w:ascii="方正黑体_GBK" w:hAnsi="方正黑体_GBK" w:eastAsia="方正黑体_GBK" w:cs="方正黑体_GBK"/>
          <w:b/>
          <w:bCs/>
          <w:kern w:val="10"/>
          <w:sz w:val="24"/>
          <w:szCs w:val="22"/>
        </w:rPr>
      </w:pPr>
      <w:r>
        <w:rPr>
          <w:rFonts w:hint="eastAsia" w:ascii="方正黑体_GBK" w:hAnsi="方正黑体_GBK" w:eastAsia="方正黑体_GBK" w:cs="方正黑体_GBK"/>
          <w:b/>
          <w:bCs/>
          <w:kern w:val="10"/>
          <w:sz w:val="24"/>
          <w:szCs w:val="22"/>
          <w:lang w:val="zh-CN"/>
        </w:rPr>
        <w:t>表</w:t>
      </w:r>
      <w:r>
        <w:rPr>
          <w:rFonts w:hint="eastAsia" w:ascii="方正黑体_GBK" w:hAnsi="方正黑体_GBK" w:eastAsia="方正黑体_GBK" w:cs="方正黑体_GBK"/>
          <w:b/>
          <w:bCs/>
          <w:kern w:val="10"/>
          <w:sz w:val="24"/>
          <w:szCs w:val="22"/>
        </w:rPr>
        <w:t xml:space="preserve">8.3-1 </w:t>
      </w:r>
      <w:r>
        <w:rPr>
          <w:rFonts w:hint="eastAsia" w:ascii="方正黑体_GBK" w:hAnsi="方正黑体_GBK" w:eastAsia="方正黑体_GBK" w:cs="方正黑体_GBK"/>
          <w:b/>
          <w:bCs/>
          <w:kern w:val="10"/>
          <w:sz w:val="24"/>
          <w:szCs w:val="22"/>
          <w:lang w:val="zh-CN"/>
        </w:rPr>
        <w:t xml:space="preserve"> </w:t>
      </w:r>
      <w:r>
        <w:rPr>
          <w:rFonts w:hint="eastAsia" w:ascii="方正黑体_GBK" w:hAnsi="方正黑体_GBK" w:eastAsia="方正黑体_GBK" w:cs="方正黑体_GBK"/>
          <w:b/>
          <w:bCs/>
          <w:kern w:val="10"/>
          <w:sz w:val="24"/>
          <w:szCs w:val="22"/>
        </w:rPr>
        <w:t>袁庄水厂和凤台地下水厂</w:t>
      </w:r>
      <w:r>
        <w:rPr>
          <w:rFonts w:hint="eastAsia" w:ascii="方正黑体_GBK" w:hAnsi="方正黑体_GBK" w:eastAsia="方正黑体_GBK" w:cs="方正黑体_GBK"/>
          <w:b/>
          <w:bCs/>
          <w:kern w:val="10"/>
          <w:sz w:val="24"/>
          <w:szCs w:val="22"/>
          <w:lang w:val="zh-CN"/>
        </w:rPr>
        <w:t>饮用水水源保护区划分方案</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477"/>
        <w:gridCol w:w="571"/>
        <w:gridCol w:w="382"/>
        <w:gridCol w:w="504"/>
        <w:gridCol w:w="1308"/>
        <w:gridCol w:w="1170"/>
        <w:gridCol w:w="452"/>
        <w:gridCol w:w="1335"/>
        <w:gridCol w:w="1335"/>
        <w:gridCol w:w="854"/>
        <w:gridCol w:w="508"/>
        <w:gridCol w:w="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452" w:type="dxa"/>
            <w:vMerge w:val="restart"/>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水源地名称</w:t>
            </w:r>
          </w:p>
        </w:tc>
        <w:tc>
          <w:tcPr>
            <w:tcW w:w="477" w:type="dxa"/>
            <w:vMerge w:val="restart"/>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水源所在地</w:t>
            </w:r>
          </w:p>
        </w:tc>
        <w:tc>
          <w:tcPr>
            <w:tcW w:w="571" w:type="dxa"/>
            <w:vMerge w:val="restart"/>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取水口位置</w:t>
            </w:r>
          </w:p>
        </w:tc>
        <w:tc>
          <w:tcPr>
            <w:tcW w:w="382" w:type="dxa"/>
            <w:vMerge w:val="restart"/>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水系</w:t>
            </w:r>
          </w:p>
        </w:tc>
        <w:tc>
          <w:tcPr>
            <w:tcW w:w="504" w:type="dxa"/>
            <w:vMerge w:val="restart"/>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供水能力(万t/d)</w:t>
            </w:r>
          </w:p>
        </w:tc>
        <w:tc>
          <w:tcPr>
            <w:tcW w:w="2930" w:type="dxa"/>
            <w:gridSpan w:val="3"/>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功能区范围（水域）</w:t>
            </w:r>
          </w:p>
        </w:tc>
        <w:tc>
          <w:tcPr>
            <w:tcW w:w="3524" w:type="dxa"/>
            <w:gridSpan w:val="3"/>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功能区范围（陆域）</w:t>
            </w:r>
          </w:p>
        </w:tc>
        <w:tc>
          <w:tcPr>
            <w:tcW w:w="508" w:type="dxa"/>
            <w:vMerge w:val="restart"/>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保护区划分情况</w:t>
            </w:r>
          </w:p>
        </w:tc>
        <w:tc>
          <w:tcPr>
            <w:tcW w:w="372" w:type="dxa"/>
            <w:vMerge w:val="restart"/>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blHeader/>
          <w:jc w:val="center"/>
        </w:trPr>
        <w:tc>
          <w:tcPr>
            <w:tcW w:w="452" w:type="dxa"/>
            <w:vMerge w:val="continue"/>
            <w:noWrap w:val="0"/>
            <w:tcMar>
              <w:left w:w="0" w:type="dxa"/>
              <w:right w:w="0" w:type="dxa"/>
            </w:tcMar>
            <w:vAlign w:val="center"/>
          </w:tcPr>
          <w:p>
            <w:pPr>
              <w:widowControl/>
              <w:adjustRightInd w:val="0"/>
              <w:snapToGrid w:val="0"/>
              <w:jc w:val="left"/>
              <w:rPr>
                <w:rFonts w:hint="default" w:ascii="Times New Roman" w:hAnsi="Times New Roman" w:eastAsia="方正仿宋_GBK" w:cs="Times New Roman"/>
                <w:kern w:val="0"/>
                <w:szCs w:val="21"/>
              </w:rPr>
            </w:pPr>
          </w:p>
        </w:tc>
        <w:tc>
          <w:tcPr>
            <w:tcW w:w="477" w:type="dxa"/>
            <w:vMerge w:val="continue"/>
            <w:noWrap w:val="0"/>
            <w:tcMar>
              <w:left w:w="0" w:type="dxa"/>
              <w:right w:w="0" w:type="dxa"/>
            </w:tcMar>
            <w:vAlign w:val="center"/>
          </w:tcPr>
          <w:p>
            <w:pPr>
              <w:widowControl/>
              <w:adjustRightInd w:val="0"/>
              <w:snapToGrid w:val="0"/>
              <w:jc w:val="left"/>
              <w:rPr>
                <w:rFonts w:hint="default" w:ascii="Times New Roman" w:hAnsi="Times New Roman" w:eastAsia="方正仿宋_GBK" w:cs="Times New Roman"/>
                <w:kern w:val="0"/>
                <w:szCs w:val="21"/>
              </w:rPr>
            </w:pPr>
          </w:p>
        </w:tc>
        <w:tc>
          <w:tcPr>
            <w:tcW w:w="571" w:type="dxa"/>
            <w:vMerge w:val="continue"/>
            <w:noWrap w:val="0"/>
            <w:tcMar>
              <w:left w:w="0" w:type="dxa"/>
              <w:right w:w="0" w:type="dxa"/>
            </w:tcMar>
            <w:vAlign w:val="center"/>
          </w:tcPr>
          <w:p>
            <w:pPr>
              <w:widowControl/>
              <w:adjustRightInd w:val="0"/>
              <w:snapToGrid w:val="0"/>
              <w:jc w:val="left"/>
              <w:rPr>
                <w:rFonts w:hint="default" w:ascii="Times New Roman" w:hAnsi="Times New Roman" w:eastAsia="方正仿宋_GBK" w:cs="Times New Roman"/>
                <w:kern w:val="0"/>
                <w:szCs w:val="21"/>
              </w:rPr>
            </w:pPr>
          </w:p>
        </w:tc>
        <w:tc>
          <w:tcPr>
            <w:tcW w:w="382" w:type="dxa"/>
            <w:vMerge w:val="continue"/>
            <w:noWrap w:val="0"/>
            <w:tcMar>
              <w:left w:w="0" w:type="dxa"/>
              <w:right w:w="0" w:type="dxa"/>
            </w:tcMar>
            <w:vAlign w:val="center"/>
          </w:tcPr>
          <w:p>
            <w:pPr>
              <w:widowControl/>
              <w:adjustRightInd w:val="0"/>
              <w:snapToGrid w:val="0"/>
              <w:jc w:val="left"/>
              <w:rPr>
                <w:rFonts w:hint="default" w:ascii="Times New Roman" w:hAnsi="Times New Roman" w:eastAsia="方正仿宋_GBK" w:cs="Times New Roman"/>
                <w:kern w:val="0"/>
                <w:szCs w:val="21"/>
              </w:rPr>
            </w:pPr>
          </w:p>
        </w:tc>
        <w:tc>
          <w:tcPr>
            <w:tcW w:w="504" w:type="dxa"/>
            <w:vMerge w:val="continue"/>
            <w:noWrap w:val="0"/>
            <w:tcMar>
              <w:left w:w="0" w:type="dxa"/>
              <w:right w:w="0" w:type="dxa"/>
            </w:tcMar>
            <w:vAlign w:val="center"/>
          </w:tcPr>
          <w:p>
            <w:pPr>
              <w:widowControl/>
              <w:adjustRightInd w:val="0"/>
              <w:snapToGrid w:val="0"/>
              <w:jc w:val="left"/>
              <w:rPr>
                <w:rFonts w:hint="default" w:ascii="Times New Roman" w:hAnsi="Times New Roman" w:eastAsia="方正仿宋_GBK" w:cs="Times New Roman"/>
                <w:kern w:val="0"/>
                <w:szCs w:val="21"/>
              </w:rPr>
            </w:pPr>
          </w:p>
        </w:tc>
        <w:tc>
          <w:tcPr>
            <w:tcW w:w="1308"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一级保护区</w:t>
            </w:r>
          </w:p>
        </w:tc>
        <w:tc>
          <w:tcPr>
            <w:tcW w:w="1170"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二级保护区</w:t>
            </w:r>
          </w:p>
        </w:tc>
        <w:tc>
          <w:tcPr>
            <w:tcW w:w="452"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准保</w:t>
            </w:r>
          </w:p>
          <w:p>
            <w:pPr>
              <w:widowControl/>
              <w:adjustRightInd w:val="0"/>
              <w:snapToGrid w:val="0"/>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护区</w:t>
            </w:r>
          </w:p>
        </w:tc>
        <w:tc>
          <w:tcPr>
            <w:tcW w:w="1335"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一级保护区</w:t>
            </w:r>
          </w:p>
        </w:tc>
        <w:tc>
          <w:tcPr>
            <w:tcW w:w="1335"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二级保护区</w:t>
            </w:r>
          </w:p>
        </w:tc>
        <w:tc>
          <w:tcPr>
            <w:tcW w:w="854"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准保</w:t>
            </w:r>
          </w:p>
          <w:p>
            <w:pPr>
              <w:widowControl/>
              <w:adjustRightInd w:val="0"/>
              <w:snapToGrid w:val="0"/>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护区</w:t>
            </w:r>
          </w:p>
        </w:tc>
        <w:tc>
          <w:tcPr>
            <w:tcW w:w="508" w:type="dxa"/>
            <w:vMerge w:val="continue"/>
            <w:noWrap w:val="0"/>
            <w:tcMar>
              <w:left w:w="0" w:type="dxa"/>
              <w:right w:w="0" w:type="dxa"/>
            </w:tcMar>
            <w:vAlign w:val="center"/>
          </w:tcPr>
          <w:p>
            <w:pPr>
              <w:widowControl/>
              <w:adjustRightInd w:val="0"/>
              <w:snapToGrid w:val="0"/>
              <w:jc w:val="left"/>
              <w:rPr>
                <w:rFonts w:hint="default" w:ascii="Times New Roman" w:hAnsi="Times New Roman" w:eastAsia="方正仿宋_GBK" w:cs="Times New Roman"/>
                <w:kern w:val="0"/>
                <w:szCs w:val="21"/>
              </w:rPr>
            </w:pPr>
          </w:p>
        </w:tc>
        <w:tc>
          <w:tcPr>
            <w:tcW w:w="372" w:type="dxa"/>
            <w:vMerge w:val="continue"/>
            <w:noWrap w:val="0"/>
            <w:tcMar>
              <w:left w:w="0" w:type="dxa"/>
              <w:right w:w="0" w:type="dxa"/>
            </w:tcMar>
            <w:vAlign w:val="center"/>
          </w:tcPr>
          <w:p>
            <w:pPr>
              <w:widowControl/>
              <w:adjustRightInd w:val="0"/>
              <w:snapToGrid w:val="0"/>
              <w:jc w:val="left"/>
              <w:rPr>
                <w:rFonts w:hint="default" w:ascii="Times New Roman"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452" w:type="dxa"/>
            <w:vMerge w:val="restart"/>
            <w:noWrap w:val="0"/>
            <w:tcMar>
              <w:left w:w="0" w:type="dxa"/>
              <w:right w:w="0" w:type="dxa"/>
            </w:tcMar>
            <w:vAlign w:val="center"/>
          </w:tcPr>
          <w:p>
            <w:pPr>
              <w:widowControl/>
              <w:adjustRightInd w:val="0"/>
              <w:snapToGrid w:val="0"/>
              <w:jc w:val="lef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淮南市淮河水源地</w:t>
            </w:r>
          </w:p>
        </w:tc>
        <w:tc>
          <w:tcPr>
            <w:tcW w:w="477"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571"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袁庄水厂</w:t>
            </w:r>
          </w:p>
        </w:tc>
        <w:tc>
          <w:tcPr>
            <w:tcW w:w="382"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淮河</w:t>
            </w:r>
          </w:p>
        </w:tc>
        <w:tc>
          <w:tcPr>
            <w:tcW w:w="504"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6</w:t>
            </w:r>
          </w:p>
        </w:tc>
        <w:tc>
          <w:tcPr>
            <w:tcW w:w="1308"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淮河北岔取水口上游1395m至下游200m</w:t>
            </w:r>
          </w:p>
          <w:p>
            <w:pPr>
              <w:widowControl/>
              <w:adjustRightInd w:val="0"/>
              <w:snapToGrid w:val="0"/>
              <w:jc w:val="center"/>
              <w:rPr>
                <w:rFonts w:hint="default" w:ascii="Times New Roman" w:hAnsi="Times New Roman" w:eastAsia="方正仿宋_GBK" w:cs="Times New Roman"/>
                <w:kern w:val="0"/>
                <w:szCs w:val="21"/>
              </w:rPr>
            </w:pPr>
          </w:p>
        </w:tc>
        <w:tc>
          <w:tcPr>
            <w:tcW w:w="1170"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一级保护区上界上溯3km的淮河北岔防洪堤内的水域</w:t>
            </w:r>
          </w:p>
        </w:tc>
        <w:tc>
          <w:tcPr>
            <w:tcW w:w="452"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1335"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一级保护区水域北侧纵深200m的陆域</w:t>
            </w:r>
          </w:p>
        </w:tc>
        <w:tc>
          <w:tcPr>
            <w:tcW w:w="1335"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二级保护区水域两侧纵深各200m的陆域</w:t>
            </w:r>
          </w:p>
        </w:tc>
        <w:tc>
          <w:tcPr>
            <w:tcW w:w="854"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508"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已划分</w:t>
            </w:r>
          </w:p>
        </w:tc>
        <w:tc>
          <w:tcPr>
            <w:tcW w:w="372" w:type="dxa"/>
            <w:vMerge w:val="restart"/>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安徽省政府已批准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452" w:type="dxa"/>
            <w:vMerge w:val="continue"/>
            <w:noWrap w:val="0"/>
            <w:tcMar>
              <w:left w:w="0" w:type="dxa"/>
              <w:right w:w="0" w:type="dxa"/>
            </w:tcMar>
            <w:vAlign w:val="center"/>
          </w:tcPr>
          <w:p>
            <w:pPr>
              <w:widowControl/>
              <w:adjustRightInd w:val="0"/>
              <w:snapToGrid w:val="0"/>
              <w:jc w:val="left"/>
              <w:rPr>
                <w:rFonts w:hint="default" w:ascii="Times New Roman" w:hAnsi="Times New Roman" w:eastAsia="方正仿宋_GBK" w:cs="Times New Roman"/>
                <w:kern w:val="0"/>
                <w:szCs w:val="21"/>
              </w:rPr>
            </w:pPr>
          </w:p>
        </w:tc>
        <w:tc>
          <w:tcPr>
            <w:tcW w:w="477"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w:t>
            </w:r>
          </w:p>
        </w:tc>
        <w:tc>
          <w:tcPr>
            <w:tcW w:w="571"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凤台地下水厂</w:t>
            </w:r>
          </w:p>
        </w:tc>
        <w:tc>
          <w:tcPr>
            <w:tcW w:w="382"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淮河</w:t>
            </w:r>
          </w:p>
        </w:tc>
        <w:tc>
          <w:tcPr>
            <w:tcW w:w="504"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1308"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1170"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452"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1335"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以1号、2号、8号开采井为中心，半径为215m的圆形区域</w:t>
            </w:r>
          </w:p>
        </w:tc>
        <w:tc>
          <w:tcPr>
            <w:tcW w:w="1335"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以1号、2号、8号开采井为中心，内半径为215m，外半径为2145m的环形区域</w:t>
            </w:r>
          </w:p>
        </w:tc>
        <w:tc>
          <w:tcPr>
            <w:tcW w:w="854"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p>
        </w:tc>
        <w:tc>
          <w:tcPr>
            <w:tcW w:w="508" w:type="dxa"/>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已划分</w:t>
            </w:r>
          </w:p>
        </w:tc>
        <w:tc>
          <w:tcPr>
            <w:tcW w:w="372" w:type="dxa"/>
            <w:vMerge w:val="continue"/>
            <w:noWrap w:val="0"/>
            <w:tcMar>
              <w:left w:w="0" w:type="dxa"/>
              <w:right w:w="0" w:type="dxa"/>
            </w:tcMar>
            <w:vAlign w:val="center"/>
          </w:tcPr>
          <w:p>
            <w:pPr>
              <w:widowControl/>
              <w:adjustRightInd w:val="0"/>
              <w:snapToGrid w:val="0"/>
              <w:rPr>
                <w:rFonts w:hint="default" w:ascii="Times New Roman" w:hAnsi="Times New Roman" w:eastAsia="方正仿宋_GBK" w:cs="Times New Roman"/>
                <w:kern w:val="0"/>
                <w:szCs w:val="21"/>
              </w:rPr>
            </w:pPr>
          </w:p>
        </w:tc>
      </w:tr>
    </w:tbl>
    <w:p>
      <w:pPr>
        <w:pStyle w:val="2"/>
        <w:keepNext w:val="0"/>
        <w:keepLines w:val="0"/>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鉴于《安徽省饮用水水源环境保护条例》（2016）中相关规定，保护区重新调整和划定的，按《饮用水水源保护区划分技术规范（HJ T338-2007）》方案执行。划分建议如下：</w:t>
      </w:r>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eastAsia" w:ascii="方正仿宋_GBK" w:hAnsi="方正仿宋_GBK" w:eastAsia="方正仿宋_GBK" w:cs="方正仿宋_GBK"/>
          <w:b/>
          <w:bCs/>
          <w:kern w:val="21"/>
          <w:sz w:val="32"/>
          <w:szCs w:val="32"/>
          <w:lang w:val="en-US" w:eastAsia="zh-CN" w:bidi="ar-SA"/>
        </w:rPr>
      </w:pPr>
      <w:r>
        <w:rPr>
          <w:rFonts w:hint="eastAsia" w:ascii="方正仿宋_GBK" w:hAnsi="方正仿宋_GBK" w:eastAsia="方正仿宋_GBK" w:cs="方正仿宋_GBK"/>
          <w:b/>
          <w:bCs/>
          <w:kern w:val="21"/>
          <w:sz w:val="32"/>
          <w:szCs w:val="32"/>
          <w:lang w:val="en-US" w:eastAsia="zh-CN" w:bidi="ar-SA"/>
        </w:rPr>
        <w:t>（一）毛集实验区水厂、凤台县水厂、李嘴孜水厂、寿县二水厂、平山头水厂水源地保护区划分</w:t>
      </w:r>
    </w:p>
    <w:p>
      <w:pPr>
        <w:pStyle w:val="2"/>
        <w:keepNext w:val="0"/>
        <w:keepLines w:val="0"/>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一级保护区：各水厂取水口上游1000m至下游100m范围内河道水域，以及河道中泓线至取水口一侧河道5年一遇洪水所能淹没河岸边界线河宽水域为饮用水水源一级保护区水域。</w:t>
      </w:r>
    </w:p>
    <w:p>
      <w:pPr>
        <w:pStyle w:val="2"/>
        <w:keepNext w:val="0"/>
        <w:keepLines w:val="0"/>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陆域长度与一级保护区水域长度相同、沿岸纵深至防洪堤被水面坡脚为饮用水水源一级保护区陆域，正常水位下，若沿岸纵深与河岸水平距离＜50m的，以50m计；水质管理目标为GB3838-2002的Ⅱ类。</w:t>
      </w:r>
    </w:p>
    <w:p>
      <w:pPr>
        <w:pStyle w:val="2"/>
        <w:keepNext w:val="0"/>
        <w:keepLines w:val="0"/>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二级保护区：一级保护区上游边界上溯2500m至下游200m范围内河道水域，一级保护区向外10年一遇洪水所能淹没区域，有防洪堤的河段二级保护区水域宽度为防洪堤内水域。</w:t>
      </w:r>
    </w:p>
    <w:p>
      <w:pPr>
        <w:pStyle w:val="2"/>
        <w:keepNext w:val="0"/>
        <w:keepLines w:val="0"/>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陆域长度与二级保护区水域长度相同、沿岸纵深至防洪堤被水面坡脚为饮用水水源一级保护区陆域，正常水位下，若沿岸纵深与河岸水平距离＜50m的，以50m计；水质管理目标为GB3838-2002的III类。</w:t>
      </w:r>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eastAsia" w:ascii="方正仿宋_GBK" w:hAnsi="方正仿宋_GBK" w:eastAsia="方正仿宋_GBK" w:cs="方正仿宋_GBK"/>
          <w:b/>
          <w:bCs/>
          <w:kern w:val="21"/>
          <w:sz w:val="32"/>
          <w:szCs w:val="32"/>
          <w:lang w:val="en-US" w:eastAsia="zh-CN" w:bidi="ar-SA"/>
        </w:rPr>
      </w:pPr>
      <w:r>
        <w:rPr>
          <w:rFonts w:hint="eastAsia" w:ascii="方正仿宋_GBK" w:hAnsi="方正仿宋_GBK" w:eastAsia="方正仿宋_GBK" w:cs="方正仿宋_GBK"/>
          <w:b/>
          <w:bCs/>
          <w:kern w:val="21"/>
          <w:sz w:val="32"/>
          <w:szCs w:val="32"/>
          <w:lang w:val="en-US" w:eastAsia="zh-CN" w:bidi="ar-SA"/>
        </w:rPr>
        <w:t>（二）东部城区饮用水源地（四水厂、淮化水厂、一水厂、三水厂）</w:t>
      </w:r>
    </w:p>
    <w:p>
      <w:pPr>
        <w:pStyle w:val="2"/>
        <w:keepNext w:val="0"/>
        <w:keepLines w:val="0"/>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市辖淮河干流一、三水厂取水口合并后上移280m，其上溯1250m为淮化集团水厂取水口，淮化集团水厂取水口上溯200m为市四水厂取水口，</w:t>
      </w:r>
    </w:p>
    <w:p>
      <w:pPr>
        <w:pStyle w:val="2"/>
        <w:keepNext w:val="0"/>
        <w:keepLines w:val="0"/>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一级保护区：市一水厂取水口上移后，东部城区饮用水水源地取水口上游1000m至下游100m（共2550m）、以及淮河河道中泓线至取水口一侧河道5年一遇洪水所能淹没河岸边界线河宽水域为饮用水水源一级保护区水域。</w:t>
      </w:r>
    </w:p>
    <w:p>
      <w:pPr>
        <w:pStyle w:val="2"/>
        <w:keepNext w:val="0"/>
        <w:keepLines w:val="0"/>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陆域长度与一级保护区水域长度相同、沿岸纵深至防洪堤被水面坡脚为饮用水水源一级保护区陆域，正常水位下，若沿岸纵深与河岸水平距离＜50m的，以50m计；水质管理目标为GB3838-2002的Ⅱ类。</w:t>
      </w:r>
    </w:p>
    <w:p>
      <w:pPr>
        <w:pStyle w:val="2"/>
        <w:keepNext w:val="0"/>
        <w:keepLines w:val="0"/>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二级保护区：市一水厂取水口上移后，东部城区饮用水水源一级保护区上游边界上溯2500m至下游200m（共4750m），一级保护区向外10年一遇洪水所能淹没区域，有防洪堤的河段二级保护区水域宽度为第一道防洪堤内水域。</w:t>
      </w:r>
    </w:p>
    <w:p>
      <w:pPr>
        <w:pStyle w:val="2"/>
        <w:keepNext w:val="0"/>
        <w:keepLines w:val="0"/>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陆域长度与二级保护区水域长度相同、沿岸纵深至防洪堤被水面坡脚为饮用水水源一级保护区陆域，正常水位下，若沿岸纵深与河岸水平距离＜50m的，以50m计；水质管理目标为GB3838-2002的III类。</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eastAsia" w:ascii="方正楷体_GBK" w:hAnsi="方正楷体_GBK" w:eastAsia="方正楷体_GBK" w:cs="方正楷体_GBK"/>
          <w:bCs/>
          <w:sz w:val="32"/>
          <w:szCs w:val="32"/>
          <w:lang w:val="en-US" w:eastAsia="zh-CN"/>
        </w:rPr>
      </w:pPr>
      <w:bookmarkStart w:id="383" w:name="_Toc312309970"/>
      <w:bookmarkStart w:id="384" w:name="_Toc32501"/>
      <w:r>
        <w:rPr>
          <w:rFonts w:hint="eastAsia" w:ascii="方正楷体_GBK" w:hAnsi="方正楷体_GBK" w:eastAsia="方正楷体_GBK" w:cs="方正楷体_GBK"/>
          <w:bCs/>
          <w:sz w:val="32"/>
          <w:szCs w:val="32"/>
          <w:lang w:val="en-US" w:eastAsia="zh-CN"/>
        </w:rPr>
        <w:t>二、污染源综合治理</w:t>
      </w:r>
      <w:bookmarkEnd w:id="383"/>
      <w:bookmarkEnd w:id="384"/>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（1）详查湖泊周边，水源地保护</w:t>
      </w:r>
      <w:r>
        <w:rPr>
          <w:rFonts w:hint="default" w:ascii="Times New Roman" w:hAnsi="Times New Roman" w:eastAsia="方正仿宋_GBK" w:cs="Times New Roman"/>
          <w:sz w:val="32"/>
          <w:szCs w:val="32"/>
        </w:rPr>
        <w:t>区、准保护区内的污染源现状，关、停、迁对水源地水源有污染威胁的厂矿企业，湖泊周边，水源地保护区、准保护区内禁止倾倒垃圾及其它废弃物、运输有毒有害物质，禁止在湖泊内进行投放饵料的水产养殖活动。加大对河流湖泊水下底泥的治理，降低底泥对水体的水质持续污染。</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（2）严禁在水源地上游新建污染类建设项目，禁止在湖泊周边及输水线路上设置入河排污口，现有入河排污口全部限期关闭，全面提升水源地安全保障程度。</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（3）统筹规划城市污水处理厂、污水管网建设，加大现有污水处理厂技术改造更新换代及配套管网建设工作，加大已投入运行的污水处理厂的监管力度，实现污水处理厂正常运转。</w:t>
      </w:r>
    </w:p>
    <w:p>
      <w:pPr>
        <w:pStyle w:val="2"/>
        <w:keepNext w:val="0"/>
        <w:keepLines w:val="0"/>
        <w:pageBreakBefore w:val="0"/>
        <w:widowControl w:val="0"/>
        <w:kinsoku/>
        <w:wordWrap/>
        <w:overflowPunct/>
        <w:autoSpaceDE/>
        <w:autoSpaceDN/>
        <w:bidi w:val="0"/>
        <w:spacing w:line="590" w:lineRule="exact"/>
        <w:ind w:firstLine="486"/>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淮河干流是淮河两岸的主要水上行道，水源地过往船只较多，船舶在正常条件下排放一定量的污染物（主要是油类）外，有时发生的油船事故突发性污染。应按照已划定的船舶驱离工作方案，驱离保护区内非法停靠船舶，加强日常巡航，建立长效机制。</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eastAsia" w:ascii="方正楷体_GBK" w:hAnsi="方正楷体_GBK" w:eastAsia="方正楷体_GBK" w:cs="方正楷体_GBK"/>
          <w:bCs/>
          <w:sz w:val="32"/>
          <w:szCs w:val="32"/>
          <w:lang w:val="en-US" w:eastAsia="zh-CN"/>
        </w:rPr>
      </w:pPr>
      <w:bookmarkStart w:id="385" w:name="_Toc312309971"/>
      <w:bookmarkStart w:id="386" w:name="_Toc7983"/>
      <w:r>
        <w:rPr>
          <w:rFonts w:hint="eastAsia" w:ascii="方正楷体_GBK" w:hAnsi="方正楷体_GBK" w:eastAsia="方正楷体_GBK" w:cs="方正楷体_GBK"/>
          <w:bCs/>
          <w:sz w:val="32"/>
          <w:szCs w:val="32"/>
          <w:lang w:val="en-US" w:eastAsia="zh-CN"/>
        </w:rPr>
        <w:t>三、面源污染的整治</w:t>
      </w:r>
      <w:bookmarkEnd w:id="385"/>
      <w:bookmarkEnd w:id="386"/>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（1）设置必要的网围栏和封禁标牌，限制人畜活动；</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（2）对农村生活垃圾和污水采取集中堆放、收集和处理，结合新农村建设，建设小型污水净化处理设施和农村生活垃圾集中处理场，以自然村为单位进行垃圾处理；</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（3）结合舍饲养畜进行牲畜圈改造，采取“猪－沼－果”等生态农业模式。减少降雨冲刷造成污染物的流失；</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（4）对农业用地提出农药化肥减量、节水农业要求及技术推广方案，逐步禁止高毒、高残留农药化肥的使用。</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eastAsia" w:ascii="方正楷体_GBK" w:hAnsi="方正楷体_GBK" w:eastAsia="方正楷体_GBK" w:cs="方正楷体_GBK"/>
          <w:bCs/>
          <w:sz w:val="32"/>
          <w:szCs w:val="32"/>
          <w:lang w:val="en-US" w:eastAsia="zh-CN"/>
        </w:rPr>
      </w:pPr>
      <w:bookmarkStart w:id="387" w:name="_Toc312309973"/>
      <w:bookmarkStart w:id="388" w:name="_Toc293556899"/>
      <w:bookmarkStart w:id="389" w:name="_Toc2795"/>
      <w:r>
        <w:rPr>
          <w:rFonts w:hint="eastAsia" w:ascii="方正楷体_GBK" w:hAnsi="方正楷体_GBK" w:eastAsia="方正楷体_GBK" w:cs="方正楷体_GBK"/>
          <w:bCs/>
          <w:sz w:val="32"/>
          <w:szCs w:val="32"/>
          <w:lang w:val="en-US" w:eastAsia="zh-CN"/>
        </w:rPr>
        <w:t>四、建立有效的水源地监控体系</w:t>
      </w:r>
      <w:bookmarkEnd w:id="387"/>
      <w:bookmarkEnd w:id="388"/>
      <w:bookmarkEnd w:id="389"/>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kern w:val="21"/>
          <w:sz w:val="32"/>
          <w:szCs w:val="32"/>
          <w:lang w:val="en-US" w:eastAsia="zh-CN" w:bidi="ar-SA"/>
        </w:rPr>
      </w:pPr>
      <w:bookmarkStart w:id="390" w:name="_Toc173859369"/>
      <w:bookmarkStart w:id="391" w:name="_Toc238269827"/>
      <w:r>
        <w:rPr>
          <w:rFonts w:hint="default" w:ascii="Times New Roman" w:hAnsi="Times New Roman" w:eastAsia="方正仿宋_GBK" w:cs="Times New Roman"/>
          <w:b/>
          <w:bCs/>
          <w:kern w:val="21"/>
          <w:sz w:val="32"/>
          <w:szCs w:val="32"/>
          <w:lang w:val="en-US" w:eastAsia="zh-CN" w:bidi="ar-SA"/>
        </w:rPr>
        <w:t>（1）监控体系现状</w:t>
      </w:r>
      <w:bookmarkEnd w:id="390"/>
      <w:bookmarkEnd w:id="391"/>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目前，尚未建立起相对完整的水量水质监控体系，部分水源地设立有水质监测断面（点）及水量、水位监测点，地表水水源地水量、水位监测、地下水水位监测站点少，覆盖率低，基本上处于初始阶段。对突发有机毒物污染水源事件，缺乏应对的监测能力，影响供水安全。另一方面，部分水源地不同部门重复设置站点，执行规范不统一，数据不一致，水源地动态观测和水质监测工作基本上是各自因需而设，缺乏统一的规划，监测频次、监测时间、监测项目不统一，监测资料互补性不强，各部门之间监测结果不能共享，达不到对饮用水水源地进行监测管理的要求。受体制制约，监测成果分属各个部门，资料共享与信息发布与社会经济发展的需求相当不协调。</w:t>
      </w:r>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kern w:val="21"/>
          <w:sz w:val="32"/>
          <w:szCs w:val="32"/>
          <w:lang w:val="en-US" w:eastAsia="zh-CN" w:bidi="ar-SA"/>
        </w:rPr>
      </w:pPr>
      <w:bookmarkStart w:id="392" w:name="_Toc238269829"/>
      <w:r>
        <w:rPr>
          <w:rFonts w:hint="default" w:ascii="Times New Roman" w:hAnsi="Times New Roman" w:eastAsia="方正仿宋_GBK" w:cs="Times New Roman"/>
          <w:b/>
          <w:bCs/>
          <w:kern w:val="21"/>
          <w:sz w:val="32"/>
          <w:szCs w:val="32"/>
          <w:lang w:val="en-US" w:eastAsia="zh-CN" w:bidi="ar-SA"/>
        </w:rPr>
        <w:t>（2）监测站点的建设规划</w:t>
      </w:r>
    </w:p>
    <w:bookmarkEnd w:id="392"/>
    <w:p>
      <w:pPr>
        <w:keepNext w:val="0"/>
        <w:keepLines w:val="0"/>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规划在2020年前建设起覆盖全市14个主要水源地水质监测站点、水量、水位监测站点。到2030年前，监测站点覆盖全市所有水源地。</w:t>
      </w:r>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kern w:val="21"/>
          <w:sz w:val="32"/>
          <w:szCs w:val="32"/>
          <w:lang w:val="en-US" w:eastAsia="zh-CN" w:bidi="ar-SA"/>
        </w:rPr>
      </w:pPr>
      <w:r>
        <w:rPr>
          <w:rFonts w:hint="default" w:ascii="Times New Roman" w:hAnsi="Times New Roman" w:eastAsia="方正仿宋_GBK" w:cs="Times New Roman"/>
          <w:b/>
          <w:bCs/>
          <w:kern w:val="21"/>
          <w:sz w:val="32"/>
          <w:szCs w:val="32"/>
          <w:lang w:val="en-US" w:eastAsia="zh-CN" w:bidi="ar-SA"/>
        </w:rPr>
        <w:t>（3）监测项目规划</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水质监测：在现有监测项目的基础上，增加沉积物中有机质、重金属有机物、水中多环芳烃类等有机毒物的监测及水生生物监测（浮游动物）。</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条件成熟的水源地先期增加水量、水位监测，2020年前完成9个主要水源地水量、水位监测；将重要水源地水质、水量有机结合于一起。2030年前适当增加其他水源地的水量、水位监测。</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具体监测项目及监测频次、监测能力建设、应急监测、监控系统及信息管理系统等见水资源监测规划章节内容。</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eastAsia" w:ascii="方正楷体_GBK" w:hAnsi="方正楷体_GBK" w:eastAsia="方正楷体_GBK" w:cs="方正楷体_GBK"/>
          <w:bCs/>
          <w:sz w:val="32"/>
          <w:szCs w:val="32"/>
          <w:lang w:val="en-US" w:eastAsia="zh-CN"/>
        </w:rPr>
      </w:pPr>
      <w:bookmarkStart w:id="393" w:name="_Toc293556900"/>
      <w:bookmarkStart w:id="394" w:name="_Toc22060"/>
      <w:bookmarkStart w:id="395" w:name="_Toc312309974"/>
      <w:r>
        <w:rPr>
          <w:rFonts w:hint="eastAsia" w:ascii="方正楷体_GBK" w:hAnsi="方正楷体_GBK" w:eastAsia="方正楷体_GBK" w:cs="方正楷体_GBK"/>
          <w:bCs/>
          <w:sz w:val="32"/>
          <w:szCs w:val="32"/>
          <w:lang w:val="en-US" w:eastAsia="zh-CN"/>
        </w:rPr>
        <w:t>五、管理体制、机制与制度建设</w:t>
      </w:r>
      <w:bookmarkEnd w:id="393"/>
      <w:bookmarkEnd w:id="394"/>
      <w:bookmarkEnd w:id="395"/>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kern w:val="21"/>
          <w:sz w:val="32"/>
          <w:szCs w:val="32"/>
          <w:lang w:val="en-US" w:eastAsia="zh-CN" w:bidi="ar-SA"/>
        </w:rPr>
      </w:pPr>
      <w:bookmarkStart w:id="396" w:name="_Toc238269843"/>
      <w:bookmarkStart w:id="397" w:name="_Toc173859385"/>
      <w:r>
        <w:rPr>
          <w:rFonts w:hint="default" w:ascii="Times New Roman" w:hAnsi="Times New Roman" w:eastAsia="方正仿宋_GBK" w:cs="Times New Roman"/>
          <w:b/>
          <w:bCs/>
          <w:kern w:val="21"/>
          <w:sz w:val="32"/>
          <w:szCs w:val="32"/>
          <w:lang w:val="en-US" w:eastAsia="zh-CN" w:bidi="ar-SA"/>
        </w:rPr>
        <w:t>（1）管理体制</w:t>
      </w:r>
      <w:bookmarkEnd w:id="396"/>
      <w:bookmarkEnd w:id="397"/>
      <w:r>
        <w:rPr>
          <w:rFonts w:hint="default" w:ascii="Times New Roman" w:hAnsi="Times New Roman" w:eastAsia="方正仿宋_GBK" w:cs="Times New Roman"/>
          <w:b/>
          <w:bCs/>
          <w:kern w:val="21"/>
          <w:sz w:val="32"/>
          <w:szCs w:val="32"/>
          <w:lang w:val="en-US" w:eastAsia="zh-CN" w:bidi="ar-SA"/>
        </w:rPr>
        <w:t>和机制</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目前饮用水水源地管理机构主要有水行政主管部门、建委（建设局）、环境保护局、公共事业局、自来水公司（供水公司、自来水厂等）、河道局、水库管理部门等，上述单位具体对饮用水水源地进行日常管理和维护。规划在2020年前，建立起以水行政主管部门为主体、多部门联动对全市主要水源地实行统一管理，更好地促进水源地的各项建设工作和保护工作的顺利有序开展。</w:t>
      </w:r>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kern w:val="21"/>
          <w:sz w:val="32"/>
          <w:szCs w:val="32"/>
          <w:lang w:val="en-US" w:eastAsia="zh-CN" w:bidi="ar-SA"/>
        </w:rPr>
      </w:pPr>
      <w:bookmarkStart w:id="398" w:name="_Toc238269848"/>
      <w:bookmarkStart w:id="399" w:name="_Toc238269845"/>
      <w:bookmarkStart w:id="400" w:name="_Toc173859387"/>
      <w:r>
        <w:rPr>
          <w:rFonts w:hint="default" w:ascii="Times New Roman" w:hAnsi="Times New Roman" w:eastAsia="方正仿宋_GBK" w:cs="Times New Roman"/>
          <w:b/>
          <w:bCs/>
          <w:kern w:val="21"/>
          <w:sz w:val="32"/>
          <w:szCs w:val="32"/>
          <w:lang w:val="en-US" w:eastAsia="zh-CN" w:bidi="ar-SA"/>
        </w:rPr>
        <w:t>（2）加强饮用水水源保护区保护监督与管理</w:t>
      </w:r>
      <w:bookmarkEnd w:id="398"/>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① 市水行政主管部门负责本行政区域供水水源地监督管理、并协调其它有关部门的水源地保护工作，对辖区内重要供水水源地可组织制定具体的保护管理办法。</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② 在进一步加强污染源治理的同时，严格入河排污口管理工作，保障供水安全，努力实现水功能区水质管理目标。</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③ 建立健全水资源监测系统和水资源的污染预警制度，加强对饮用水水源地水质、水量的监测，实时掌握水源地水质水量时空变化情况，定期发布全市主要水源地水质水量信息。</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④ 因突发性事故造成或可能造成水源污染，使供水水源受到严重污染或威胁供水安全时，水行政主管部门报经同级人民政府批准后，对污染源采取强制性应急措施，并对重大水污染事故进行处理。</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⑤ 在城市饮用水源地保护区边界设立告示牌，护栏或围网，向公众公布水源地规模、水源保护区边界范围、水源地供水人口等信息。</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⑥ 制定水源地保护应急预案。为预防水污染提供强有力的组织、物质、通迅调度、技术支撑，建立水源地预警预报系统。</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⑦ 加强对水源地保护区的监督管理。禁止在水源保护区内设置排污口，在准保护区严格禁止建设污染企业或排放污染物，如需要在准保护区建设项目应经过有管辖权的水行政主管部门同意，编制环境影响报告书和建设项目水资源论证报告，经主管部门审批后方可进行。</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⑧ 根据《中华人民共和国水污染防治法》规定：禁止向水源地保护区内排放污水、禁止在水源地保护区内从事旅游、游泳和其它可能污染水源地水体的活动、禁止在水源地保护区内新建、扩建与供水设施和保护水源无关的建设项目、在水源地保护区内已经设置的排污口，由县级以上人民政府按照国务院规定的权限责令限期拆除或者限期治理。</w:t>
      </w:r>
    </w:p>
    <w:bookmarkEnd w:id="399"/>
    <w:bookmarkEnd w:id="400"/>
    <w:p>
      <w:pPr>
        <w:pStyle w:val="5"/>
        <w:keepNext w:val="0"/>
        <w:keepLines w:val="0"/>
        <w:pageBreakBefore w:val="0"/>
        <w:widowControl w:val="0"/>
        <w:kinsoku/>
        <w:wordWrap/>
        <w:overflowPunct/>
        <w:autoSpaceDE/>
        <w:autoSpaceDN/>
        <w:bidi w:val="0"/>
        <w:spacing w:line="590" w:lineRule="exact"/>
        <w:ind w:firstLine="568"/>
        <w:rPr>
          <w:rFonts w:hint="eastAsia" w:ascii="方正楷体_GBK" w:hAnsi="方正楷体_GBK" w:eastAsia="方正楷体_GBK" w:cs="方正楷体_GBK"/>
          <w:b w:val="0"/>
          <w:bCs/>
          <w:sz w:val="32"/>
          <w:szCs w:val="32"/>
        </w:rPr>
      </w:pPr>
      <w:bookmarkStart w:id="401" w:name="_Toc11771"/>
      <w:bookmarkStart w:id="402" w:name="_Toc312309975"/>
      <w:bookmarkStart w:id="403" w:name="_Toc293556901"/>
      <w:r>
        <w:rPr>
          <w:rFonts w:hint="eastAsia" w:ascii="方正楷体_GBK" w:hAnsi="方正楷体_GBK" w:eastAsia="方正楷体_GBK" w:cs="方正楷体_GBK"/>
          <w:b w:val="0"/>
          <w:bCs/>
          <w:sz w:val="32"/>
          <w:szCs w:val="32"/>
          <w:lang w:eastAsia="zh-CN"/>
        </w:rPr>
        <w:t>六</w:t>
      </w:r>
      <w:r>
        <w:rPr>
          <w:rFonts w:hint="eastAsia" w:ascii="方正楷体_GBK" w:hAnsi="方正楷体_GBK" w:eastAsia="方正楷体_GBK" w:cs="方正楷体_GBK"/>
          <w:b w:val="0"/>
          <w:bCs/>
          <w:sz w:val="32"/>
          <w:szCs w:val="32"/>
        </w:rPr>
        <w:t>、应急预案</w:t>
      </w:r>
      <w:bookmarkEnd w:id="401"/>
      <w:bookmarkEnd w:id="402"/>
      <w:bookmarkEnd w:id="403"/>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kern w:val="21"/>
          <w:sz w:val="32"/>
          <w:szCs w:val="32"/>
          <w:lang w:val="en-US" w:eastAsia="zh-CN" w:bidi="ar-SA"/>
        </w:rPr>
      </w:pPr>
      <w:r>
        <w:rPr>
          <w:rFonts w:hint="default" w:ascii="Times New Roman" w:hAnsi="Times New Roman" w:eastAsia="方正仿宋_GBK" w:cs="Times New Roman"/>
          <w:b/>
          <w:bCs/>
          <w:kern w:val="21"/>
          <w:sz w:val="32"/>
          <w:szCs w:val="32"/>
          <w:lang w:val="en-US" w:eastAsia="zh-CN" w:bidi="ar-SA"/>
        </w:rPr>
        <w:t>（1）应急预案级别划分</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城市供水系统主要存在水量和水质两类应急类型。根据水旱灾害、水源地污染、地震灾害、战争、恐怖袭击等自然因素和人为因素来划分三级城市供水应急预案。</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城市供水应急预案分三级制定，级别越高预案的措施越严厉，其划分标准见表8.6-3。</w:t>
      </w:r>
    </w:p>
    <w:p>
      <w:pPr>
        <w:keepNext w:val="0"/>
        <w:keepLines w:val="0"/>
        <w:pageBreakBefore w:val="0"/>
        <w:widowControl w:val="0"/>
        <w:kinsoku/>
        <w:wordWrap/>
        <w:overflowPunct/>
        <w:autoSpaceDE/>
        <w:autoSpaceDN/>
        <w:bidi w:val="0"/>
        <w:adjustRightInd w:val="0"/>
        <w:snapToGrid w:val="0"/>
        <w:spacing w:line="590" w:lineRule="exact"/>
        <w:ind w:firstLine="643" w:firstLineChars="200"/>
        <w:rPr>
          <w:rFonts w:hint="default" w:ascii="Times New Roman" w:hAnsi="Times New Roman" w:eastAsia="方正仿宋_GBK" w:cs="Times New Roman"/>
          <w:b/>
          <w:bCs/>
          <w:kern w:val="21"/>
          <w:sz w:val="32"/>
          <w:szCs w:val="32"/>
          <w:lang w:val="en-US" w:eastAsia="zh-CN" w:bidi="ar-SA"/>
        </w:rPr>
      </w:pPr>
      <w:r>
        <w:rPr>
          <w:rFonts w:hint="default" w:ascii="Times New Roman" w:hAnsi="Times New Roman" w:eastAsia="方正仿宋_GBK" w:cs="Times New Roman"/>
          <w:b/>
          <w:bCs/>
          <w:kern w:val="21"/>
          <w:sz w:val="32"/>
          <w:szCs w:val="32"/>
          <w:lang w:val="en-US" w:eastAsia="zh-CN" w:bidi="ar-SA"/>
        </w:rPr>
        <w:t>（2）应急对策</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① 启用备用水源对策</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482"/>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出现紧急状况时，应及时启用各市应急备用水源，确保人民饮水和城市供水安全。淮南市应急备用水源见表8.6-4。</w:t>
      </w:r>
    </w:p>
    <w:p>
      <w:pPr>
        <w:keepNext w:val="0"/>
        <w:keepLines w:val="0"/>
        <w:pageBreakBefore w:val="0"/>
        <w:widowControl w:val="0"/>
        <w:kinsoku/>
        <w:wordWrap/>
        <w:overflowPunct/>
        <w:autoSpaceDE/>
        <w:autoSpaceDN/>
        <w:bidi w:val="0"/>
        <w:adjustRightInd w:val="0"/>
        <w:snapToGrid w:val="0"/>
        <w:spacing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② 优先用水对策</w:t>
      </w:r>
    </w:p>
    <w:p>
      <w:pPr>
        <w:keepNext w:val="0"/>
        <w:keepLines w:val="0"/>
        <w:pageBreakBefore w:val="0"/>
        <w:widowControl w:val="0"/>
        <w:tabs>
          <w:tab w:val="left" w:pos="525"/>
        </w:tabs>
        <w:kinsoku/>
        <w:wordWrap/>
        <w:overflowPunct/>
        <w:autoSpaceDE/>
        <w:autoSpaceDN/>
        <w:bidi w:val="0"/>
        <w:adjustRightInd w:val="0"/>
        <w:snapToGrid w:val="0"/>
        <w:spacing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在水资源出现短缺、供水紧急状态下，坚持遵循“先生活，后生产”的原则，应首先保证城市人民生活需要，维护社会安定为基本原则，保障人民生活供水；其次是保证生活必需品的生产供水；三是保证城市支柱产业的重点工业用水。</w:t>
      </w:r>
    </w:p>
    <w:p>
      <w:pPr>
        <w:tabs>
          <w:tab w:val="left" w:pos="525"/>
        </w:tabs>
        <w:adjustRightInd w:val="0"/>
        <w:snapToGrid w:val="0"/>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表8.6-3 城市供水应急预案级别划分</w:t>
      </w:r>
    </w:p>
    <w:tbl>
      <w:tblPr>
        <w:tblStyle w:val="12"/>
        <w:tblW w:w="0" w:type="auto"/>
        <w:jc w:val="center"/>
        <w:tblLayout w:type="fixed"/>
        <w:tblCellMar>
          <w:top w:w="0" w:type="dxa"/>
          <w:left w:w="108" w:type="dxa"/>
          <w:bottom w:w="0" w:type="dxa"/>
          <w:right w:w="108" w:type="dxa"/>
        </w:tblCellMar>
      </w:tblPr>
      <w:tblGrid>
        <w:gridCol w:w="885"/>
        <w:gridCol w:w="745"/>
        <w:gridCol w:w="7570"/>
      </w:tblGrid>
      <w:tr>
        <w:tblPrEx>
          <w:tblCellMar>
            <w:top w:w="0" w:type="dxa"/>
            <w:left w:w="108" w:type="dxa"/>
            <w:bottom w:w="0" w:type="dxa"/>
            <w:right w:w="108" w:type="dxa"/>
          </w:tblCellMar>
        </w:tblPrEx>
        <w:trPr>
          <w:trHeight w:val="510" w:hRule="atLeast"/>
          <w:jc w:val="center"/>
        </w:trPr>
        <w:tc>
          <w:tcPr>
            <w:tcW w:w="885"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状态</w:t>
            </w:r>
          </w:p>
        </w:tc>
        <w:tc>
          <w:tcPr>
            <w:tcW w:w="745" w:type="dxa"/>
            <w:tcBorders>
              <w:top w:val="single" w:color="auto" w:sz="4" w:space="0"/>
              <w:left w:val="nil"/>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级别</w:t>
            </w:r>
          </w:p>
        </w:tc>
        <w:tc>
          <w:tcPr>
            <w:tcW w:w="7570" w:type="dxa"/>
            <w:tcBorders>
              <w:top w:val="single" w:color="auto" w:sz="4" w:space="0"/>
              <w:left w:val="nil"/>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判定具体标准</w:t>
            </w:r>
          </w:p>
        </w:tc>
      </w:tr>
      <w:tr>
        <w:tblPrEx>
          <w:tblCellMar>
            <w:top w:w="0" w:type="dxa"/>
            <w:left w:w="108" w:type="dxa"/>
            <w:bottom w:w="0" w:type="dxa"/>
            <w:right w:w="108" w:type="dxa"/>
          </w:tblCellMar>
        </w:tblPrEx>
        <w:trPr>
          <w:trHeight w:val="1506" w:hRule="atLeast"/>
          <w:jc w:val="center"/>
        </w:trPr>
        <w:tc>
          <w:tcPr>
            <w:tcW w:w="885" w:type="dxa"/>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基本应</w:t>
            </w:r>
          </w:p>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急状态</w:t>
            </w:r>
          </w:p>
        </w:tc>
        <w:tc>
          <w:tcPr>
            <w:tcW w:w="745" w:type="dxa"/>
            <w:tcBorders>
              <w:top w:val="nil"/>
              <w:left w:val="nil"/>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一级:</w:t>
            </w:r>
          </w:p>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黄色</w:t>
            </w:r>
          </w:p>
        </w:tc>
        <w:tc>
          <w:tcPr>
            <w:tcW w:w="7570" w:type="dxa"/>
            <w:tcBorders>
              <w:top w:val="nil"/>
              <w:left w:val="nil"/>
              <w:bottom w:val="single" w:color="auto" w:sz="4" w:space="0"/>
              <w:right w:val="single" w:color="auto" w:sz="4" w:space="0"/>
            </w:tcBorders>
            <w:noWrap w:val="0"/>
            <w:tcMar>
              <w:left w:w="0" w:type="dxa"/>
              <w:right w:w="0" w:type="dxa"/>
            </w:tcMar>
            <w:vAlign w:val="center"/>
          </w:tcPr>
          <w:p>
            <w:pPr>
              <w:widowControl/>
              <w:adjustRightInd w:val="0"/>
              <w:snapToGrid w:val="0"/>
              <w:jc w:val="lef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 1、出现连续3个干旱年，地表水源地蓄水量基本不能满足供水量；</w:t>
            </w:r>
          </w:p>
          <w:p>
            <w:pPr>
              <w:widowControl/>
              <w:adjustRightInd w:val="0"/>
              <w:snapToGrid w:val="0"/>
              <w:jc w:val="lef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 2、发生6级以下地震，供水系统设备受到破坏，部分地区短时间停水；</w:t>
            </w:r>
          </w:p>
          <w:p>
            <w:pPr>
              <w:widowControl/>
              <w:adjustRightInd w:val="0"/>
              <w:snapToGrid w:val="0"/>
              <w:jc w:val="lef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 3、水源水质受到轻度污染，即水中出现轻度异味，主要感观指标超过1倍以上。</w:t>
            </w:r>
          </w:p>
        </w:tc>
      </w:tr>
      <w:tr>
        <w:tblPrEx>
          <w:tblCellMar>
            <w:top w:w="0" w:type="dxa"/>
            <w:left w:w="108" w:type="dxa"/>
            <w:bottom w:w="0" w:type="dxa"/>
            <w:right w:w="108" w:type="dxa"/>
          </w:tblCellMar>
        </w:tblPrEx>
        <w:trPr>
          <w:trHeight w:val="1545" w:hRule="atLeast"/>
          <w:jc w:val="center"/>
        </w:trPr>
        <w:tc>
          <w:tcPr>
            <w:tcW w:w="885" w:type="dxa"/>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紧急应</w:t>
            </w:r>
          </w:p>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急状态</w:t>
            </w:r>
          </w:p>
        </w:tc>
        <w:tc>
          <w:tcPr>
            <w:tcW w:w="745" w:type="dxa"/>
            <w:tcBorders>
              <w:top w:val="nil"/>
              <w:left w:val="nil"/>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二级:</w:t>
            </w:r>
          </w:p>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橙色</w:t>
            </w:r>
          </w:p>
        </w:tc>
        <w:tc>
          <w:tcPr>
            <w:tcW w:w="7570" w:type="dxa"/>
            <w:tcBorders>
              <w:top w:val="nil"/>
              <w:left w:val="nil"/>
              <w:bottom w:val="single" w:color="auto" w:sz="4" w:space="0"/>
              <w:right w:val="single" w:color="auto" w:sz="4" w:space="0"/>
            </w:tcBorders>
            <w:noWrap w:val="0"/>
            <w:tcMar>
              <w:left w:w="0" w:type="dxa"/>
              <w:right w:w="0" w:type="dxa"/>
            </w:tcMar>
            <w:vAlign w:val="center"/>
          </w:tcPr>
          <w:p>
            <w:pPr>
              <w:widowControl/>
              <w:adjustRightInd w:val="0"/>
              <w:snapToGrid w:val="0"/>
              <w:jc w:val="lef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 1、出现连续3个以上干旱年和特殊干旱年，地表水源地蓄水量不能满足供水量；</w:t>
            </w:r>
          </w:p>
          <w:p>
            <w:pPr>
              <w:widowControl/>
              <w:adjustRightInd w:val="0"/>
              <w:snapToGrid w:val="0"/>
              <w:jc w:val="lef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 2、发生6级以上地震，水源地受到破坏，供水系统设备受到严重破坏；</w:t>
            </w:r>
          </w:p>
          <w:p>
            <w:pPr>
              <w:widowControl/>
              <w:adjustRightInd w:val="0"/>
              <w:snapToGrid w:val="0"/>
              <w:jc w:val="lef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 3、水源地水质受到严重污染，水源地水体为Ⅴ类，水厂出水水质无法满足要求；</w:t>
            </w:r>
          </w:p>
          <w:p>
            <w:pPr>
              <w:widowControl/>
              <w:adjustRightInd w:val="0"/>
              <w:snapToGrid w:val="0"/>
              <w:jc w:val="lef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 4、洪水破坏水源地的工程；</w:t>
            </w:r>
          </w:p>
          <w:p>
            <w:pPr>
              <w:widowControl/>
              <w:adjustRightInd w:val="0"/>
              <w:snapToGrid w:val="0"/>
              <w:jc w:val="lef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 5、战争、恐怖袭击、企业排污、交通事故、人为投毒等突发事件造成水源地破坏。</w:t>
            </w:r>
          </w:p>
        </w:tc>
      </w:tr>
      <w:tr>
        <w:tblPrEx>
          <w:tblCellMar>
            <w:top w:w="0" w:type="dxa"/>
            <w:left w:w="108" w:type="dxa"/>
            <w:bottom w:w="0" w:type="dxa"/>
            <w:right w:w="108" w:type="dxa"/>
          </w:tblCellMar>
        </w:tblPrEx>
        <w:trPr>
          <w:trHeight w:val="1565" w:hRule="atLeast"/>
          <w:jc w:val="center"/>
        </w:trPr>
        <w:tc>
          <w:tcPr>
            <w:tcW w:w="885" w:type="dxa"/>
            <w:tcBorders>
              <w:top w:val="nil"/>
              <w:left w:val="single" w:color="auto" w:sz="4" w:space="0"/>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极端应</w:t>
            </w:r>
          </w:p>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急状态</w:t>
            </w:r>
          </w:p>
        </w:tc>
        <w:tc>
          <w:tcPr>
            <w:tcW w:w="745" w:type="dxa"/>
            <w:tcBorders>
              <w:top w:val="nil"/>
              <w:left w:val="nil"/>
              <w:bottom w:val="single" w:color="auto" w:sz="4" w:space="0"/>
              <w:right w:val="single" w:color="auto" w:sz="4" w:space="0"/>
            </w:tcBorders>
            <w:noWrap w:val="0"/>
            <w:tcMar>
              <w:left w:w="0" w:type="dxa"/>
              <w:right w:w="0" w:type="dxa"/>
            </w:tcMar>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三级:</w:t>
            </w:r>
          </w:p>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红色</w:t>
            </w:r>
          </w:p>
        </w:tc>
        <w:tc>
          <w:tcPr>
            <w:tcW w:w="7570" w:type="dxa"/>
            <w:tcBorders>
              <w:top w:val="nil"/>
              <w:left w:val="nil"/>
              <w:bottom w:val="single" w:color="auto" w:sz="4" w:space="0"/>
              <w:right w:val="single" w:color="auto" w:sz="4" w:space="0"/>
            </w:tcBorders>
            <w:noWrap w:val="0"/>
            <w:tcMar>
              <w:left w:w="0" w:type="dxa"/>
              <w:right w:w="0" w:type="dxa"/>
            </w:tcMar>
            <w:vAlign w:val="center"/>
          </w:tcPr>
          <w:p>
            <w:pPr>
              <w:widowControl/>
              <w:adjustRightInd w:val="0"/>
              <w:snapToGrid w:val="0"/>
              <w:jc w:val="lef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 1、出现特别重大干旱年，地表水源地蓄水量严重不足；</w:t>
            </w:r>
          </w:p>
          <w:p>
            <w:pPr>
              <w:widowControl/>
              <w:adjustRightInd w:val="0"/>
              <w:snapToGrid w:val="0"/>
              <w:jc w:val="lef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 2、地震灾害造成多个水源地无法供水；</w:t>
            </w:r>
          </w:p>
          <w:p>
            <w:pPr>
              <w:widowControl/>
              <w:adjustRightInd w:val="0"/>
              <w:snapToGrid w:val="0"/>
              <w:jc w:val="lef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 3、多个水源地水质受到严重污染，有毒指标超过国家饮用水水质标准；</w:t>
            </w:r>
          </w:p>
          <w:p>
            <w:pPr>
              <w:widowControl/>
              <w:adjustRightInd w:val="0"/>
              <w:snapToGrid w:val="0"/>
              <w:jc w:val="lef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 4、洪水破坏多个水源地的工程；</w:t>
            </w:r>
          </w:p>
          <w:p>
            <w:pPr>
              <w:widowControl/>
              <w:adjustRightInd w:val="0"/>
              <w:snapToGrid w:val="0"/>
              <w:jc w:val="lef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 xml:space="preserve"> 5、战争、恐怖袭击、企业排污、交通事故、人为投毒等突发事件造成多个水源地破坏。</w:t>
            </w:r>
          </w:p>
        </w:tc>
      </w:tr>
    </w:tbl>
    <w:p>
      <w:pPr>
        <w:tabs>
          <w:tab w:val="left" w:pos="525"/>
        </w:tabs>
        <w:adjustRightInd w:val="0"/>
        <w:snapToGrid w:val="0"/>
        <w:spacing w:line="360" w:lineRule="auto"/>
        <w:ind w:firstLine="482"/>
        <w:jc w:val="center"/>
        <w:rPr>
          <w:sz w:val="24"/>
        </w:rPr>
      </w:pPr>
    </w:p>
    <w:p>
      <w:pPr>
        <w:tabs>
          <w:tab w:val="left" w:pos="525"/>
        </w:tabs>
        <w:adjustRightInd w:val="0"/>
        <w:snapToGrid w:val="0"/>
        <w:ind w:firstLine="482"/>
        <w:jc w:val="center"/>
        <w:rPr>
          <w:rFonts w:hint="eastAsia" w:ascii="方正黑体_GBK" w:hAnsi="方正黑体_GBK" w:eastAsia="方正黑体_GBK" w:cs="方正黑体_GBK"/>
          <w:b/>
          <w:bCs/>
          <w:sz w:val="24"/>
        </w:rPr>
      </w:pPr>
      <w:r>
        <w:rPr>
          <w:rFonts w:hint="eastAsia" w:ascii="方正黑体_GBK" w:hAnsi="方正黑体_GBK" w:eastAsia="方正黑体_GBK" w:cs="方正黑体_GBK"/>
          <w:b/>
          <w:bCs/>
          <w:sz w:val="24"/>
        </w:rPr>
        <w:t>表8.6-4 淮南主要水源地及应急备用水源地</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3796"/>
        <w:gridCol w:w="3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6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行政分区</w:t>
            </w:r>
          </w:p>
        </w:tc>
        <w:tc>
          <w:tcPr>
            <w:tcW w:w="3796"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主水源</w:t>
            </w:r>
          </w:p>
        </w:tc>
        <w:tc>
          <w:tcPr>
            <w:tcW w:w="3553"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应急备用水源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16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淮河以南市区</w:t>
            </w:r>
          </w:p>
        </w:tc>
        <w:tc>
          <w:tcPr>
            <w:tcW w:w="3796"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淮南市淮河水源地、瓦埠湖水源地</w:t>
            </w:r>
          </w:p>
        </w:tc>
        <w:tc>
          <w:tcPr>
            <w:tcW w:w="3553"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淠史杭灌区调水、高塘湖水源地，九龙岗岩溶水水源地、蔡家岗中深层地下水水源地、瓦埠湖“引江济淮”。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16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w:t>
            </w:r>
          </w:p>
        </w:tc>
        <w:tc>
          <w:tcPr>
            <w:tcW w:w="3796"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淮河凤台段水源地、凤台浅层地下水水源地、凤台县中深层地下水水源地</w:t>
            </w:r>
          </w:p>
        </w:tc>
        <w:tc>
          <w:tcPr>
            <w:tcW w:w="3553"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清水廊道西淝河、中浅层地下水、引江济淮水量、岳张集沉陷区蓄水。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6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毛集区</w:t>
            </w:r>
          </w:p>
        </w:tc>
        <w:tc>
          <w:tcPr>
            <w:tcW w:w="3796"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毛集夏集中深层地下水水源地</w:t>
            </w:r>
          </w:p>
        </w:tc>
        <w:tc>
          <w:tcPr>
            <w:tcW w:w="3553"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淮河、焦岗湖、中浅层地下水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6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3796"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淮南市淮河水源地</w:t>
            </w:r>
          </w:p>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潘集浅层地下水水源地</w:t>
            </w:r>
          </w:p>
        </w:tc>
        <w:tc>
          <w:tcPr>
            <w:tcW w:w="3553"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茨淮新河、浅层、中深层地下水，潘集沉陷区蓄水、引江济淮水。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611"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3796"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淠河、安丰塘、瓦埠湖水源地</w:t>
            </w:r>
          </w:p>
        </w:tc>
        <w:tc>
          <w:tcPr>
            <w:tcW w:w="3553" w:type="dxa"/>
            <w:noWrap w:val="0"/>
            <w:vAlign w:val="center"/>
          </w:tcPr>
          <w:p>
            <w:pPr>
              <w:widowControl/>
              <w:adjustRightInd w:val="0"/>
              <w:snapToGrid w:val="0"/>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瓦埠湖引江济淮水、淠东干渠</w:t>
            </w:r>
          </w:p>
        </w:tc>
      </w:tr>
    </w:tbl>
    <w:p>
      <w:pPr>
        <w:pageBreakBefore w:val="0"/>
        <w:widowControl w:val="0"/>
        <w:kinsoku/>
        <w:wordWrap/>
        <w:overflowPunct/>
        <w:autoSpaceDE/>
        <w:autoSpaceDN/>
        <w:bidi w:val="0"/>
        <w:adjustRightInd w:val="0"/>
        <w:snapToGrid w:val="0"/>
        <w:spacing w:beforeAutospacing="0" w:afterAutospacing="0" w:line="590" w:lineRule="exact"/>
        <w:ind w:firstLine="480" w:firstLineChars="200"/>
        <w:rPr>
          <w:rFonts w:hint="default" w:ascii="Times New Roman" w:hAnsi="Times New Roman" w:cs="Times New Roman"/>
          <w:b w:val="0"/>
          <w:bCs/>
          <w:sz w:val="24"/>
        </w:rPr>
      </w:pPr>
      <w:r>
        <w:rPr>
          <w:rFonts w:hint="default" w:ascii="Times New Roman" w:hAnsi="Times New Roman" w:cs="Times New Roman"/>
          <w:b w:val="0"/>
          <w:bCs/>
          <w:sz w:val="24"/>
        </w:rPr>
        <w:t>③ 降低标准对策</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sz w:val="32"/>
          <w:szCs w:val="32"/>
        </w:rPr>
        <w:t>城市居民用水可以降</w:t>
      </w:r>
      <w:r>
        <w:rPr>
          <w:rFonts w:hint="default" w:ascii="Times New Roman" w:hAnsi="Times New Roman" w:eastAsia="方正仿宋_GBK" w:cs="Times New Roman"/>
          <w:sz w:val="32"/>
          <w:szCs w:val="32"/>
        </w:rPr>
        <w:t>低用水标准进行供应，来保障基本生活用水。实行限量定额供水，对一切用水单位，包括工矿企业、事业单位、机关团体、宾馆等公共场所要实行总量控制，努力降低用水定额，减少用水量。</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④ 节约用水对策</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加大媒体用水宣传，提高全民的节水意识。对已有的节水技术成果，尽快转化应用；对先进的节水器具要大力推广使用；改造落后的生产工艺，提高水的重复利用率；提高水价，促进节约用水。</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⑤ 压缩用水对策</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严格实行控制性供水。停止高用水行业，适当压缩工业用水；削减农作物灌溉用水量；特枯年份除保证城市生活、菜田和副食品生产用水外，其它用水都要适当压缩。</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b/>
          <w:sz w:val="32"/>
          <w:szCs w:val="32"/>
        </w:rPr>
      </w:pPr>
      <w:r>
        <w:rPr>
          <w:rFonts w:hint="default" w:ascii="Times New Roman" w:hAnsi="Times New Roman" w:eastAsia="方正仿宋_GBK" w:cs="Times New Roman"/>
          <w:b w:val="0"/>
          <w:bCs/>
          <w:sz w:val="32"/>
          <w:szCs w:val="32"/>
        </w:rPr>
        <w:t>⑥ 适当开采地下水对策</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遇枯水年份时，利用地下水含水层多年调节能力强的特点，适当增加地下水开采量。</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kern w:val="21"/>
          <w:sz w:val="32"/>
          <w:szCs w:val="32"/>
          <w:lang w:val="en-US" w:eastAsia="zh-CN" w:bidi="ar-SA"/>
        </w:rPr>
      </w:pPr>
      <w:bookmarkStart w:id="404" w:name="_Toc238269851"/>
      <w:r>
        <w:rPr>
          <w:rFonts w:hint="default" w:ascii="Times New Roman" w:hAnsi="Times New Roman" w:eastAsia="方正仿宋_GBK" w:cs="Times New Roman"/>
          <w:b/>
          <w:bCs/>
          <w:kern w:val="21"/>
          <w:sz w:val="32"/>
          <w:szCs w:val="32"/>
          <w:lang w:val="en-US" w:eastAsia="zh-CN" w:bidi="ar-SA"/>
        </w:rPr>
        <w:t>（3）组织机构</w:t>
      </w:r>
      <w:bookmarkEnd w:id="404"/>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城市供水应急工作具有较强的政治性、政策性和整体协调性，该项工作必须由政府统一领导并组织实施，成立城市供水应急领导小组。供水应急领导小组，是处置供水应急事件的具体指挥机构，由市人民政府分管副市长任组长，副组长由市水务局、公安局、建设局、卫生局、城管局、供电局、环保局、广电局等主要领导组成，负责对水源供水应急事件的组织协调、决策指挥和处置。成员为各水源地管理单位主要负责人。根据应急工作需要，在城市饮用水水源地供水应急事件应急领导小组设办公室、调查组、调度组、工程组、监测组、财务组、医务组、物资组、交通组、新闻组、保卫组、专家组，现场指挥部根据需要启动若干工作组。</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饮用水水源地供水应急领导小组具体职责：检查督促各水源管理单位贯彻执行国家有关的法律和政策、规定；督促检查水源管理单位制订处置突发事件预案及有关的应急准备工作；责成水源管理单位建立应急处置的组织，配备相关的工具装备；组织协调各相关部门处置突发事件；检查监督相关职能部门进行事故调查、善后处理以及恢复正常生活、生产秩序的工作；及时向上级机关及社会公众发布突发事件的信息。</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kern w:val="21"/>
          <w:sz w:val="32"/>
          <w:szCs w:val="32"/>
          <w:lang w:val="en-US" w:eastAsia="zh-CN" w:bidi="ar-SA"/>
        </w:rPr>
      </w:pPr>
      <w:bookmarkStart w:id="405" w:name="_Toc238269852"/>
      <w:r>
        <w:rPr>
          <w:rFonts w:hint="default" w:ascii="Times New Roman" w:hAnsi="Times New Roman" w:eastAsia="方正仿宋_GBK" w:cs="Times New Roman"/>
          <w:b/>
          <w:bCs/>
          <w:kern w:val="21"/>
          <w:sz w:val="32"/>
          <w:szCs w:val="32"/>
          <w:lang w:val="en-US" w:eastAsia="zh-CN" w:bidi="ar-SA"/>
        </w:rPr>
        <w:t>（4）监测与预警</w:t>
      </w:r>
      <w:bookmarkEnd w:id="405"/>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加强水源地及区间来水水量、水质监测，定期发布水源地水质、水量信息，必要时增加测次及有针对性的调整监测项目。定期分析预测水源地水资源量。</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bCs/>
          <w:kern w:val="21"/>
          <w:sz w:val="32"/>
          <w:szCs w:val="32"/>
          <w:lang w:val="en-US" w:eastAsia="zh-CN" w:bidi="ar-SA"/>
        </w:rPr>
      </w:pPr>
      <w:bookmarkStart w:id="406" w:name="_Toc130346127"/>
      <w:r>
        <w:rPr>
          <w:rFonts w:hint="default" w:ascii="Times New Roman" w:hAnsi="Times New Roman" w:eastAsia="方正仿宋_GBK" w:cs="Times New Roman"/>
          <w:b/>
          <w:bCs/>
          <w:kern w:val="21"/>
          <w:sz w:val="32"/>
          <w:szCs w:val="32"/>
          <w:lang w:val="en-US" w:eastAsia="zh-CN" w:bidi="ar-SA"/>
        </w:rPr>
        <w:t>（5）应急预警</w:t>
      </w:r>
      <w:bookmarkEnd w:id="406"/>
    </w:p>
    <w:p>
      <w:pPr>
        <w:pageBreakBefore w:val="0"/>
        <w:widowControl w:val="0"/>
        <w:kinsoku/>
        <w:wordWrap/>
        <w:overflowPunct/>
        <w:autoSpaceDE/>
        <w:autoSpaceDN/>
        <w:bidi w:val="0"/>
        <w:adjustRightInd w:val="0"/>
        <w:snapToGrid w:val="0"/>
        <w:spacing w:beforeAutospacing="0" w:afterAutospacing="0" w:line="590" w:lineRule="exact"/>
        <w:ind w:firstLine="600" w:firstLineChars="200"/>
        <w:rPr>
          <w:rFonts w:hint="default" w:ascii="Times New Roman" w:hAnsi="Times New Roman" w:eastAsia="方正仿宋_GBK" w:cs="Times New Roman"/>
          <w:b w:val="0"/>
          <w:bCs/>
          <w:sz w:val="30"/>
          <w:szCs w:val="30"/>
        </w:rPr>
      </w:pPr>
      <w:r>
        <w:rPr>
          <w:rFonts w:hint="default" w:ascii="Times New Roman" w:hAnsi="Times New Roman" w:eastAsia="方正仿宋_GBK" w:cs="Times New Roman"/>
          <w:b w:val="0"/>
          <w:bCs/>
          <w:sz w:val="30"/>
          <w:szCs w:val="30"/>
        </w:rPr>
        <w:t>① 预警条件</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sz w:val="30"/>
          <w:szCs w:val="30"/>
        </w:rPr>
        <w:t>地表水水源地</w:t>
      </w:r>
      <w:r>
        <w:rPr>
          <w:rFonts w:hint="default" w:ascii="Times New Roman" w:hAnsi="Times New Roman" w:eastAsia="方正仿宋_GBK" w:cs="Times New Roman"/>
          <w:sz w:val="32"/>
          <w:szCs w:val="32"/>
        </w:rPr>
        <w:t>监测、水文、水库、河道、水上航运等部门工作人员注意应观察工作河段尤其是水源附近河段水质变化，如发现水体出现异常（水质变臭、大量泡沫、死鱼等），应及时上报所在地水环境监测部门，由水环境监测部门利用移动实验室或其他快速机动监测手段初步确定预警条件，并将结果上报上级部门，由上级部门通报所在地人民政府。</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水源地监测部门在常规监测中发现水源地水质指标出现异常变化，或水源水质自动监测站点显示水体污染症状后，应立即进行核实，经核实确定预警条件后迅速上报上级部门，由上级部门通报所在地人民政府。</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农田施农药后暴雨入河、库污染水源，水源地所在流域化工企业发生爆炸，或运送化学品的交通工具发生意外事故，泄漏的化学物质进入河道、湖库及渗入地下等，确定为预警条件。水源地监测部门应会同环保部门对污染源进行跟踪监测，并将监测结果及时上报。</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② 预警发布渠道</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水行政部门管理的水源由水源监测部门确定预警条件后，由同级水行政部门报告省级水行政部门和当地政府，并由省级水行政部门报告水利部和当地人民政府，并抄报有关流域机构。特别重大的水源污染事故预警，在报告水利部的同时，可直接报告国务院。</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③ 预警发布程序</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流域机构或省级水行政主管部门发现或得知重大水源污染事故预警后，立即组织相关部门核查有关情况，然后将有关情况、采取或需要采取的措施及时上报水利部，报告需经领导签发。</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预警报告可采取电话、电子邮件、传真、文件等多种方式，确保信息及时、准确。预警发布报告应按照国家保密有关规定执行。</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水源地污染预警由水源地所在地政府发布，水源地监测和保护部门应随时向当地民政府提供污染发生的时间、地点过程、影响范围及采取的措施、效果等如实地向政府报告，由政府向新闻媒体公布有关水源污染预警事件的信息资料。</w:t>
      </w:r>
    </w:p>
    <w:p>
      <w:pPr>
        <w:pageBreakBefore w:val="0"/>
        <w:widowControl w:val="0"/>
        <w:tabs>
          <w:tab w:val="left" w:pos="525"/>
        </w:tabs>
        <w:kinsoku/>
        <w:wordWrap/>
        <w:overflowPunct/>
        <w:autoSpaceDE/>
        <w:autoSpaceDN/>
        <w:bidi w:val="0"/>
        <w:adjustRightInd w:val="0"/>
        <w:snapToGrid w:val="0"/>
        <w:spacing w:beforeAutospacing="0" w:afterAutospacing="0" w:line="590" w:lineRule="exact"/>
        <w:rPr>
          <w:rFonts w:hint="default" w:ascii="Times New Roman" w:hAnsi="Times New Roman" w:eastAsia="方正仿宋_GBK" w:cs="Times New Roman"/>
          <w:sz w:val="32"/>
          <w:szCs w:val="32"/>
        </w:rPr>
      </w:pPr>
    </w:p>
    <w:p>
      <w:pPr>
        <w:pStyle w:val="3"/>
        <w:pageBreakBefore w:val="0"/>
        <w:widowControl w:val="0"/>
        <w:kinsoku/>
        <w:wordWrap/>
        <w:overflowPunct/>
        <w:autoSpaceDE/>
        <w:autoSpaceDN/>
        <w:bidi w:val="0"/>
        <w:adjustRightInd w:val="0"/>
        <w:spacing w:before="0" w:beforeAutospacing="0" w:after="0" w:afterAutospacing="0" w:line="590" w:lineRule="exact"/>
        <w:jc w:val="center"/>
        <w:rPr>
          <w:rStyle w:val="16"/>
          <w:rFonts w:hint="default" w:ascii="Times New Roman" w:hAnsi="Times New Roman" w:cs="Times New Roman"/>
          <w:b/>
          <w:sz w:val="32"/>
        </w:rPr>
      </w:pPr>
      <w:bookmarkStart w:id="407" w:name="_Toc312309976"/>
      <w:r>
        <w:rPr>
          <w:rStyle w:val="16"/>
          <w:rFonts w:hint="default" w:ascii="Times New Roman" w:hAnsi="Times New Roman" w:cs="Times New Roman"/>
          <w:b/>
          <w:sz w:val="32"/>
        </w:rPr>
        <w:br w:type="page"/>
      </w:r>
      <w:bookmarkStart w:id="408" w:name="_Toc2823"/>
    </w:p>
    <w:p>
      <w:pPr>
        <w:pStyle w:val="3"/>
        <w:pageBreakBefore w:val="0"/>
        <w:widowControl w:val="0"/>
        <w:kinsoku/>
        <w:wordWrap/>
        <w:overflowPunct/>
        <w:autoSpaceDE/>
        <w:autoSpaceDN/>
        <w:bidi w:val="0"/>
        <w:adjustRightInd w:val="0"/>
        <w:spacing w:before="0" w:beforeAutospacing="0" w:after="0" w:afterAutospacing="0" w:line="590" w:lineRule="exact"/>
        <w:jc w:val="center"/>
        <w:rPr>
          <w:rStyle w:val="16"/>
          <w:rFonts w:hint="default" w:ascii="Times New Roman" w:hAnsi="Times New Roman" w:cs="Times New Roman"/>
          <w:b/>
          <w:sz w:val="32"/>
        </w:rPr>
      </w:pPr>
    </w:p>
    <w:p>
      <w:pPr>
        <w:pStyle w:val="3"/>
        <w:pageBreakBefore w:val="0"/>
        <w:widowControl w:val="0"/>
        <w:kinsoku/>
        <w:wordWrap/>
        <w:overflowPunct/>
        <w:autoSpaceDE/>
        <w:autoSpaceDN/>
        <w:bidi w:val="0"/>
        <w:adjustRightInd w:val="0"/>
        <w:spacing w:before="0" w:beforeAutospacing="0" w:after="0" w:afterAutospacing="0" w:line="590" w:lineRule="exact"/>
        <w:jc w:val="center"/>
        <w:rPr>
          <w:rStyle w:val="16"/>
          <w:rFonts w:hint="default" w:ascii="Times New Roman" w:hAnsi="Times New Roman" w:eastAsia="方正小标宋_GBK" w:cs="Times New Roman"/>
          <w:b w:val="0"/>
          <w:bCs w:val="0"/>
          <w:sz w:val="36"/>
          <w:szCs w:val="48"/>
        </w:rPr>
      </w:pPr>
      <w:r>
        <w:rPr>
          <w:rStyle w:val="16"/>
          <w:rFonts w:hint="default" w:ascii="Times New Roman" w:hAnsi="Times New Roman" w:eastAsia="方正小标宋_GBK" w:cs="Times New Roman"/>
          <w:b w:val="0"/>
          <w:bCs w:val="0"/>
          <w:sz w:val="44"/>
          <w:szCs w:val="56"/>
        </w:rPr>
        <w:t>第九章 水资源监测规划</w:t>
      </w:r>
      <w:bookmarkEnd w:id="407"/>
      <w:bookmarkEnd w:id="408"/>
    </w:p>
    <w:p>
      <w:pPr>
        <w:pStyle w:val="4"/>
        <w:pageBreakBefore w:val="0"/>
        <w:widowControl w:val="0"/>
        <w:kinsoku/>
        <w:wordWrap/>
        <w:overflowPunct/>
        <w:autoSpaceDE/>
        <w:autoSpaceDN/>
        <w:bidi w:val="0"/>
        <w:spacing w:beforeAutospacing="0" w:afterAutospacing="0" w:line="590" w:lineRule="exact"/>
        <w:rPr>
          <w:rFonts w:hint="default" w:ascii="Times New Roman" w:hAnsi="Times New Roman" w:eastAsia="方正黑体_GBK" w:cs="Times New Roman"/>
          <w:b w:val="0"/>
          <w:bCs w:val="0"/>
          <w:sz w:val="32"/>
          <w:szCs w:val="36"/>
        </w:rPr>
      </w:pPr>
      <w:bookmarkStart w:id="409" w:name="_Toc21225"/>
      <w:bookmarkStart w:id="410" w:name="_Toc293556919"/>
      <w:bookmarkStart w:id="411" w:name="_Toc312309977"/>
      <w:r>
        <w:rPr>
          <w:rFonts w:hint="default" w:ascii="Times New Roman" w:hAnsi="Times New Roman" w:eastAsia="方正黑体_GBK" w:cs="Times New Roman"/>
          <w:b w:val="0"/>
          <w:bCs w:val="0"/>
          <w:sz w:val="32"/>
          <w:szCs w:val="36"/>
        </w:rPr>
        <w:t>第一节 水资源监测现状</w:t>
      </w:r>
      <w:bookmarkEnd w:id="409"/>
      <w:bookmarkEnd w:id="410"/>
      <w:bookmarkEnd w:id="411"/>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现有分属于水文、气象、环保、城建、自来水厂等有关部门的水资源监测站网，初步形成了覆盖全市主要水域的水资源监测站点，其中，归属于省水行政主管部门的水文监测站点82个，其中雨量站34个，33个水位站（其中小（一）水库10个），地下水位监测站2个，水质监测站点13个。监测范围基本覆盖全市主要水体、水功能区、饮用水水源地和入河排污口。水资源监测每年向各级政府提供大量水资源监测信息，为流域、省、市、县水资源管理与保护、水环境综合治理、水资源调度、防洪调度与管理、水利工程建设与管理等提供技术支撑。但上述水资源监测监控体系属不同部门，归属于淮南市水行政主管部门的水资源监测监控体系尚未建立。</w:t>
      </w:r>
    </w:p>
    <w:p>
      <w:pPr>
        <w:pStyle w:val="4"/>
        <w:pageBreakBefore w:val="0"/>
        <w:widowControl w:val="0"/>
        <w:kinsoku/>
        <w:wordWrap/>
        <w:overflowPunct/>
        <w:autoSpaceDE/>
        <w:autoSpaceDN/>
        <w:bidi w:val="0"/>
        <w:spacing w:beforeAutospacing="0" w:afterAutospacing="0" w:line="590" w:lineRule="exact"/>
        <w:rPr>
          <w:rFonts w:hint="default" w:ascii="Times New Roman" w:hAnsi="Times New Roman" w:eastAsia="方正黑体_GBK" w:cs="Times New Roman"/>
          <w:b w:val="0"/>
          <w:bCs w:val="0"/>
          <w:sz w:val="32"/>
          <w:szCs w:val="36"/>
        </w:rPr>
      </w:pPr>
      <w:bookmarkStart w:id="412" w:name="_Toc293556920"/>
      <w:bookmarkStart w:id="413" w:name="_Toc30943"/>
      <w:bookmarkStart w:id="414" w:name="_Toc312309978"/>
      <w:r>
        <w:rPr>
          <w:rFonts w:hint="default" w:ascii="Times New Roman" w:hAnsi="Times New Roman" w:eastAsia="方正黑体_GBK" w:cs="Times New Roman"/>
          <w:b w:val="0"/>
          <w:bCs w:val="0"/>
          <w:sz w:val="32"/>
          <w:szCs w:val="36"/>
        </w:rPr>
        <w:t>第二节 水资源监测规划目标、原则和建设内容</w:t>
      </w:r>
      <w:bookmarkEnd w:id="412"/>
      <w:bookmarkEnd w:id="413"/>
      <w:bookmarkEnd w:id="414"/>
    </w:p>
    <w:p>
      <w:pPr>
        <w:pStyle w:val="5"/>
        <w:keepNext/>
        <w:keepLines/>
        <w:pageBreakBefore w:val="0"/>
        <w:widowControl w:val="0"/>
        <w:kinsoku/>
        <w:wordWrap/>
        <w:overflowPunct/>
        <w:topLinePunct w:val="0"/>
        <w:autoSpaceDE/>
        <w:autoSpaceDN/>
        <w:bidi w:val="0"/>
        <w:spacing w:beforeAutospacing="0" w:afterAutospacing="0" w:line="590" w:lineRule="exact"/>
        <w:ind w:firstLine="640" w:firstLineChars="200"/>
        <w:textAlignment w:val="auto"/>
        <w:rPr>
          <w:rFonts w:hint="default" w:ascii="Times New Roman" w:hAnsi="Times New Roman" w:eastAsia="方正楷体_GBK" w:cs="Times New Roman"/>
          <w:b w:val="0"/>
          <w:bCs/>
          <w:sz w:val="32"/>
          <w:szCs w:val="32"/>
        </w:rPr>
      </w:pPr>
      <w:bookmarkStart w:id="415" w:name="_Toc293556921"/>
      <w:bookmarkStart w:id="416" w:name="_Toc312309979"/>
      <w:bookmarkStart w:id="417" w:name="_Toc32284"/>
      <w:r>
        <w:rPr>
          <w:rFonts w:hint="default" w:ascii="Times New Roman" w:hAnsi="Times New Roman" w:eastAsia="方正楷体_GBK" w:cs="Times New Roman"/>
          <w:b w:val="0"/>
          <w:bCs/>
          <w:sz w:val="32"/>
          <w:szCs w:val="32"/>
        </w:rPr>
        <w:t>一、规划目标</w:t>
      </w:r>
      <w:bookmarkEnd w:id="415"/>
      <w:bookmarkEnd w:id="416"/>
      <w:bookmarkEnd w:id="417"/>
    </w:p>
    <w:p>
      <w:pPr>
        <w:pageBreakBefore w:val="0"/>
        <w:widowControl w:val="0"/>
        <w:kinsoku/>
        <w:wordWrap/>
        <w:overflowPunct/>
        <w:autoSpaceDE/>
        <w:autoSpaceDN/>
        <w:bidi w:val="0"/>
        <w:spacing w:beforeAutospacing="0" w:afterAutospacing="0" w:line="590" w:lineRule="exact"/>
        <w:ind w:firstLine="643"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b/>
          <w:sz w:val="32"/>
          <w:szCs w:val="32"/>
        </w:rPr>
        <w:t>提升水资源监测监控能力。</w:t>
      </w:r>
      <w:r>
        <w:rPr>
          <w:rFonts w:hint="default" w:ascii="Times New Roman" w:hAnsi="Times New Roman" w:eastAsia="方正仿宋_GBK" w:cs="Times New Roman"/>
          <w:sz w:val="32"/>
          <w:szCs w:val="32"/>
        </w:rPr>
        <w:t>按期完成国家水资源监控能力二期建设（2016-2018年）任务，加快推进市级水资源监控能力建设，2018年前对年取地表水50万m³、地下水30万m³以上的非农业用水户、大型灌区和部分中型灌区渠首实现在线监控。完善省级水资源管理系统平台建设，实现省市信息共享、互联互通和业务协同。结合大中型灌区建设与节水配套改造，完善灌溉用水计量设施，提高农业灌溉用水计量水平。到2020年，非农业用水计量率达到85%以上，农业灌溉用水大中型灌区渠首计量率达到70%。</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2020年前，在省水行政主管部门的水资源监测站网的基础上建立起与水资源保护监督管理需要相适应的水资源监测监控体系。其中，于“十三五”期间成立淮南市水文水资源局，建立起相对完善的水资源监测站网，站点涵盖主要河湖库水量、水位、降雨量、水质、入河排污口调查与监督监测、重要城市供水水源地水质水量监测、主要河湖水生生态监测、污染事故跟踪监测等监测以及地下水水位、地下水水质监测、取水许可水质管理监测。</w:t>
      </w:r>
    </w:p>
    <w:p>
      <w:pPr>
        <w:pStyle w:val="5"/>
        <w:keepNext/>
        <w:keepLines/>
        <w:pageBreakBefore w:val="0"/>
        <w:widowControl w:val="0"/>
        <w:kinsoku/>
        <w:wordWrap/>
        <w:overflowPunct/>
        <w:topLinePunct w:val="0"/>
        <w:autoSpaceDE/>
        <w:autoSpaceDN/>
        <w:bidi w:val="0"/>
        <w:spacing w:beforeAutospacing="0" w:afterAutospacing="0" w:line="590" w:lineRule="exact"/>
        <w:ind w:firstLine="640" w:firstLineChars="200"/>
        <w:textAlignment w:val="auto"/>
        <w:rPr>
          <w:rFonts w:hint="default" w:ascii="Times New Roman" w:hAnsi="Times New Roman" w:eastAsia="方正楷体_GBK" w:cs="Times New Roman"/>
          <w:b w:val="0"/>
          <w:bCs/>
          <w:sz w:val="32"/>
          <w:szCs w:val="32"/>
        </w:rPr>
      </w:pPr>
      <w:bookmarkStart w:id="418" w:name="_Toc293556922"/>
      <w:bookmarkStart w:id="419" w:name="_Toc312309980"/>
      <w:bookmarkStart w:id="420" w:name="_Toc31034"/>
      <w:r>
        <w:rPr>
          <w:rFonts w:hint="default" w:ascii="Times New Roman" w:hAnsi="Times New Roman" w:eastAsia="方正楷体_GBK" w:cs="Times New Roman"/>
          <w:b w:val="0"/>
          <w:bCs/>
          <w:sz w:val="32"/>
          <w:szCs w:val="32"/>
        </w:rPr>
        <w:t>二、规划原则</w:t>
      </w:r>
      <w:bookmarkEnd w:id="418"/>
      <w:bookmarkEnd w:id="419"/>
      <w:bookmarkEnd w:id="420"/>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（1）统一规划，分期实施，分级管理。</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在现有监测体系的基础上，统一规划实施全市水资源监测监控体系，以满足水资源可持续开发、利用与保护的需要。根据区域经济发展水平、站网的重要程度及其用途，对监测站网实行分期实施，分级管理。</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（2）突出重点，适应多种需要，满足水资源保护和管理需求。</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测规划重点考虑对重要河湖水资源量监测，供水水源地水量、水质安全监测，取水口水量、水质监测，污染物入河总量控制的监测，地下水水位、水质监测；同时，监测规划应满足省、市、县水资源管理、取水许可管理、排污口管理、地下水管理和水利工程等多层次管理的需求。</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（3）优势互补，多种监测方式并举。</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固定监测、动态监测、自动在线监测相结合各有优势，规划在相关重要河段开展自动监测和动态监测，逐步建立起固定监测、动态监测、自动监测相结合的监测体系。</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（4）量质并重，优化监测网络。</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以现有水文监测站网为基础，充分考虑水质、水量同步监测，以掌握水资源量、质为目标，优化布设水质监测站网。</w:t>
      </w:r>
    </w:p>
    <w:p>
      <w:pPr>
        <w:pStyle w:val="5"/>
        <w:keepNext/>
        <w:keepLines/>
        <w:pageBreakBefore w:val="0"/>
        <w:widowControl w:val="0"/>
        <w:kinsoku/>
        <w:wordWrap/>
        <w:overflowPunct/>
        <w:topLinePunct w:val="0"/>
        <w:autoSpaceDE/>
        <w:autoSpaceDN/>
        <w:bidi w:val="0"/>
        <w:spacing w:beforeAutospacing="0" w:afterAutospacing="0" w:line="590" w:lineRule="exact"/>
        <w:ind w:firstLine="640" w:firstLineChars="200"/>
        <w:textAlignment w:val="auto"/>
        <w:rPr>
          <w:rFonts w:hint="eastAsia" w:ascii="方正楷体_GBK" w:hAnsi="方正楷体_GBK" w:eastAsia="方正楷体_GBK" w:cs="方正楷体_GBK"/>
          <w:b w:val="0"/>
          <w:bCs/>
          <w:sz w:val="32"/>
          <w:szCs w:val="32"/>
        </w:rPr>
      </w:pPr>
      <w:bookmarkStart w:id="421" w:name="_Toc22225"/>
      <w:bookmarkStart w:id="422" w:name="_Toc293556923"/>
      <w:bookmarkStart w:id="423" w:name="_Toc312309981"/>
      <w:r>
        <w:rPr>
          <w:rFonts w:hint="eastAsia" w:ascii="方正楷体_GBK" w:hAnsi="方正楷体_GBK" w:eastAsia="方正楷体_GBK" w:cs="方正楷体_GBK"/>
          <w:b w:val="0"/>
          <w:bCs/>
          <w:sz w:val="32"/>
          <w:szCs w:val="32"/>
        </w:rPr>
        <w:t>三、主要建设内容</w:t>
      </w:r>
      <w:bookmarkEnd w:id="421"/>
      <w:bookmarkEnd w:id="422"/>
      <w:bookmarkEnd w:id="423"/>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水资源、水质监测站网建设，监测能力建设，水资源监控系统建设。按不同要求、不同类型，科学建设和改善水资源、水环境监测基础设施和软硬件设施，建立起能够满足水资源管理需要的水资源监测队伍。</w:t>
      </w:r>
    </w:p>
    <w:p>
      <w:pPr>
        <w:pStyle w:val="5"/>
        <w:keepNext/>
        <w:keepLines/>
        <w:pageBreakBefore w:val="0"/>
        <w:widowControl w:val="0"/>
        <w:kinsoku/>
        <w:wordWrap/>
        <w:overflowPunct/>
        <w:topLinePunct w:val="0"/>
        <w:autoSpaceDE/>
        <w:autoSpaceDN/>
        <w:bidi w:val="0"/>
        <w:spacing w:beforeAutospacing="0" w:afterAutospacing="0" w:line="590" w:lineRule="exact"/>
        <w:ind w:firstLine="640" w:firstLineChars="200"/>
        <w:jc w:val="center"/>
        <w:textAlignment w:val="auto"/>
        <w:rPr>
          <w:rFonts w:hint="default" w:ascii="Times New Roman" w:hAnsi="Times New Roman" w:eastAsia="方正黑体_GBK" w:cs="Times New Roman"/>
          <w:b w:val="0"/>
          <w:bCs/>
          <w:sz w:val="32"/>
          <w:szCs w:val="32"/>
        </w:rPr>
      </w:pPr>
      <w:bookmarkStart w:id="424" w:name="_Toc293556924"/>
      <w:bookmarkStart w:id="425" w:name="_Toc17129"/>
      <w:bookmarkStart w:id="426" w:name="_Toc312309982"/>
      <w:r>
        <w:rPr>
          <w:rFonts w:hint="default" w:ascii="Times New Roman" w:hAnsi="Times New Roman" w:eastAsia="方正黑体_GBK" w:cs="Times New Roman"/>
          <w:b w:val="0"/>
          <w:bCs/>
          <w:sz w:val="32"/>
          <w:szCs w:val="32"/>
        </w:rPr>
        <w:t>第三节  水量监测</w:t>
      </w:r>
      <w:bookmarkEnd w:id="424"/>
      <w:r>
        <w:rPr>
          <w:rFonts w:hint="default" w:ascii="Times New Roman" w:hAnsi="Times New Roman" w:eastAsia="方正黑体_GBK" w:cs="Times New Roman"/>
          <w:b w:val="0"/>
          <w:bCs/>
          <w:sz w:val="32"/>
          <w:szCs w:val="32"/>
        </w:rPr>
        <w:t>规划</w:t>
      </w:r>
      <w:bookmarkEnd w:id="425"/>
      <w:bookmarkEnd w:id="426"/>
    </w:p>
    <w:p>
      <w:pPr>
        <w:pStyle w:val="5"/>
        <w:keepNext/>
        <w:keepLines/>
        <w:pageBreakBefore w:val="0"/>
        <w:widowControl w:val="0"/>
        <w:kinsoku/>
        <w:wordWrap/>
        <w:overflowPunct/>
        <w:topLinePunct w:val="0"/>
        <w:autoSpaceDE/>
        <w:autoSpaceDN/>
        <w:bidi w:val="0"/>
        <w:spacing w:beforeAutospacing="0" w:afterAutospacing="0" w:line="590" w:lineRule="exact"/>
        <w:ind w:firstLine="640" w:firstLineChars="200"/>
        <w:textAlignment w:val="auto"/>
        <w:rPr>
          <w:rFonts w:hint="eastAsia" w:ascii="方正楷体_GBK" w:hAnsi="方正楷体_GBK" w:eastAsia="方正楷体_GBK" w:cs="方正楷体_GBK"/>
          <w:b w:val="0"/>
          <w:bCs/>
          <w:sz w:val="32"/>
          <w:szCs w:val="32"/>
        </w:rPr>
      </w:pPr>
      <w:bookmarkStart w:id="427" w:name="_Toc23287"/>
      <w:bookmarkStart w:id="428" w:name="_Toc312309983"/>
      <w:r>
        <w:rPr>
          <w:rFonts w:hint="eastAsia" w:ascii="方正楷体_GBK" w:hAnsi="方正楷体_GBK" w:eastAsia="方正楷体_GBK" w:cs="方正楷体_GBK"/>
          <w:b w:val="0"/>
          <w:bCs/>
          <w:sz w:val="32"/>
          <w:szCs w:val="32"/>
        </w:rPr>
        <w:t>一、水资源量监测站点的设置</w:t>
      </w:r>
      <w:bookmarkEnd w:id="427"/>
      <w:bookmarkEnd w:id="428"/>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（1）主要河湖监测站点</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在充分利用现有的水文站点的基础上，根据淮南市水资源量管理对水资源量控制管理的需求，适当增加必需的站点，形成较完整的水量监测网点。现有雨量站34个，33个水位站（其中小（一）水库20个），流量站1个，地下水位监测站4个。新增加淠河等8流量站，11个采煤塌陷区水位观测站。</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b/>
          <w:bCs w:val="0"/>
          <w:sz w:val="32"/>
          <w:szCs w:val="32"/>
        </w:rPr>
      </w:pPr>
      <w:r>
        <w:rPr>
          <w:rFonts w:hint="default" w:ascii="Times New Roman" w:hAnsi="Times New Roman" w:eastAsia="方正仿宋_GBK" w:cs="Times New Roman"/>
          <w:b/>
          <w:bCs w:val="0"/>
          <w:sz w:val="32"/>
          <w:szCs w:val="32"/>
        </w:rPr>
        <w:t xml:space="preserve">（2）取水口监测 </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分别在淮南市主要取水户设置水量监测点个。具体位置为各取水户取水口所在地。未来新增新的城镇供水取水口需同时新增监测站点。</w:t>
      </w:r>
    </w:p>
    <w:p>
      <w:pPr>
        <w:pStyle w:val="5"/>
        <w:keepNext/>
        <w:keepLines/>
        <w:pageBreakBefore w:val="0"/>
        <w:widowControl w:val="0"/>
        <w:kinsoku/>
        <w:wordWrap/>
        <w:overflowPunct/>
        <w:topLinePunct w:val="0"/>
        <w:autoSpaceDE/>
        <w:autoSpaceDN/>
        <w:bidi w:val="0"/>
        <w:spacing w:beforeAutospacing="0" w:afterAutospacing="0" w:line="590" w:lineRule="exact"/>
        <w:ind w:firstLine="640" w:firstLineChars="200"/>
        <w:textAlignment w:val="auto"/>
        <w:rPr>
          <w:rFonts w:hint="eastAsia" w:ascii="方正楷体_GBK" w:hAnsi="方正楷体_GBK" w:eastAsia="方正楷体_GBK" w:cs="方正楷体_GBK"/>
          <w:b w:val="0"/>
          <w:bCs/>
          <w:sz w:val="32"/>
          <w:szCs w:val="32"/>
        </w:rPr>
      </w:pPr>
      <w:bookmarkStart w:id="429" w:name="_Toc312309984"/>
      <w:bookmarkStart w:id="430" w:name="_Toc31996"/>
      <w:r>
        <w:rPr>
          <w:rFonts w:hint="eastAsia" w:ascii="方正楷体_GBK" w:hAnsi="方正楷体_GBK" w:eastAsia="方正楷体_GBK" w:cs="方正楷体_GBK"/>
          <w:b w:val="0"/>
          <w:bCs/>
          <w:sz w:val="32"/>
          <w:szCs w:val="32"/>
        </w:rPr>
        <w:t>二、监测方法</w:t>
      </w:r>
      <w:bookmarkEnd w:id="429"/>
      <w:bookmarkEnd w:id="430"/>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雨量、水位在线监测，流量实行人工与在线相结合，取水口水量也实行人工与在线相结合。</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2020年之前，完成部分新增站点实施。</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2030年之前，完成所有新增站点实施，在做好新增监测站点监测工作的同时，继续完善监测站点运行缺陷，加强检测站的监测数据的实时可靠性。</w:t>
      </w:r>
    </w:p>
    <w:p>
      <w:pPr>
        <w:pStyle w:val="5"/>
        <w:keepNext/>
        <w:keepLines/>
        <w:pageBreakBefore w:val="0"/>
        <w:widowControl w:val="0"/>
        <w:kinsoku/>
        <w:wordWrap/>
        <w:overflowPunct/>
        <w:topLinePunct w:val="0"/>
        <w:autoSpaceDE/>
        <w:autoSpaceDN/>
        <w:bidi w:val="0"/>
        <w:spacing w:beforeAutospacing="0" w:afterAutospacing="0" w:line="590" w:lineRule="exact"/>
        <w:ind w:firstLine="640" w:firstLineChars="200"/>
        <w:textAlignment w:val="auto"/>
        <w:rPr>
          <w:rFonts w:hint="eastAsia" w:ascii="方正楷体_GBK" w:hAnsi="方正楷体_GBK" w:eastAsia="方正楷体_GBK" w:cs="方正楷体_GBK"/>
          <w:b w:val="0"/>
          <w:bCs/>
          <w:sz w:val="32"/>
          <w:szCs w:val="32"/>
        </w:rPr>
      </w:pPr>
      <w:bookmarkStart w:id="431" w:name="_Toc6867"/>
      <w:bookmarkStart w:id="432" w:name="_Toc312309985"/>
      <w:r>
        <w:rPr>
          <w:rFonts w:hint="eastAsia" w:ascii="方正楷体_GBK" w:hAnsi="方正楷体_GBK" w:eastAsia="方正楷体_GBK" w:cs="方正楷体_GBK"/>
          <w:b w:val="0"/>
          <w:bCs/>
          <w:sz w:val="32"/>
          <w:szCs w:val="32"/>
        </w:rPr>
        <w:t>三、监测频次</w:t>
      </w:r>
      <w:bookmarkEnd w:id="431"/>
      <w:bookmarkEnd w:id="432"/>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水文监测规范》规定，雨量在线监测频次进行24小时监测；水位平水期4段制，洪水期24段制；流量在线实行实时监测；人工监测一般在河、湖闸坝开闸放水增加监测次数，突发性水污染事故期间监测频次根据需要适当增加。</w:t>
      </w:r>
    </w:p>
    <w:p>
      <w:pPr>
        <w:pStyle w:val="5"/>
        <w:keepNext/>
        <w:keepLines/>
        <w:pageBreakBefore w:val="0"/>
        <w:widowControl w:val="0"/>
        <w:kinsoku/>
        <w:wordWrap/>
        <w:overflowPunct/>
        <w:topLinePunct w:val="0"/>
        <w:autoSpaceDE/>
        <w:autoSpaceDN/>
        <w:bidi w:val="0"/>
        <w:spacing w:beforeAutospacing="0" w:afterAutospacing="0" w:line="590" w:lineRule="exact"/>
        <w:ind w:firstLine="640" w:firstLineChars="200"/>
        <w:jc w:val="center"/>
        <w:textAlignment w:val="auto"/>
        <w:rPr>
          <w:rFonts w:hint="default" w:ascii="Times New Roman" w:hAnsi="Times New Roman" w:eastAsia="方正黑体_GBK" w:cs="Times New Roman"/>
          <w:b w:val="0"/>
          <w:bCs/>
          <w:sz w:val="32"/>
          <w:szCs w:val="32"/>
        </w:rPr>
      </w:pPr>
      <w:bookmarkStart w:id="433" w:name="_Toc306557665"/>
      <w:bookmarkStart w:id="434" w:name="_Toc312309986"/>
      <w:bookmarkStart w:id="435" w:name="_Toc11850"/>
      <w:r>
        <w:rPr>
          <w:rFonts w:hint="default" w:ascii="Times New Roman" w:hAnsi="Times New Roman" w:eastAsia="方正黑体_GBK" w:cs="Times New Roman"/>
          <w:b w:val="0"/>
          <w:bCs/>
          <w:sz w:val="32"/>
          <w:szCs w:val="32"/>
        </w:rPr>
        <w:t>第四节  水质</w:t>
      </w:r>
      <w:bookmarkEnd w:id="433"/>
      <w:r>
        <w:rPr>
          <w:rFonts w:hint="default" w:ascii="Times New Roman" w:hAnsi="Times New Roman" w:eastAsia="方正黑体_GBK" w:cs="Times New Roman"/>
          <w:b w:val="0"/>
          <w:bCs/>
          <w:sz w:val="32"/>
          <w:szCs w:val="32"/>
        </w:rPr>
        <w:t>监测规划</w:t>
      </w:r>
      <w:bookmarkEnd w:id="434"/>
      <w:bookmarkEnd w:id="435"/>
    </w:p>
    <w:p>
      <w:pPr>
        <w:pStyle w:val="5"/>
        <w:keepNext/>
        <w:keepLines/>
        <w:pageBreakBefore w:val="0"/>
        <w:widowControl w:val="0"/>
        <w:kinsoku/>
        <w:wordWrap/>
        <w:overflowPunct/>
        <w:topLinePunct w:val="0"/>
        <w:autoSpaceDE/>
        <w:autoSpaceDN/>
        <w:bidi w:val="0"/>
        <w:spacing w:beforeAutospacing="0" w:afterAutospacing="0" w:line="590" w:lineRule="exact"/>
        <w:ind w:firstLine="640" w:firstLineChars="200"/>
        <w:textAlignment w:val="auto"/>
        <w:rPr>
          <w:rFonts w:hint="eastAsia" w:ascii="方正楷体_GBK" w:hAnsi="方正楷体_GBK" w:eastAsia="方正楷体_GBK" w:cs="方正楷体_GBK"/>
          <w:b w:val="0"/>
          <w:bCs/>
          <w:sz w:val="32"/>
          <w:szCs w:val="32"/>
        </w:rPr>
      </w:pPr>
      <w:bookmarkStart w:id="436" w:name="_Toc312309987"/>
      <w:bookmarkStart w:id="437" w:name="_Toc735"/>
      <w:r>
        <w:rPr>
          <w:rFonts w:hint="eastAsia" w:ascii="方正楷体_GBK" w:hAnsi="方正楷体_GBK" w:eastAsia="方正楷体_GBK" w:cs="方正楷体_GBK"/>
          <w:b w:val="0"/>
          <w:bCs/>
          <w:sz w:val="32"/>
          <w:szCs w:val="32"/>
        </w:rPr>
        <w:t>一、监测站点的设置</w:t>
      </w:r>
      <w:bookmarkEnd w:id="436"/>
      <w:bookmarkEnd w:id="437"/>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楷体_GBK" w:cs="Times New Roman"/>
          <w:b w:val="0"/>
          <w:bCs/>
          <w:sz w:val="32"/>
          <w:szCs w:val="32"/>
        </w:rPr>
      </w:pPr>
      <w:r>
        <w:rPr>
          <w:rFonts w:hint="default" w:ascii="Times New Roman" w:hAnsi="Times New Roman" w:eastAsia="方正楷体_GBK" w:cs="Times New Roman"/>
          <w:b w:val="0"/>
          <w:bCs/>
          <w:sz w:val="32"/>
          <w:szCs w:val="32"/>
        </w:rPr>
        <w:t>（1）地表水监测站点</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① 河流监测站点</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现有水质监测断面9个，新增监测断面19。</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② 湖、库监测站点</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现有水质监测点4个，新增监测断面4个；增加塌陷区监测断面5个。</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③ 水源地监测站点</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现有水质监测断面（点）5个，新增2个，水源地监测断面（点）达到7个。此外，原则上对全市所有较大取水口均需设置水质监测断面（点），未来新增新的城镇供水取水口需同时新增水质监测站点。</w:t>
      </w:r>
    </w:p>
    <w:p>
      <w:pPr>
        <w:pageBreakBefore w:val="0"/>
        <w:widowControl w:val="0"/>
        <w:kinsoku/>
        <w:wordWrap/>
        <w:overflowPunct/>
        <w:autoSpaceDE/>
        <w:autoSpaceDN/>
        <w:bidi w:val="0"/>
        <w:adjustRightInd w:val="0"/>
        <w:snapToGrid w:val="0"/>
        <w:spacing w:beforeAutospacing="0" w:afterAutospacing="0" w:line="590" w:lineRule="exact"/>
        <w:ind w:firstLine="643" w:firstLineChars="200"/>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④ 入河排污口监测站点</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淮南市现有入河排污口100个，对于其中排污量较大的排污口，每年需进行入河排污量监测。</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楷体_GBK" w:cs="Times New Roman"/>
          <w:b w:val="0"/>
          <w:bCs/>
          <w:sz w:val="32"/>
          <w:szCs w:val="32"/>
        </w:rPr>
      </w:pPr>
      <w:r>
        <w:rPr>
          <w:rFonts w:hint="default" w:ascii="Times New Roman" w:hAnsi="Times New Roman" w:eastAsia="方正楷体_GBK" w:cs="Times New Roman"/>
          <w:b w:val="0"/>
          <w:bCs/>
          <w:sz w:val="32"/>
          <w:szCs w:val="32"/>
        </w:rPr>
        <w:t>（2）地下水监测站点</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根据实际需要设置监测井点，原则上日取水量达0.05万t的地下水须进行水质监测。</w:t>
      </w:r>
    </w:p>
    <w:p>
      <w:pPr>
        <w:pStyle w:val="5"/>
        <w:keepNext/>
        <w:keepLines/>
        <w:pageBreakBefore w:val="0"/>
        <w:widowControl w:val="0"/>
        <w:kinsoku/>
        <w:wordWrap/>
        <w:overflowPunct/>
        <w:topLinePunct w:val="0"/>
        <w:autoSpaceDE/>
        <w:autoSpaceDN/>
        <w:bidi w:val="0"/>
        <w:spacing w:beforeAutospacing="0" w:afterAutospacing="0" w:line="590" w:lineRule="exact"/>
        <w:ind w:firstLine="640" w:firstLineChars="200"/>
        <w:textAlignment w:val="auto"/>
        <w:rPr>
          <w:rFonts w:hint="default" w:ascii="方正楷体_GBK" w:hAnsi="方正楷体_GBK" w:eastAsia="方正楷体_GBK" w:cs="方正楷体_GBK"/>
          <w:b w:val="0"/>
          <w:bCs/>
          <w:sz w:val="32"/>
          <w:szCs w:val="32"/>
        </w:rPr>
      </w:pPr>
      <w:bookmarkStart w:id="438" w:name="_Toc312309988"/>
      <w:bookmarkStart w:id="439" w:name="_Toc5731"/>
      <w:r>
        <w:rPr>
          <w:rFonts w:hint="default" w:ascii="方正楷体_GBK" w:hAnsi="方正楷体_GBK" w:eastAsia="方正楷体_GBK" w:cs="方正楷体_GBK"/>
          <w:b w:val="0"/>
          <w:bCs/>
          <w:sz w:val="32"/>
          <w:szCs w:val="32"/>
        </w:rPr>
        <w:t>二、监测方法</w:t>
      </w:r>
      <w:bookmarkEnd w:id="438"/>
      <w:bookmarkEnd w:id="439"/>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2020年之前，在继续做好对原有水质监测点人工水质监测工作的同时，完成对主要入河排污口水质、水量实施在线监测。</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2030年之前，加强对重点河流、湖泊、水库的水质监测，针对沉陷区规模的扩大，有必要建设新的水质监测点，实施在线监测，以确保沉陷区内水质安全。对主要新建和改建排污口水质、水量实施在线监测。</w:t>
      </w:r>
    </w:p>
    <w:p>
      <w:pPr>
        <w:pStyle w:val="5"/>
        <w:keepNext/>
        <w:keepLines/>
        <w:pageBreakBefore w:val="0"/>
        <w:widowControl w:val="0"/>
        <w:kinsoku/>
        <w:wordWrap/>
        <w:overflowPunct/>
        <w:topLinePunct w:val="0"/>
        <w:autoSpaceDE/>
        <w:autoSpaceDN/>
        <w:bidi w:val="0"/>
        <w:spacing w:beforeAutospacing="0" w:afterAutospacing="0" w:line="590" w:lineRule="exact"/>
        <w:ind w:firstLine="640" w:firstLineChars="200"/>
        <w:textAlignment w:val="auto"/>
        <w:rPr>
          <w:rFonts w:hint="default" w:ascii="方正楷体_GBK" w:hAnsi="方正楷体_GBK" w:eastAsia="方正楷体_GBK" w:cs="方正楷体_GBK"/>
          <w:b w:val="0"/>
          <w:bCs/>
          <w:sz w:val="32"/>
          <w:szCs w:val="32"/>
        </w:rPr>
      </w:pPr>
      <w:bookmarkStart w:id="440" w:name="_Toc312309989"/>
      <w:bookmarkStart w:id="441" w:name="_Toc11647"/>
      <w:r>
        <w:rPr>
          <w:rFonts w:hint="default" w:ascii="方正楷体_GBK" w:hAnsi="方正楷体_GBK" w:eastAsia="方正楷体_GBK" w:cs="方正楷体_GBK"/>
          <w:b w:val="0"/>
          <w:bCs/>
          <w:sz w:val="32"/>
          <w:szCs w:val="32"/>
        </w:rPr>
        <w:t>三、监测项目</w:t>
      </w:r>
      <w:bookmarkEnd w:id="440"/>
      <w:bookmarkEnd w:id="441"/>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近期，对水库水质主要按照《地表水环境质量标准》（GB3838-2002）中所确定的29项评价指标进行监测，河道水质监测项目按照《地表水环境质量标准》（GB3838-2002）中所确定的24项评价指标进行监测，对入河排污口进行流量、水温、pH、化学需氧量、氨氮、总磷、总氮、挥发酚、砷、氰化物监测。</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远期，水库在原监测项目基础上增加集中式生活饮用水地表水源地特定的20项指标。</w:t>
      </w:r>
    </w:p>
    <w:p>
      <w:pPr>
        <w:pStyle w:val="5"/>
        <w:keepNext/>
        <w:keepLines/>
        <w:pageBreakBefore w:val="0"/>
        <w:widowControl w:val="0"/>
        <w:kinsoku/>
        <w:wordWrap/>
        <w:overflowPunct/>
        <w:topLinePunct w:val="0"/>
        <w:autoSpaceDE/>
        <w:autoSpaceDN/>
        <w:bidi w:val="0"/>
        <w:spacing w:beforeAutospacing="0" w:afterAutospacing="0" w:line="590" w:lineRule="exact"/>
        <w:ind w:firstLine="640" w:firstLineChars="200"/>
        <w:textAlignment w:val="auto"/>
        <w:rPr>
          <w:rFonts w:hint="default" w:ascii="方正楷体_GBK" w:hAnsi="方正楷体_GBK" w:eastAsia="方正楷体_GBK" w:cs="方正楷体_GBK"/>
          <w:b w:val="0"/>
          <w:bCs/>
          <w:sz w:val="32"/>
          <w:szCs w:val="32"/>
        </w:rPr>
      </w:pPr>
      <w:bookmarkStart w:id="442" w:name="_Toc312309990"/>
      <w:bookmarkStart w:id="443" w:name="_Toc8931"/>
      <w:r>
        <w:rPr>
          <w:rFonts w:hint="default" w:ascii="方正楷体_GBK" w:hAnsi="方正楷体_GBK" w:eastAsia="方正楷体_GBK" w:cs="方正楷体_GBK"/>
          <w:b w:val="0"/>
          <w:bCs/>
          <w:sz w:val="32"/>
          <w:szCs w:val="32"/>
        </w:rPr>
        <w:t>四、监测频次</w:t>
      </w:r>
      <w:bookmarkEnd w:id="442"/>
      <w:bookmarkEnd w:id="443"/>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重要水库水质每月监测1次，河道水质每月监测1～3次，入河排污口水质根据需要确定监测次数，原则上每年汛期、枯水期监测次数不少于一次。在线监测进行适时监测。突发性水污染事故期间监测每天监测次数不少于1次。</w:t>
      </w:r>
    </w:p>
    <w:p>
      <w:pPr>
        <w:pStyle w:val="5"/>
        <w:keepNext/>
        <w:keepLines/>
        <w:pageBreakBefore w:val="0"/>
        <w:widowControl w:val="0"/>
        <w:kinsoku/>
        <w:wordWrap/>
        <w:overflowPunct/>
        <w:topLinePunct w:val="0"/>
        <w:autoSpaceDE/>
        <w:autoSpaceDN/>
        <w:bidi w:val="0"/>
        <w:spacing w:beforeAutospacing="0" w:afterAutospacing="0" w:line="590" w:lineRule="exact"/>
        <w:ind w:firstLine="640" w:firstLineChars="200"/>
        <w:jc w:val="center"/>
        <w:textAlignment w:val="auto"/>
        <w:rPr>
          <w:rFonts w:hint="eastAsia" w:ascii="方正黑体_GBK" w:hAnsi="方正黑体_GBK" w:eastAsia="方正黑体_GBK" w:cs="方正黑体_GBK"/>
          <w:b w:val="0"/>
          <w:bCs/>
          <w:sz w:val="32"/>
          <w:szCs w:val="32"/>
        </w:rPr>
      </w:pPr>
      <w:bookmarkStart w:id="444" w:name="_Toc312309991"/>
      <w:bookmarkStart w:id="445" w:name="_Toc17281"/>
      <w:bookmarkStart w:id="446" w:name="_Toc14779"/>
      <w:bookmarkStart w:id="447" w:name="_Toc17868"/>
      <w:r>
        <w:rPr>
          <w:rFonts w:hint="eastAsia" w:ascii="方正黑体_GBK" w:hAnsi="方正黑体_GBK" w:eastAsia="方正黑体_GBK" w:cs="方正黑体_GBK"/>
          <w:b w:val="0"/>
          <w:bCs/>
          <w:sz w:val="32"/>
          <w:szCs w:val="32"/>
        </w:rPr>
        <w:t>第五节  数据传输和控制系统建设</w:t>
      </w:r>
      <w:bookmarkEnd w:id="444"/>
      <w:bookmarkEnd w:id="445"/>
      <w:bookmarkEnd w:id="446"/>
      <w:bookmarkEnd w:id="447"/>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充分利用现代通信、计算机及网络技术，在建设水源地信息数据库的基础上，通过开发信息处理软件和发布平台，建立城市水源地安全监控信息管理系统，主要包括城市饮用水水源地数据库建设，监控数据传输系统、监控管理系统等。</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建设目标：根据城市饮用水水源地安全保障的需要，建设市水行政主管部门水源地安全保障监控中心，指挥、协调各水源地及其他重点水域的信息化管理。通过监控数据采集和传输系统，掌握水源地实时信息，并定期发布城市饮用水水源地水质、水量信息；通过信息管理系统，为水源地安全保障提供决策支持，并实现水源地风险预警预报。</w:t>
      </w:r>
    </w:p>
    <w:p>
      <w:pPr>
        <w:pStyle w:val="5"/>
        <w:keepNext/>
        <w:keepLines/>
        <w:pageBreakBefore w:val="0"/>
        <w:widowControl w:val="0"/>
        <w:kinsoku/>
        <w:wordWrap/>
        <w:overflowPunct/>
        <w:topLinePunct w:val="0"/>
        <w:autoSpaceDE/>
        <w:autoSpaceDN/>
        <w:bidi w:val="0"/>
        <w:spacing w:beforeAutospacing="0" w:afterAutospacing="0" w:line="590" w:lineRule="exact"/>
        <w:ind w:firstLine="640" w:firstLineChars="200"/>
        <w:jc w:val="left"/>
        <w:textAlignment w:val="auto"/>
        <w:rPr>
          <w:rFonts w:hint="eastAsia" w:ascii="方正楷体_GBK" w:hAnsi="方正楷体_GBK" w:eastAsia="方正楷体_GBK" w:cs="方正楷体_GBK"/>
          <w:b w:val="0"/>
          <w:bCs/>
          <w:sz w:val="32"/>
          <w:szCs w:val="32"/>
        </w:rPr>
      </w:pPr>
      <w:bookmarkStart w:id="448" w:name="_Toc2719"/>
      <w:bookmarkStart w:id="449" w:name="_Toc312309992"/>
      <w:bookmarkStart w:id="450" w:name="_Toc3193"/>
      <w:bookmarkStart w:id="451" w:name="_Toc3095"/>
      <w:r>
        <w:rPr>
          <w:rFonts w:hint="eastAsia" w:ascii="方正楷体_GBK" w:hAnsi="方正楷体_GBK" w:eastAsia="方正楷体_GBK" w:cs="方正楷体_GBK"/>
          <w:b w:val="0"/>
          <w:bCs/>
          <w:sz w:val="32"/>
          <w:szCs w:val="32"/>
        </w:rPr>
        <w:t>一、水资源数据库建设</w:t>
      </w:r>
      <w:bookmarkEnd w:id="448"/>
      <w:bookmarkEnd w:id="449"/>
      <w:bookmarkEnd w:id="450"/>
      <w:bookmarkEnd w:id="451"/>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全面进行重要水源地信息数据库建设。包括水源地基本信息、水源地水量水质监测数据、水质实验室管理信息、污染源信息、水利工程信息等，能够满足水源地安全保障管理的需要。</w:t>
      </w:r>
    </w:p>
    <w:p>
      <w:pPr>
        <w:pStyle w:val="5"/>
        <w:keepNext/>
        <w:keepLines/>
        <w:pageBreakBefore w:val="0"/>
        <w:widowControl w:val="0"/>
        <w:kinsoku/>
        <w:wordWrap/>
        <w:overflowPunct/>
        <w:topLinePunct w:val="0"/>
        <w:autoSpaceDE/>
        <w:autoSpaceDN/>
        <w:bidi w:val="0"/>
        <w:spacing w:beforeAutospacing="0" w:afterAutospacing="0" w:line="590" w:lineRule="exact"/>
        <w:ind w:firstLine="640" w:firstLineChars="200"/>
        <w:jc w:val="left"/>
        <w:textAlignment w:val="auto"/>
        <w:rPr>
          <w:rFonts w:hint="default" w:ascii="方正楷体_GBK" w:hAnsi="方正楷体_GBK" w:eastAsia="方正楷体_GBK" w:cs="方正楷体_GBK"/>
          <w:b w:val="0"/>
          <w:bCs/>
          <w:sz w:val="32"/>
          <w:szCs w:val="32"/>
        </w:rPr>
      </w:pPr>
      <w:bookmarkStart w:id="452" w:name="_Toc312309993"/>
      <w:bookmarkStart w:id="453" w:name="_Toc27015"/>
      <w:bookmarkStart w:id="454" w:name="_Toc32045"/>
      <w:bookmarkStart w:id="455" w:name="_Toc4938"/>
      <w:r>
        <w:rPr>
          <w:rFonts w:hint="default" w:ascii="方正楷体_GBK" w:hAnsi="方正楷体_GBK" w:eastAsia="方正楷体_GBK" w:cs="方正楷体_GBK"/>
          <w:b w:val="0"/>
          <w:bCs/>
          <w:sz w:val="32"/>
          <w:szCs w:val="32"/>
        </w:rPr>
        <w:t>二、信息传输系统建设</w:t>
      </w:r>
      <w:bookmarkEnd w:id="452"/>
      <w:bookmarkEnd w:id="453"/>
      <w:bookmarkEnd w:id="454"/>
      <w:bookmarkEnd w:id="455"/>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依托《安徽水旱情信息网》，在完成市水源地信息系统传输系统的基础上，建设城市饮用水水源地信息传输系统，以信息网络和相关应用软件作为技术支持，构建信息通道，实现实时通讯、信息采集、资源共享和信息传输。信息系统并入全省城市水源地信息系统。</w:t>
      </w:r>
    </w:p>
    <w:p>
      <w:pPr>
        <w:pStyle w:val="5"/>
        <w:keepNext/>
        <w:keepLines/>
        <w:pageBreakBefore w:val="0"/>
        <w:widowControl w:val="0"/>
        <w:kinsoku/>
        <w:wordWrap/>
        <w:overflowPunct/>
        <w:topLinePunct w:val="0"/>
        <w:autoSpaceDE/>
        <w:autoSpaceDN/>
        <w:bidi w:val="0"/>
        <w:spacing w:beforeAutospacing="0" w:afterAutospacing="0" w:line="590" w:lineRule="exact"/>
        <w:ind w:firstLine="640" w:firstLineChars="200"/>
        <w:jc w:val="left"/>
        <w:textAlignment w:val="auto"/>
        <w:rPr>
          <w:rFonts w:hint="default" w:ascii="方正楷体_GBK" w:hAnsi="方正楷体_GBK" w:eastAsia="方正楷体_GBK" w:cs="方正楷体_GBK"/>
          <w:b w:val="0"/>
          <w:bCs/>
          <w:sz w:val="32"/>
          <w:szCs w:val="32"/>
        </w:rPr>
      </w:pPr>
      <w:bookmarkStart w:id="456" w:name="_Toc2627"/>
      <w:bookmarkStart w:id="457" w:name="_Toc16682"/>
      <w:bookmarkStart w:id="458" w:name="_Toc5542"/>
      <w:bookmarkStart w:id="459" w:name="_Toc312309994"/>
      <w:r>
        <w:rPr>
          <w:rFonts w:hint="default" w:ascii="方正楷体_GBK" w:hAnsi="方正楷体_GBK" w:eastAsia="方正楷体_GBK" w:cs="方正楷体_GBK"/>
          <w:b w:val="0"/>
          <w:bCs/>
          <w:sz w:val="32"/>
          <w:szCs w:val="32"/>
        </w:rPr>
        <w:t>三、监控管理系统建设</w:t>
      </w:r>
      <w:bookmarkEnd w:id="456"/>
      <w:bookmarkEnd w:id="457"/>
      <w:bookmarkEnd w:id="458"/>
      <w:bookmarkEnd w:id="459"/>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建立市水源地信息评价和监控系统，实现实时监测、控制、评价水源地的水质、水量安全状况；建设水源地信息共享平台、信息发布平台，以及信息查询索引系统，具备信息查询、系统维护、信息统计分析等功能，以网络和数据库系统为支撑，运用WEB、WEB-GIS、多媒体等现代信息技术，实现定期发布水源地水量、水质信息；通过建立水质模型和开发预警预报软件和专家智能软件建成水源地风险预警预报和决策支持系统，提高风险预警预报能力，对突发性水源地污染事故、水量（水位）水质变化进行监控和预报。</w:t>
      </w:r>
    </w:p>
    <w:p>
      <w:pPr>
        <w:pStyle w:val="5"/>
        <w:keepNext/>
        <w:keepLines/>
        <w:pageBreakBefore w:val="0"/>
        <w:widowControl w:val="0"/>
        <w:kinsoku/>
        <w:wordWrap/>
        <w:overflowPunct/>
        <w:topLinePunct w:val="0"/>
        <w:autoSpaceDE/>
        <w:autoSpaceDN/>
        <w:bidi w:val="0"/>
        <w:spacing w:beforeAutospacing="0" w:afterAutospacing="0" w:line="590" w:lineRule="exact"/>
        <w:ind w:firstLine="640" w:firstLineChars="200"/>
        <w:jc w:val="center"/>
        <w:textAlignment w:val="auto"/>
        <w:rPr>
          <w:rFonts w:hint="default" w:ascii="Times New Roman" w:hAnsi="Times New Roman" w:eastAsia="方正黑体_GBK" w:cs="Times New Roman"/>
          <w:b w:val="0"/>
          <w:bCs/>
          <w:sz w:val="32"/>
          <w:szCs w:val="32"/>
        </w:rPr>
      </w:pPr>
      <w:bookmarkStart w:id="460" w:name="_Toc5156"/>
      <w:bookmarkStart w:id="461" w:name="_Toc312309995"/>
      <w:bookmarkStart w:id="462" w:name="_Toc27079"/>
      <w:bookmarkStart w:id="463" w:name="_Toc14192"/>
      <w:r>
        <w:rPr>
          <w:rFonts w:hint="default" w:ascii="Times New Roman" w:hAnsi="Times New Roman" w:eastAsia="方正黑体_GBK" w:cs="Times New Roman"/>
          <w:b w:val="0"/>
          <w:bCs/>
          <w:sz w:val="32"/>
          <w:szCs w:val="32"/>
        </w:rPr>
        <w:t>第六节  监测基地建设</w:t>
      </w:r>
      <w:bookmarkEnd w:id="460"/>
      <w:bookmarkEnd w:id="461"/>
      <w:bookmarkEnd w:id="462"/>
      <w:bookmarkEnd w:id="463"/>
    </w:p>
    <w:p>
      <w:pPr>
        <w:pStyle w:val="5"/>
        <w:keepNext/>
        <w:keepLines/>
        <w:pageBreakBefore w:val="0"/>
        <w:widowControl w:val="0"/>
        <w:kinsoku/>
        <w:wordWrap/>
        <w:overflowPunct/>
        <w:topLinePunct w:val="0"/>
        <w:autoSpaceDE/>
        <w:autoSpaceDN/>
        <w:bidi w:val="0"/>
        <w:spacing w:beforeAutospacing="0" w:afterAutospacing="0" w:line="590" w:lineRule="exact"/>
        <w:ind w:firstLine="640" w:firstLineChars="200"/>
        <w:jc w:val="left"/>
        <w:textAlignment w:val="auto"/>
        <w:rPr>
          <w:rFonts w:hint="default" w:ascii="方正楷体_GBK" w:hAnsi="方正楷体_GBK" w:eastAsia="方正楷体_GBK" w:cs="方正楷体_GBK"/>
          <w:b w:val="0"/>
          <w:bCs/>
          <w:sz w:val="32"/>
          <w:szCs w:val="32"/>
        </w:rPr>
      </w:pPr>
      <w:bookmarkStart w:id="464" w:name="_Toc312309996"/>
      <w:bookmarkStart w:id="465" w:name="_Toc11664"/>
      <w:bookmarkStart w:id="466" w:name="_Toc27281"/>
      <w:bookmarkStart w:id="467" w:name="_Toc24484"/>
      <w:r>
        <w:rPr>
          <w:rFonts w:hint="default" w:ascii="方正楷体_GBK" w:hAnsi="方正楷体_GBK" w:eastAsia="方正楷体_GBK" w:cs="方正楷体_GBK"/>
          <w:b w:val="0"/>
          <w:bCs/>
          <w:sz w:val="32"/>
          <w:szCs w:val="32"/>
        </w:rPr>
        <w:t>一、监测机构</w:t>
      </w:r>
      <w:bookmarkEnd w:id="464"/>
      <w:bookmarkEnd w:id="465"/>
      <w:bookmarkEnd w:id="466"/>
      <w:bookmarkEnd w:id="467"/>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2020年前组建淮南市水文水资源局，负责完成淮南市水资源、水质监测工作，由淮南市水利局和安徽省水文水资源局共管。</w:t>
      </w:r>
    </w:p>
    <w:p>
      <w:pPr>
        <w:pStyle w:val="5"/>
        <w:keepNext/>
        <w:keepLines/>
        <w:pageBreakBefore w:val="0"/>
        <w:widowControl w:val="0"/>
        <w:kinsoku/>
        <w:wordWrap/>
        <w:overflowPunct/>
        <w:topLinePunct w:val="0"/>
        <w:autoSpaceDE/>
        <w:autoSpaceDN/>
        <w:bidi w:val="0"/>
        <w:spacing w:beforeAutospacing="0" w:afterAutospacing="0" w:line="590" w:lineRule="exact"/>
        <w:ind w:firstLine="640" w:firstLineChars="200"/>
        <w:jc w:val="left"/>
        <w:textAlignment w:val="auto"/>
        <w:rPr>
          <w:rFonts w:hint="default" w:ascii="方正楷体_GBK" w:hAnsi="方正楷体_GBK" w:eastAsia="方正楷体_GBK" w:cs="方正楷体_GBK"/>
          <w:b w:val="0"/>
          <w:bCs/>
          <w:sz w:val="32"/>
          <w:szCs w:val="32"/>
        </w:rPr>
      </w:pPr>
      <w:bookmarkStart w:id="468" w:name="_Toc24874"/>
      <w:bookmarkStart w:id="469" w:name="_Toc1223"/>
      <w:bookmarkStart w:id="470" w:name="_Toc312309997"/>
      <w:bookmarkStart w:id="471" w:name="_Toc14693"/>
      <w:r>
        <w:rPr>
          <w:rFonts w:hint="default" w:ascii="方正楷体_GBK" w:hAnsi="方正楷体_GBK" w:eastAsia="方正楷体_GBK" w:cs="方正楷体_GBK"/>
          <w:b w:val="0"/>
          <w:bCs/>
          <w:sz w:val="32"/>
          <w:szCs w:val="32"/>
        </w:rPr>
        <w:t>二、任务分工</w:t>
      </w:r>
      <w:bookmarkEnd w:id="468"/>
      <w:bookmarkEnd w:id="469"/>
      <w:bookmarkEnd w:id="470"/>
      <w:bookmarkEnd w:id="471"/>
    </w:p>
    <w:p>
      <w:pPr>
        <w:pageBreakBefore w:val="0"/>
        <w:widowControl w:val="0"/>
        <w:tabs>
          <w:tab w:val="left" w:pos="525"/>
        </w:tabs>
        <w:kinsoku/>
        <w:wordWrap/>
        <w:overflowPunct/>
        <w:autoSpaceDE/>
        <w:autoSpaceDN/>
        <w:bidi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重大事项由水利局管理，日常事务由淮南市水文水资源局负责。淮南市水文水资源局负责水位、水量、水质监测，负责区域范围内入河排污口管理和监测，包括样品采集、各种监测信息收集和质量控制并上报市水利局、省水文局。</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p>
    <w:p>
      <w:pPr>
        <w:pStyle w:val="3"/>
        <w:pageBreakBefore w:val="0"/>
        <w:widowControl w:val="0"/>
        <w:kinsoku/>
        <w:wordWrap/>
        <w:overflowPunct/>
        <w:autoSpaceDE/>
        <w:autoSpaceDN/>
        <w:bidi w:val="0"/>
        <w:adjustRightInd w:val="0"/>
        <w:spacing w:before="0" w:beforeAutospacing="0" w:after="0" w:afterAutospacing="0" w:line="590" w:lineRule="exact"/>
        <w:jc w:val="center"/>
        <w:rPr>
          <w:rStyle w:val="16"/>
          <w:rFonts w:hint="default" w:ascii="Times New Roman" w:hAnsi="Times New Roman" w:eastAsia="方正仿宋_GBK" w:cs="Times New Roman"/>
          <w:b/>
          <w:sz w:val="32"/>
          <w:szCs w:val="32"/>
        </w:rPr>
      </w:pPr>
      <w:bookmarkStart w:id="472" w:name="_Toc312309998"/>
      <w:r>
        <w:rPr>
          <w:rStyle w:val="16"/>
          <w:rFonts w:hint="default" w:ascii="Times New Roman" w:hAnsi="Times New Roman" w:eastAsia="方正仿宋_GBK" w:cs="Times New Roman"/>
          <w:b/>
          <w:sz w:val="32"/>
          <w:szCs w:val="32"/>
        </w:rPr>
        <w:br w:type="page"/>
      </w:r>
      <w:bookmarkStart w:id="473" w:name="_Toc17698"/>
    </w:p>
    <w:p>
      <w:pPr>
        <w:pStyle w:val="3"/>
        <w:pageBreakBefore w:val="0"/>
        <w:widowControl w:val="0"/>
        <w:kinsoku/>
        <w:wordWrap/>
        <w:overflowPunct/>
        <w:autoSpaceDE/>
        <w:autoSpaceDN/>
        <w:bidi w:val="0"/>
        <w:adjustRightInd w:val="0"/>
        <w:spacing w:before="0" w:beforeAutospacing="0" w:after="0" w:afterAutospacing="0" w:line="590" w:lineRule="exact"/>
        <w:jc w:val="center"/>
        <w:rPr>
          <w:rStyle w:val="16"/>
          <w:rFonts w:hint="default" w:ascii="Times New Roman" w:hAnsi="Times New Roman" w:eastAsia="方正仿宋_GBK" w:cs="Times New Roman"/>
          <w:b/>
          <w:sz w:val="32"/>
          <w:szCs w:val="32"/>
        </w:rPr>
      </w:pPr>
    </w:p>
    <w:p>
      <w:pPr>
        <w:pStyle w:val="3"/>
        <w:pageBreakBefore w:val="0"/>
        <w:widowControl w:val="0"/>
        <w:kinsoku/>
        <w:wordWrap/>
        <w:overflowPunct/>
        <w:autoSpaceDE/>
        <w:autoSpaceDN/>
        <w:bidi w:val="0"/>
        <w:adjustRightInd w:val="0"/>
        <w:spacing w:before="0" w:beforeAutospacing="0" w:after="0" w:afterAutospacing="0" w:line="590" w:lineRule="exact"/>
        <w:jc w:val="center"/>
        <w:rPr>
          <w:rStyle w:val="16"/>
          <w:rFonts w:hint="default" w:ascii="Times New Roman" w:hAnsi="Times New Roman" w:eastAsia="方正黑体_GBK" w:cs="Times New Roman"/>
          <w:b w:val="0"/>
          <w:bCs w:val="0"/>
          <w:sz w:val="44"/>
          <w:szCs w:val="44"/>
        </w:rPr>
      </w:pPr>
      <w:r>
        <w:rPr>
          <w:rStyle w:val="16"/>
          <w:rFonts w:hint="eastAsia" w:ascii="方正小标宋_GBK" w:hAnsi="方正小标宋_GBK" w:eastAsia="方正小标宋_GBK" w:cs="方正小标宋_GBK"/>
          <w:b w:val="0"/>
          <w:bCs w:val="0"/>
          <w:sz w:val="44"/>
          <w:szCs w:val="44"/>
        </w:rPr>
        <w:t>第十章 规划实施效果评价</w:t>
      </w:r>
      <w:bookmarkEnd w:id="472"/>
      <w:bookmarkEnd w:id="473"/>
    </w:p>
    <w:p>
      <w:pPr>
        <w:pStyle w:val="5"/>
        <w:keepNext/>
        <w:keepLines/>
        <w:pageBreakBefore w:val="0"/>
        <w:widowControl w:val="0"/>
        <w:kinsoku/>
        <w:wordWrap/>
        <w:overflowPunct/>
        <w:topLinePunct w:val="0"/>
        <w:autoSpaceDE/>
        <w:autoSpaceDN/>
        <w:bidi w:val="0"/>
        <w:spacing w:beforeAutospacing="0" w:afterAutospacing="0" w:line="590" w:lineRule="exact"/>
        <w:ind w:firstLine="640" w:firstLineChars="200"/>
        <w:jc w:val="center"/>
        <w:textAlignment w:val="auto"/>
        <w:rPr>
          <w:rFonts w:hint="default" w:ascii="Times New Roman" w:hAnsi="Times New Roman" w:eastAsia="方正黑体_GBK" w:cs="Times New Roman"/>
          <w:b w:val="0"/>
          <w:bCs/>
          <w:sz w:val="32"/>
          <w:szCs w:val="32"/>
        </w:rPr>
      </w:pPr>
      <w:bookmarkStart w:id="474" w:name="_Toc306734727"/>
      <w:bookmarkStart w:id="475" w:name="_Toc288639844"/>
      <w:bookmarkStart w:id="476" w:name="_Toc26877"/>
      <w:bookmarkStart w:id="477" w:name="_Toc312309999"/>
      <w:r>
        <w:rPr>
          <w:rFonts w:hint="default" w:ascii="Times New Roman" w:hAnsi="Times New Roman" w:eastAsia="方正黑体_GBK" w:cs="Times New Roman"/>
          <w:b w:val="0"/>
          <w:bCs/>
          <w:sz w:val="32"/>
          <w:szCs w:val="32"/>
        </w:rPr>
        <w:t>第一节  综合评价</w:t>
      </w:r>
      <w:bookmarkEnd w:id="474"/>
      <w:bookmarkEnd w:id="475"/>
      <w:bookmarkEnd w:id="476"/>
      <w:bookmarkEnd w:id="477"/>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规划实施后，通过建设水源调蓄工程和区域调水工程等，逐步建立水资源安全供给网络体系，水资源配置能力和供水保障程度将显著提高，基本满足经济社会发展对水资源的合理需求。通过水资源合理配置与高效利用，至2030年，中等干旱年份年份可基本实现供需平衡，特殊干旱年有应对措施，把干旱损失降低到最低程度。同时，河道内生态环境用水状况得到明显改善，水资源保护和管理工作得到进一步加强。</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主要存在当地水资源量有限、水资源时空分布不均，水资源开发利用供需矛盾较突出、用水效率低，河湖水污染问题突出、局部地区生态破坏严重等水资源问题。本规划以科学发展观为统领，按照建设资源节约型和环境友好型社会的要求，采取工程措施和管理措施，对水资源进行合理配置和有效保护。规划实施后，目前存在的水资源问题均在一定程度上得到缓解。</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规划实施后，在</w:t>
      </w:r>
      <w:r>
        <w:rPr>
          <w:rFonts w:hint="default" w:ascii="Times New Roman" w:hAnsi="Times New Roman" w:eastAsia="方正仿宋_GBK" w:cs="Times New Roman"/>
          <w:bCs/>
          <w:sz w:val="32"/>
          <w:szCs w:val="32"/>
        </w:rPr>
        <w:t>“节水优先、空间均衡、系统治理、两手发力”</w:t>
      </w:r>
      <w:r>
        <w:rPr>
          <w:rFonts w:hint="default" w:ascii="Times New Roman" w:hAnsi="Times New Roman" w:eastAsia="方正仿宋_GBK" w:cs="Times New Roman"/>
          <w:sz w:val="32"/>
          <w:szCs w:val="32"/>
        </w:rPr>
        <w:t>的前提下，2020年全市配置水量（多年平均，下同）20.58亿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，2030年达到21.67亿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能够支撑经济社会的可持续发展。规划实施后，通过建设一批节水工程、水源调蓄工程、火电工业改造和区域调水工程等，对流域水资源进行合理配置，使现有水资源配置格局得到改善，地表水与地下水、河道外与河道内、跨区域之间的水资源配置状况将得到较大改善，流域或区域的水资源配置能力将显著提高，可在保障国民经济持续稳定发展对生活、生产和生态用水需求的前提下，2020年全市地区生产总值将达到1500亿元，到2030年经济总量将达到2500亿元。未来15年是全市城镇化快速发展的重要时期，城市规模及城市空间布局将出现重大变化；未来15年也是全市工业化进程加快发展的重要机遇期，国民经济布局和产业结构将会出现重大的战略性调整。保障城镇化和工业化快速健康发展对水资源的需求是水资源规划的重要战略性任务。规划实施后，在“节水优先、治污为本、多渠道开源”基本策略下，2020年配置城镇用水6.48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，2030年配置城镇用水7.91亿</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，可基本保障全市城镇化健康发展和工业化快速发展的供水安全。</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目前全市总体用水效率不高，单方水的产出明显低于发达国家，灌溉水综合利用系数0.55，一般工业用水重复率较低60%以下，具有较大的节水潜力。节约用水和科学用水应成为水资源合理利用的核心和水资源管理的首要任务，通过进一步加强中小型灌区续建配套与节水改造，提高水分利用效率，达到农业节水增产的目的；通过循环用水，提高用水的重复利用率，降低工业用水定额和减少排污量；城市生活用水应推广节水生活器具，减少生活用水的浪费，大力加强城市和工业节水工作，通过节水教育宣传、征收水资源费、调整水价、实行计划供水和取水许可制度等手段，加强水资源的统一管理，保证节水目标的实现。规划实施后，到2030年，全市水资源利用效率大幅度提高至55%，万元GDP用水量由基准年的215</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/万元，降低到2030年的88</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/万元，万元工业增加值用水量由2015年的77</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/万元降低到2030年的40</w:t>
      </w:r>
      <w:r>
        <w:rPr>
          <w:rFonts w:hint="default" w:ascii="Times New Roman" w:hAnsi="Times New Roman" w:eastAsia="方正仿宋_GBK" w:cs="Times New Roman"/>
          <w:sz w:val="32"/>
          <w:szCs w:val="32"/>
          <w:lang w:eastAsia="zh-CN"/>
        </w:rPr>
        <w:t>m³</w:t>
      </w:r>
      <w:r>
        <w:rPr>
          <w:rFonts w:hint="default" w:ascii="Times New Roman" w:hAnsi="Times New Roman" w:eastAsia="方正仿宋_GBK" w:cs="Times New Roman"/>
          <w:sz w:val="32"/>
          <w:szCs w:val="32"/>
        </w:rPr>
        <w:t>/万元，农业灌溉水利用系数由2015年的0.55提高到2030年的0.60以上。</w:t>
      </w:r>
    </w:p>
    <w:p>
      <w:pPr>
        <w:pStyle w:val="4"/>
        <w:pageBreakBefore w:val="0"/>
        <w:widowControl w:val="0"/>
        <w:kinsoku/>
        <w:wordWrap/>
        <w:overflowPunct/>
        <w:autoSpaceDE/>
        <w:autoSpaceDN/>
        <w:bidi w:val="0"/>
        <w:spacing w:beforeAutospacing="0" w:afterAutospacing="0" w:line="590" w:lineRule="exact"/>
        <w:rPr>
          <w:rFonts w:hint="default" w:ascii="Times New Roman" w:hAnsi="Times New Roman" w:eastAsia="方正黑体_GBK" w:cs="Times New Roman"/>
          <w:b w:val="0"/>
          <w:bCs w:val="0"/>
          <w:sz w:val="32"/>
          <w:szCs w:val="32"/>
        </w:rPr>
      </w:pPr>
      <w:bookmarkStart w:id="478" w:name="_Toc312310000"/>
      <w:bookmarkStart w:id="479" w:name="_Toc306734728"/>
      <w:bookmarkStart w:id="480" w:name="_Toc27093"/>
      <w:bookmarkStart w:id="481" w:name="_Toc288639845"/>
      <w:r>
        <w:rPr>
          <w:rFonts w:hint="default" w:ascii="Times New Roman" w:hAnsi="Times New Roman" w:eastAsia="方正黑体_GBK" w:cs="Times New Roman"/>
          <w:b w:val="0"/>
          <w:bCs w:val="0"/>
          <w:sz w:val="32"/>
          <w:szCs w:val="32"/>
        </w:rPr>
        <w:t>第二节  社会效益分析</w:t>
      </w:r>
      <w:bookmarkEnd w:id="478"/>
      <w:bookmarkEnd w:id="479"/>
      <w:bookmarkEnd w:id="480"/>
      <w:bookmarkEnd w:id="481"/>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bookmarkStart w:id="482" w:name="_Toc183342179"/>
      <w:bookmarkStart w:id="483" w:name="_Toc175390354"/>
      <w:bookmarkStart w:id="484" w:name="_Toc175673735"/>
      <w:bookmarkStart w:id="485" w:name="_Toc175392808"/>
      <w:r>
        <w:rPr>
          <w:rFonts w:hint="default" w:ascii="Times New Roman" w:hAnsi="Times New Roman" w:eastAsia="方正仿宋_GBK" w:cs="Times New Roman"/>
          <w:sz w:val="32"/>
          <w:szCs w:val="32"/>
        </w:rPr>
        <w:t>规划以水资源可持续利用支撑经济社会可持续发展为主线，着力提高水资源利用效率和水资源配置能力，按照强化节约用水模式，人与自然、水量水质统筹考虑，合理配置水资源，促进资源节约型、环境友好型社会建设，使水资源配置与社会、经济和资源发展布局相互协调。规划保障重点地区的水资源安全，改善城乡人民的生活、生产条件，重视基本生活用水的要求，提高了人民生活水平，保障小康目标的实现，有利于构建和谐社会。</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规划统筹协调全市经济社会的协调发展，通过合理配置水资源，有助于促进区域的协调发展。规划一方面突出了城市发展的水资源配置，另一方面重视新农村建设的水资源配置，提高了农村居民生活用水水平，改善了农村环境用水，城乡生活用水差别显著缩小，有助于统筹城乡协调发展。规划实施后，将在充分利用长江资源、加强经济发展、增强流域综合实力的基础上，缩小区域经济社会发展的差距，促进不同区域、不同流域社会、经济、生态环境与资源利用的协调发展。</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规划实施后，可显著提高城乡饮水安全保障程度，保障城乡人民生命健康。造成农村饮水安全问题既有水资源短缺和天然水质差的自然原因，也有人类活动造成水环境污染和水利工程供水不足等人为原因。造成城市饮水安全问题既有饮用水水源地污染问题，也有供水能力不足问题。规划实施后，通过采取工程措施和管理措施，加强水源工程、水资源保护工程建设，加强饮用水水源地的管理体系、水质监控体系建设和应急管理对策措施建设等，将建立城乡饮水安全保障体系，全面解决城乡饮水安全问题，保障人民生命健康，促进人的全面发展。</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规划实施可显著提高城镇供水安全保障程度，促进城镇经济社会发展。目前，我市城镇发展面临着水污染、用水效率不高、供水水源单一等水资源问题。城镇化进程加快是未来全市经济社会发展的基本特征之一，城镇化在转移农村剩余劳动力、缓解大的就业压力、促进社会主义新农村建设等方面均具有重要意义。据预测，到2020年城镇化率将由2015年的58.9%增长到65%，城镇总人口达到约243.8万人；2030年城镇化率为75%，城镇总人口约301.8万人。城镇化特别是城市群的发展，城镇区域内的需水量将呈现快速增长态势。保障城镇化发展和以城镇（城市）为载体的工业化发展的水资源需求，将是全市今后水资源开发利用的主要任务。规划实施后，通过采取“节水优先、治污为本、多渠道开源”的水资源开发利用战略，将加快城镇节水型社会建设进程，加大污水处理回用和水污染治理力度，减少污染物入河量，加快城镇供水水源建设，逐步建立健全城镇供水安全保障体系，提高城镇供水安全保障程度，促进城镇经济社会发展。</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规划实施可显著提高粮食安全供水安全保障程度，促进社会主义新农村建设。全市人口多，耕地少，保障粮食安全具有重大战略意义。现状粮食生产能力远不能满足全市人口高峰时的粮食需求；作为全省重要的粮食生产基地，在现状农田灌溉面积的基础上，到2030年全市还需新增农田有效灌溉面积逾23万亩。规划通过水资源的合理配置，不仅可以改善现有农田灌溉面积的供水条件，还可以基本保障新增农田灌溉面积的用水需求，逐步建立粮食安全用水保障体系，提高粮食安全用水保障程度。此外，对粮食主产区和农村人畜饮水困难地区等农村地区的供水工程和农业用水给予优先安排，在提高粮食安全用水保障程度的同时，也有力地推动了社会主义新农村的建设。</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规划实施可显著提高特殊干旱情况下的供水安全保障程度，保障经济发展和社会稳定。规划实施后通过建立应对特大干旱和连续干旱应急调度制度，做好应急水源规划及应急预案的制定工作，建立健全应急管理体系，加强常规条件下应急水源特别是饮用水源地及其配套输水设施的涵养、保护、维护和监管工作，可保证特殊干旱年份供水秩序和基本水量，保障经济社会的稳定。</w:t>
      </w:r>
    </w:p>
    <w:bookmarkEnd w:id="482"/>
    <w:bookmarkEnd w:id="483"/>
    <w:bookmarkEnd w:id="484"/>
    <w:bookmarkEnd w:id="485"/>
    <w:p>
      <w:pPr>
        <w:pStyle w:val="4"/>
        <w:pageBreakBefore w:val="0"/>
        <w:widowControl w:val="0"/>
        <w:kinsoku/>
        <w:wordWrap/>
        <w:overflowPunct/>
        <w:autoSpaceDE/>
        <w:autoSpaceDN/>
        <w:bidi w:val="0"/>
        <w:spacing w:beforeAutospacing="0" w:afterAutospacing="0" w:line="590" w:lineRule="exact"/>
        <w:rPr>
          <w:rFonts w:hint="default" w:ascii="Times New Roman" w:hAnsi="Times New Roman" w:eastAsia="方正黑体_GBK" w:cs="Times New Roman"/>
          <w:b w:val="0"/>
          <w:bCs w:val="0"/>
          <w:sz w:val="32"/>
          <w:szCs w:val="32"/>
        </w:rPr>
      </w:pPr>
      <w:bookmarkStart w:id="486" w:name="_Toc288639846"/>
      <w:bookmarkStart w:id="487" w:name="_Toc4226"/>
      <w:bookmarkStart w:id="488" w:name="_Toc312310001"/>
      <w:bookmarkStart w:id="489" w:name="_Toc306734729"/>
      <w:r>
        <w:rPr>
          <w:rFonts w:hint="default" w:ascii="Times New Roman" w:hAnsi="Times New Roman" w:eastAsia="方正黑体_GBK" w:cs="Times New Roman"/>
          <w:b w:val="0"/>
          <w:bCs w:val="0"/>
          <w:sz w:val="32"/>
          <w:szCs w:val="32"/>
        </w:rPr>
        <w:t>第三节  生态效益分析</w:t>
      </w:r>
      <w:bookmarkEnd w:id="486"/>
      <w:bookmarkEnd w:id="487"/>
      <w:bookmarkEnd w:id="488"/>
      <w:bookmarkEnd w:id="489"/>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通过节约用水、加大污水处理力度、提高污水处理回用量、加强河湖污染治理与控制以及生态修复等措施，可有效降低点源和非点源排入河湖的污染物总量，逐步恢复江河湖库的水体功能，改善河湖和地下水生态状况。规划按照人水和谐的理念，对水资源开发利用程度较低、尚有较大开发利用潜力的河流，按照水资源承载能力进行控制，保障了河流生态环境用水的要求；对水资源开发利用程度较高、河流生态用水已被挤占的河流，通过水资源合理配置，逐步退还挤占的生态用水，改善和恢复河流生态环境。至2030年，水环境与水生态状况以及城乡人居环境将得到明显改善，将呈现人水和谐、人与环境友好相处的局面。</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规划统筹协调了人与自然、河道内外用水，严格按照可利用量控制水资源的开发，按纳污能力控制用水和排污，按基本生态用水控制断面流量，合理配置“三生”用水；协调了经济用水与生态环境用水，考虑了河道的最小生态用水要求，在促进经济发展的同时，河流生态状况得到明显改善；对地下水开采实行了严格的控制，退还超采的深层承压水；注重了城镇环境、湿地补水以及生态林草建设等生态建设用水，为生态环境建设提供水资源保障。</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规划实施后，通过加大污水处理力度、提高污水处理回用量、加强河湖污染治理和生态修复等措施，可有效降低排入河湖的污染物量，逐步恢复河湖水体功能，改善河湖生态环境。规划按照人水和谐的理念，对水资源开发利用程度较低、尚有较大开发利用潜力的河流，按照水资源可利用量进行河流开发利用程度控制，保障河流生态环境用水要求；对水资源开发利用程度较高、河流生态环境用水已被挤占的河流，逐步退还生态环境用水，改善或逐渐恢复河流生态环境。规划实施后，除带来显著的经济效益、社会效益外，还将产生巨大的生态环境效益，促进人与自然的和谐发展。</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通过加强城镇集中式饮用水水源地安全保障设施建设，不仅可以保障水量、水质不合格人口的饮水安全，还可加强城市饮用水水源地的管理，防止在水源地管理范围内建设排污企业，加强面源污染治理，减少进入水源地的点源和面源污染负荷，保障城镇饮水安全，改善城镇生态环境。通过加强农村饮水安全建设，不仅可逐步改善饮水水量、水质不合格人口的饮水安全，还可逐步建立饮用水水源地保护制度，加强保护区内外的污染源治理，防止建设新的污染源，进行农村水系环境综合整治，改善农村生态环境。</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通过农业节水措施，可减少农业用水量，相应增加生态环境用水量，缓解生活、生产用水挤占生态环境用水状况，改善或恢复河湖生态环境。工业和城镇节水措施，可减少工业和城镇用水量，相应减少废污水和污染物排放量和入河量，为水环境的逐渐恢复创造条件。通过调整经济结构，转变经济增长方式，大力发展循环经济，可有效降低生活生产用水量，降低废污水和污染物的排放量，从而逐步改善污染严重河湖的生态环境。</w:t>
      </w:r>
    </w:p>
    <w:p>
      <w:pPr>
        <w:pageBreakBefore w:val="0"/>
        <w:widowControl w:val="0"/>
        <w:tabs>
          <w:tab w:val="left" w:pos="525"/>
        </w:tabs>
        <w:kinsoku/>
        <w:wordWrap/>
        <w:overflowPunct/>
        <w:autoSpaceDE/>
        <w:autoSpaceDN/>
        <w:bidi w:val="0"/>
        <w:adjustRightInd w:val="0"/>
        <w:snapToGrid w:val="0"/>
        <w:spacing w:beforeAutospacing="0" w:afterAutospacing="0" w:line="590" w:lineRule="exact"/>
        <w:ind w:firstLine="48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通过加强城镇污水处理设施建设，可逐步提高城镇污水处理程度，降低污染物的排放量和入河量；同时，污水处理设施的建设和有效运行，还为污水回用和污水资源化创造了条件。通过加强污染严重河湖的治理力度，可逐步改善或恢复河湖生态环境。</w:t>
      </w:r>
    </w:p>
    <w:p>
      <w:pPr>
        <w:pStyle w:val="3"/>
        <w:pageBreakBefore w:val="0"/>
        <w:widowControl w:val="0"/>
        <w:kinsoku/>
        <w:wordWrap/>
        <w:overflowPunct/>
        <w:autoSpaceDE/>
        <w:autoSpaceDN/>
        <w:bidi w:val="0"/>
        <w:adjustRightInd w:val="0"/>
        <w:spacing w:before="0" w:beforeAutospacing="0" w:after="0" w:afterAutospacing="0" w:line="590" w:lineRule="exact"/>
        <w:jc w:val="center"/>
        <w:rPr>
          <w:rStyle w:val="16"/>
          <w:rFonts w:hint="default" w:ascii="Times New Roman" w:hAnsi="Times New Roman" w:eastAsia="方正仿宋_GBK" w:cs="Times New Roman"/>
          <w:b/>
          <w:sz w:val="32"/>
          <w:szCs w:val="32"/>
        </w:rPr>
      </w:pPr>
      <w:bookmarkStart w:id="490" w:name="_Toc312310002"/>
      <w:r>
        <w:rPr>
          <w:rStyle w:val="16"/>
          <w:rFonts w:hint="default" w:ascii="Times New Roman" w:hAnsi="Times New Roman" w:eastAsia="方正仿宋_GBK" w:cs="Times New Roman"/>
          <w:b/>
          <w:sz w:val="32"/>
          <w:szCs w:val="32"/>
        </w:rPr>
        <w:br w:type="page"/>
      </w:r>
      <w:bookmarkStart w:id="491" w:name="_Toc5515"/>
    </w:p>
    <w:p>
      <w:pPr>
        <w:pStyle w:val="3"/>
        <w:pageBreakBefore w:val="0"/>
        <w:widowControl w:val="0"/>
        <w:kinsoku/>
        <w:wordWrap/>
        <w:overflowPunct/>
        <w:autoSpaceDE/>
        <w:autoSpaceDN/>
        <w:bidi w:val="0"/>
        <w:adjustRightInd w:val="0"/>
        <w:spacing w:before="0" w:beforeAutospacing="0" w:after="0" w:afterAutospacing="0" w:line="590" w:lineRule="exact"/>
        <w:jc w:val="center"/>
        <w:rPr>
          <w:rStyle w:val="16"/>
          <w:rFonts w:hint="default" w:ascii="Times New Roman" w:hAnsi="Times New Roman" w:eastAsia="方正仿宋_GBK" w:cs="Times New Roman"/>
          <w:b/>
          <w:sz w:val="32"/>
          <w:szCs w:val="32"/>
        </w:rPr>
      </w:pPr>
    </w:p>
    <w:p>
      <w:pPr>
        <w:pStyle w:val="3"/>
        <w:pageBreakBefore w:val="0"/>
        <w:widowControl w:val="0"/>
        <w:kinsoku/>
        <w:wordWrap/>
        <w:overflowPunct/>
        <w:autoSpaceDE/>
        <w:autoSpaceDN/>
        <w:bidi w:val="0"/>
        <w:adjustRightInd w:val="0"/>
        <w:spacing w:before="0" w:beforeAutospacing="0" w:after="0" w:afterAutospacing="0" w:line="590" w:lineRule="exact"/>
        <w:jc w:val="center"/>
        <w:rPr>
          <w:rStyle w:val="16"/>
          <w:rFonts w:hint="default" w:ascii="Times New Roman" w:hAnsi="Times New Roman" w:eastAsia="方正黑体_GBK" w:cs="Times New Roman"/>
          <w:b w:val="0"/>
          <w:bCs w:val="0"/>
          <w:sz w:val="44"/>
          <w:szCs w:val="44"/>
        </w:rPr>
      </w:pPr>
      <w:r>
        <w:rPr>
          <w:rStyle w:val="16"/>
          <w:rFonts w:hint="eastAsia" w:ascii="方正小标宋_GBK" w:hAnsi="方正小标宋_GBK" w:eastAsia="方正小标宋_GBK" w:cs="方正小标宋_GBK"/>
          <w:b w:val="0"/>
          <w:bCs w:val="0"/>
          <w:sz w:val="44"/>
          <w:szCs w:val="44"/>
        </w:rPr>
        <w:t>第十一章  环境影响评价</w:t>
      </w:r>
      <w:bookmarkEnd w:id="490"/>
      <w:bookmarkEnd w:id="491"/>
    </w:p>
    <w:p>
      <w:pPr>
        <w:pStyle w:val="4"/>
        <w:pageBreakBefore w:val="0"/>
        <w:widowControl w:val="0"/>
        <w:kinsoku/>
        <w:wordWrap/>
        <w:overflowPunct/>
        <w:autoSpaceDE/>
        <w:autoSpaceDN/>
        <w:bidi w:val="0"/>
        <w:spacing w:beforeAutospacing="0" w:afterAutospacing="0" w:line="590" w:lineRule="exact"/>
        <w:rPr>
          <w:rFonts w:hint="default" w:ascii="Times New Roman" w:hAnsi="Times New Roman" w:eastAsia="方正黑体_GBK" w:cs="Times New Roman"/>
          <w:b w:val="0"/>
          <w:bCs w:val="0"/>
          <w:sz w:val="32"/>
          <w:szCs w:val="32"/>
        </w:rPr>
      </w:pPr>
      <w:bookmarkStart w:id="492" w:name="_Toc32051"/>
      <w:bookmarkStart w:id="493" w:name="_Toc288639852"/>
      <w:bookmarkStart w:id="494" w:name="_Toc1852"/>
      <w:bookmarkStart w:id="495" w:name="_Toc312310007"/>
      <w:bookmarkStart w:id="496" w:name="_Toc28052"/>
      <w:bookmarkStart w:id="497" w:name="_Toc288639853"/>
      <w:bookmarkStart w:id="498" w:name="_Toc312310011"/>
      <w:r>
        <w:rPr>
          <w:rFonts w:hint="default" w:ascii="Times New Roman" w:hAnsi="Times New Roman" w:eastAsia="方正黑体_GBK" w:cs="Times New Roman"/>
          <w:b w:val="0"/>
          <w:bCs w:val="0"/>
          <w:sz w:val="32"/>
          <w:szCs w:val="32"/>
        </w:rPr>
        <w:t>第</w:t>
      </w:r>
      <w:r>
        <w:rPr>
          <w:rFonts w:hint="default" w:ascii="Times New Roman" w:hAnsi="Times New Roman" w:eastAsia="方正黑体_GBK" w:cs="Times New Roman"/>
          <w:b w:val="0"/>
          <w:bCs w:val="0"/>
          <w:sz w:val="32"/>
          <w:szCs w:val="32"/>
          <w:lang w:val="en-US" w:eastAsia="zh-CN"/>
        </w:rPr>
        <w:t>一</w:t>
      </w:r>
      <w:r>
        <w:rPr>
          <w:rFonts w:hint="default" w:ascii="Times New Roman" w:hAnsi="Times New Roman" w:eastAsia="方正黑体_GBK" w:cs="Times New Roman"/>
          <w:b w:val="0"/>
          <w:bCs w:val="0"/>
          <w:sz w:val="32"/>
          <w:szCs w:val="32"/>
        </w:rPr>
        <w:t>节  环境保护目标</w:t>
      </w:r>
      <w:bookmarkEnd w:id="492"/>
      <w:bookmarkEnd w:id="493"/>
      <w:bookmarkEnd w:id="494"/>
      <w:bookmarkEnd w:id="495"/>
      <w:bookmarkEnd w:id="496"/>
    </w:p>
    <w:p>
      <w:pPr>
        <w:pStyle w:val="5"/>
        <w:pageBreakBefore w:val="0"/>
        <w:widowControl w:val="0"/>
        <w:kinsoku/>
        <w:wordWrap/>
        <w:overflowPunct/>
        <w:autoSpaceDE/>
        <w:autoSpaceDN/>
        <w:bidi w:val="0"/>
        <w:spacing w:beforeAutospacing="0" w:afterAutospacing="0" w:line="590" w:lineRule="exact"/>
        <w:ind w:firstLine="568"/>
        <w:rPr>
          <w:rFonts w:hint="eastAsia" w:ascii="方正楷体_GBK" w:hAnsi="方正楷体_GBK" w:eastAsia="方正楷体_GBK" w:cs="方正楷体_GBK"/>
          <w:b w:val="0"/>
          <w:bCs w:val="0"/>
          <w:sz w:val="32"/>
          <w:szCs w:val="32"/>
        </w:rPr>
      </w:pPr>
      <w:bookmarkStart w:id="499" w:name="_Toc312310008"/>
      <w:bookmarkStart w:id="500" w:name="_Toc25373"/>
      <w:bookmarkStart w:id="501" w:name="_Toc31784"/>
      <w:bookmarkStart w:id="502" w:name="_Toc26870"/>
      <w:r>
        <w:rPr>
          <w:rFonts w:hint="eastAsia" w:ascii="方正楷体_GBK" w:hAnsi="方正楷体_GBK" w:eastAsia="方正楷体_GBK" w:cs="方正楷体_GBK"/>
          <w:b w:val="0"/>
          <w:bCs w:val="0"/>
          <w:sz w:val="32"/>
          <w:szCs w:val="32"/>
        </w:rPr>
        <w:t>一、水资源开发</w:t>
      </w:r>
      <w:bookmarkEnd w:id="499"/>
      <w:bookmarkEnd w:id="500"/>
      <w:bookmarkEnd w:id="501"/>
      <w:bookmarkEnd w:id="502"/>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坚持开发中保护、保护的基础上开发的原则，统筹水资源合理开发利用和有效保护，科学规划重大水源工程和水资源配置工程，以水资源可持续利用支撑经济社会可持续发展，最大程度地减小水资源开发利用产生的不利环境影响。</w:t>
      </w:r>
    </w:p>
    <w:p>
      <w:pPr>
        <w:pStyle w:val="5"/>
        <w:pageBreakBefore w:val="0"/>
        <w:widowControl w:val="0"/>
        <w:kinsoku/>
        <w:wordWrap/>
        <w:overflowPunct/>
        <w:autoSpaceDE/>
        <w:autoSpaceDN/>
        <w:bidi w:val="0"/>
        <w:spacing w:beforeAutospacing="0" w:afterAutospacing="0" w:line="590" w:lineRule="exact"/>
        <w:ind w:firstLine="568"/>
        <w:rPr>
          <w:rFonts w:hint="default" w:ascii="方正楷体_GBK" w:hAnsi="方正楷体_GBK" w:eastAsia="方正楷体_GBK" w:cs="方正楷体_GBK"/>
          <w:b w:val="0"/>
          <w:bCs w:val="0"/>
          <w:sz w:val="32"/>
          <w:szCs w:val="32"/>
        </w:rPr>
      </w:pPr>
      <w:bookmarkStart w:id="503" w:name="_Toc20207"/>
      <w:bookmarkStart w:id="504" w:name="_Toc8740"/>
      <w:bookmarkStart w:id="505" w:name="_Toc312310009"/>
      <w:bookmarkStart w:id="506" w:name="_Toc19606"/>
      <w:r>
        <w:rPr>
          <w:rFonts w:hint="default" w:ascii="方正楷体_GBK" w:hAnsi="方正楷体_GBK" w:eastAsia="方正楷体_GBK" w:cs="方正楷体_GBK"/>
          <w:b w:val="0"/>
          <w:bCs w:val="0"/>
          <w:sz w:val="32"/>
          <w:szCs w:val="32"/>
        </w:rPr>
        <w:t>二、水环境保护</w:t>
      </w:r>
      <w:bookmarkEnd w:id="503"/>
      <w:bookmarkEnd w:id="504"/>
      <w:bookmarkEnd w:id="505"/>
      <w:bookmarkEnd w:id="506"/>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坚持水量与水质并重、治理与保护并举的原则，使规划水域水质能满足水域功能与质量要求，各种水域水质保证达到水功能区目标，污染物入河量全部控制在功能区纳污能力范围内，水环境呈良性变化。</w:t>
      </w:r>
    </w:p>
    <w:p>
      <w:pPr>
        <w:pStyle w:val="5"/>
        <w:pageBreakBefore w:val="0"/>
        <w:widowControl w:val="0"/>
        <w:kinsoku/>
        <w:wordWrap/>
        <w:overflowPunct/>
        <w:autoSpaceDE/>
        <w:autoSpaceDN/>
        <w:bidi w:val="0"/>
        <w:spacing w:beforeAutospacing="0" w:afterAutospacing="0" w:line="590" w:lineRule="exact"/>
        <w:ind w:firstLine="568"/>
        <w:rPr>
          <w:rFonts w:hint="default" w:ascii="方正楷体_GBK" w:hAnsi="方正楷体_GBK" w:eastAsia="方正楷体_GBK" w:cs="方正楷体_GBK"/>
          <w:b w:val="0"/>
          <w:bCs w:val="0"/>
          <w:sz w:val="32"/>
          <w:szCs w:val="32"/>
        </w:rPr>
      </w:pPr>
      <w:bookmarkStart w:id="507" w:name="_Toc29275"/>
      <w:bookmarkStart w:id="508" w:name="_Toc23992"/>
      <w:bookmarkStart w:id="509" w:name="_Toc312310010"/>
      <w:bookmarkStart w:id="510" w:name="_Toc21333"/>
      <w:r>
        <w:rPr>
          <w:rFonts w:hint="default" w:ascii="方正楷体_GBK" w:hAnsi="方正楷体_GBK" w:eastAsia="方正楷体_GBK" w:cs="方正楷体_GBK"/>
          <w:b w:val="0"/>
          <w:bCs w:val="0"/>
          <w:sz w:val="32"/>
          <w:szCs w:val="32"/>
        </w:rPr>
        <w:t>三、水生态修复</w:t>
      </w:r>
      <w:bookmarkEnd w:id="507"/>
      <w:bookmarkEnd w:id="508"/>
      <w:bookmarkEnd w:id="509"/>
      <w:bookmarkEnd w:id="510"/>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坚持生态优先、绿色发展的原则，结合水资源配置、防洪、排涝、灌溉设施建设，加强闸坝优化调度和水域管理，逐步修复江湖、河湖关系，恢复和保障河湖基本生态用水，维护河湖水生态良性发展和健康生命，防止水土流失。</w:t>
      </w:r>
    </w:p>
    <w:p>
      <w:pPr>
        <w:pageBreakBefore w:val="0"/>
        <w:widowControl w:val="0"/>
        <w:kinsoku/>
        <w:wordWrap/>
        <w:overflowPunct/>
        <w:autoSpaceDE/>
        <w:autoSpaceDN/>
        <w:bidi w:val="0"/>
        <w:spacing w:beforeAutospacing="0" w:afterAutospacing="0" w:line="590" w:lineRule="exact"/>
        <w:rPr>
          <w:rFonts w:hint="default" w:ascii="Times New Roman" w:hAnsi="Times New Roman" w:eastAsia="方正仿宋_GBK" w:cs="Times New Roman"/>
          <w:sz w:val="32"/>
          <w:szCs w:val="32"/>
        </w:rPr>
      </w:pPr>
    </w:p>
    <w:p>
      <w:pPr>
        <w:pStyle w:val="4"/>
        <w:pageBreakBefore w:val="0"/>
        <w:widowControl w:val="0"/>
        <w:kinsoku/>
        <w:wordWrap/>
        <w:overflowPunct/>
        <w:autoSpaceDE/>
        <w:autoSpaceDN/>
        <w:bidi w:val="0"/>
        <w:spacing w:beforeAutospacing="0" w:afterAutospacing="0" w:line="590" w:lineRule="exact"/>
        <w:rPr>
          <w:rFonts w:hint="default" w:ascii="Times New Roman" w:hAnsi="Times New Roman" w:eastAsia="方正黑体_GBK" w:cs="Times New Roman"/>
          <w:b w:val="0"/>
          <w:bCs w:val="0"/>
          <w:sz w:val="32"/>
          <w:szCs w:val="32"/>
          <w:lang w:val="en-US" w:eastAsia="zh-CN"/>
        </w:rPr>
      </w:pPr>
      <w:bookmarkStart w:id="511" w:name="_Toc19682"/>
      <w:r>
        <w:rPr>
          <w:rFonts w:hint="default" w:ascii="Times New Roman" w:hAnsi="Times New Roman" w:eastAsia="方正黑体_GBK" w:cs="Times New Roman"/>
          <w:b w:val="0"/>
          <w:bCs w:val="0"/>
          <w:sz w:val="32"/>
          <w:szCs w:val="32"/>
          <w:lang w:val="en-US" w:eastAsia="zh-CN"/>
        </w:rPr>
        <w:t>第二节  环境影响初步分析</w:t>
      </w:r>
      <w:bookmarkEnd w:id="497"/>
      <w:bookmarkEnd w:id="498"/>
      <w:bookmarkEnd w:id="511"/>
    </w:p>
    <w:p>
      <w:pPr>
        <w:pStyle w:val="5"/>
        <w:pageBreakBefore w:val="0"/>
        <w:widowControl w:val="0"/>
        <w:kinsoku/>
        <w:wordWrap/>
        <w:overflowPunct/>
        <w:autoSpaceDE/>
        <w:autoSpaceDN/>
        <w:bidi w:val="0"/>
        <w:spacing w:beforeAutospacing="0" w:afterAutospacing="0" w:line="590" w:lineRule="exact"/>
        <w:ind w:firstLine="568"/>
        <w:rPr>
          <w:rFonts w:hint="default" w:ascii="方正楷体_GBK" w:hAnsi="方正楷体_GBK" w:eastAsia="方正楷体_GBK" w:cs="方正楷体_GBK"/>
          <w:b w:val="0"/>
          <w:bCs w:val="0"/>
          <w:sz w:val="32"/>
          <w:szCs w:val="32"/>
        </w:rPr>
      </w:pPr>
      <w:bookmarkStart w:id="512" w:name="_Toc175392812"/>
      <w:bookmarkStart w:id="513" w:name="_Toc288639854"/>
      <w:bookmarkStart w:id="514" w:name="_Toc174845699"/>
      <w:bookmarkStart w:id="515" w:name="_Toc183342183"/>
      <w:bookmarkStart w:id="516" w:name="_Toc175390358"/>
      <w:bookmarkStart w:id="517" w:name="_Toc175673739"/>
      <w:bookmarkStart w:id="518" w:name="_Toc5419"/>
      <w:bookmarkStart w:id="519" w:name="_Toc312310012"/>
      <w:r>
        <w:rPr>
          <w:rFonts w:hint="default" w:ascii="方正楷体_GBK" w:hAnsi="方正楷体_GBK" w:eastAsia="方正楷体_GBK" w:cs="方正楷体_GBK"/>
          <w:b w:val="0"/>
          <w:bCs w:val="0"/>
          <w:sz w:val="32"/>
          <w:szCs w:val="32"/>
        </w:rPr>
        <w:t>一、城乡供水建设的环境影响</w:t>
      </w:r>
      <w:bookmarkEnd w:id="512"/>
      <w:bookmarkEnd w:id="513"/>
      <w:bookmarkEnd w:id="514"/>
      <w:bookmarkEnd w:id="515"/>
      <w:bookmarkEnd w:id="516"/>
      <w:bookmarkEnd w:id="517"/>
      <w:bookmarkEnd w:id="518"/>
      <w:bookmarkEnd w:id="519"/>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解决农村饮水和生产用水需要建设各类农村供水工程，有可能对生态环境带来一些不利影响。在部分丘陵区修建的水源工程、平原区闸坝的建设可能改变天然径流过程和减少下游水量，虽然许多供水工程一般规模较小，对环境影响相对较小，但应注意各类供水工程建设对生态与环境的累积影响。</w:t>
      </w:r>
    </w:p>
    <w:p>
      <w:pPr>
        <w:pStyle w:val="5"/>
        <w:pageBreakBefore w:val="0"/>
        <w:widowControl w:val="0"/>
        <w:kinsoku/>
        <w:wordWrap/>
        <w:overflowPunct/>
        <w:autoSpaceDE/>
        <w:autoSpaceDN/>
        <w:bidi w:val="0"/>
        <w:spacing w:beforeAutospacing="0" w:afterAutospacing="0" w:line="590" w:lineRule="exact"/>
        <w:ind w:firstLine="568"/>
        <w:rPr>
          <w:rFonts w:hint="default" w:ascii="方正楷体_GBK" w:hAnsi="方正楷体_GBK" w:eastAsia="方正楷体_GBK" w:cs="方正楷体_GBK"/>
          <w:b w:val="0"/>
          <w:bCs w:val="0"/>
          <w:sz w:val="32"/>
          <w:szCs w:val="32"/>
        </w:rPr>
      </w:pPr>
      <w:bookmarkStart w:id="520" w:name="_Toc288639855"/>
      <w:bookmarkStart w:id="521" w:name="_Toc183342184"/>
      <w:bookmarkStart w:id="522" w:name="_Toc312310013"/>
      <w:bookmarkStart w:id="523" w:name="_Toc175392813"/>
      <w:bookmarkStart w:id="524" w:name="_Toc175673740"/>
      <w:bookmarkStart w:id="525" w:name="_Toc175390359"/>
      <w:bookmarkStart w:id="526" w:name="_Toc500"/>
      <w:bookmarkStart w:id="527" w:name="_Toc174845700"/>
      <w:r>
        <w:rPr>
          <w:rFonts w:hint="default" w:ascii="方正楷体_GBK" w:hAnsi="方正楷体_GBK" w:eastAsia="方正楷体_GBK" w:cs="方正楷体_GBK"/>
          <w:b w:val="0"/>
          <w:bCs w:val="0"/>
          <w:sz w:val="32"/>
          <w:szCs w:val="32"/>
        </w:rPr>
        <w:t>二、农业灌溉节水的环境影响</w:t>
      </w:r>
      <w:bookmarkEnd w:id="520"/>
      <w:bookmarkEnd w:id="521"/>
      <w:bookmarkEnd w:id="522"/>
      <w:bookmarkEnd w:id="523"/>
      <w:bookmarkEnd w:id="524"/>
      <w:bookmarkEnd w:id="525"/>
      <w:bookmarkEnd w:id="526"/>
      <w:bookmarkEnd w:id="527"/>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农业灌溉节水是节能减排和缓解干旱压力的重要措施，但同时农业节水工程建成运行后，减少了沿程和田间的渗漏，可能对输水渠沿途的植物生长和地下水补给带来不利影响，灌区退水的减少也可能对灌区盐分平衡带来一定的影响。</w:t>
      </w:r>
    </w:p>
    <w:p>
      <w:pPr>
        <w:pStyle w:val="5"/>
        <w:pageBreakBefore w:val="0"/>
        <w:widowControl w:val="0"/>
        <w:kinsoku/>
        <w:wordWrap/>
        <w:overflowPunct/>
        <w:autoSpaceDE/>
        <w:autoSpaceDN/>
        <w:bidi w:val="0"/>
        <w:spacing w:beforeAutospacing="0" w:afterAutospacing="0" w:line="590" w:lineRule="exact"/>
        <w:ind w:firstLine="568"/>
        <w:rPr>
          <w:rFonts w:hint="default" w:ascii="方正楷体_GBK" w:hAnsi="方正楷体_GBK" w:eastAsia="方正楷体_GBK" w:cs="方正楷体_GBK"/>
          <w:b w:val="0"/>
          <w:bCs w:val="0"/>
          <w:sz w:val="32"/>
          <w:szCs w:val="32"/>
        </w:rPr>
      </w:pPr>
      <w:bookmarkStart w:id="528" w:name="_Toc183342185"/>
      <w:bookmarkStart w:id="529" w:name="_Toc175392814"/>
      <w:bookmarkStart w:id="530" w:name="_Toc175390360"/>
      <w:bookmarkStart w:id="531" w:name="_Toc174845701"/>
      <w:bookmarkStart w:id="532" w:name="_Toc312310014"/>
      <w:bookmarkStart w:id="533" w:name="_Toc32091"/>
      <w:bookmarkStart w:id="534" w:name="_Toc175673741"/>
      <w:bookmarkStart w:id="535" w:name="_Toc288639856"/>
      <w:r>
        <w:rPr>
          <w:rFonts w:hint="default" w:ascii="方正楷体_GBK" w:hAnsi="方正楷体_GBK" w:eastAsia="方正楷体_GBK" w:cs="方正楷体_GBK"/>
          <w:b w:val="0"/>
          <w:bCs w:val="0"/>
          <w:sz w:val="32"/>
          <w:szCs w:val="32"/>
        </w:rPr>
        <w:t>三、发展灌溉面积的环境影响</w:t>
      </w:r>
      <w:bookmarkEnd w:id="528"/>
      <w:bookmarkEnd w:id="529"/>
      <w:bookmarkEnd w:id="530"/>
      <w:bookmarkEnd w:id="531"/>
      <w:bookmarkEnd w:id="532"/>
      <w:bookmarkEnd w:id="533"/>
      <w:bookmarkEnd w:id="534"/>
      <w:bookmarkEnd w:id="535"/>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发展灌溉面积是促进粮食增长、维护粮食安全的重要途径，但同时也会增加水资源的消耗，导致挤占河湖生态水量，加剧城乡供水矛盾，增加水资源配置难度，流域或区域水资源状况也会发生变化。</w:t>
      </w:r>
    </w:p>
    <w:p>
      <w:pPr>
        <w:pStyle w:val="5"/>
        <w:pageBreakBefore w:val="0"/>
        <w:widowControl w:val="0"/>
        <w:kinsoku/>
        <w:wordWrap/>
        <w:overflowPunct/>
        <w:autoSpaceDE/>
        <w:autoSpaceDN/>
        <w:bidi w:val="0"/>
        <w:spacing w:beforeAutospacing="0" w:afterAutospacing="0" w:line="590" w:lineRule="exact"/>
        <w:ind w:firstLine="568"/>
        <w:rPr>
          <w:rFonts w:hint="default" w:ascii="方正楷体_GBK" w:hAnsi="方正楷体_GBK" w:eastAsia="方正楷体_GBK" w:cs="方正楷体_GBK"/>
          <w:b w:val="0"/>
          <w:bCs w:val="0"/>
          <w:sz w:val="32"/>
          <w:szCs w:val="32"/>
        </w:rPr>
      </w:pPr>
      <w:bookmarkStart w:id="536" w:name="_Toc19922"/>
      <w:bookmarkStart w:id="537" w:name="_Toc175673742"/>
      <w:bookmarkStart w:id="538" w:name="_Toc175392815"/>
      <w:bookmarkStart w:id="539" w:name="_Toc312310015"/>
      <w:bookmarkStart w:id="540" w:name="_Toc288639857"/>
      <w:bookmarkStart w:id="541" w:name="_Toc174845702"/>
      <w:bookmarkStart w:id="542" w:name="_Toc175390361"/>
      <w:bookmarkStart w:id="543" w:name="_Toc183342186"/>
      <w:r>
        <w:rPr>
          <w:rFonts w:hint="default" w:ascii="方正楷体_GBK" w:hAnsi="方正楷体_GBK" w:eastAsia="方正楷体_GBK" w:cs="方正楷体_GBK"/>
          <w:b w:val="0"/>
          <w:bCs w:val="0"/>
          <w:sz w:val="32"/>
          <w:szCs w:val="32"/>
        </w:rPr>
        <w:t>四、水资源开发利用的环境影响</w:t>
      </w:r>
      <w:bookmarkEnd w:id="536"/>
      <w:bookmarkEnd w:id="537"/>
      <w:bookmarkEnd w:id="538"/>
      <w:bookmarkEnd w:id="539"/>
      <w:bookmarkEnd w:id="540"/>
      <w:bookmarkEnd w:id="541"/>
      <w:bookmarkEnd w:id="542"/>
      <w:bookmarkEnd w:id="543"/>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解决水资源时空分布不均和减轻干旱损失，水资源合理开发是关键。水资源开发利用工程主要包括地表水的蓄水工程、引水工程和提水工程等，特别是大型水利工程对河流生态环境的影响较大，工程建设会影响河流下游的水文情势、环境容量，带来水质、湿地、生境等环境敏感问题。此外，大型水利工程工程一般具有淹没及占地较多、移民数量较大等社会问题。</w:t>
      </w:r>
    </w:p>
    <w:p>
      <w:pPr>
        <w:pStyle w:val="5"/>
        <w:pageBreakBefore w:val="0"/>
        <w:widowControl w:val="0"/>
        <w:kinsoku/>
        <w:wordWrap/>
        <w:overflowPunct/>
        <w:autoSpaceDE/>
        <w:autoSpaceDN/>
        <w:bidi w:val="0"/>
        <w:spacing w:beforeAutospacing="0" w:afterAutospacing="0" w:line="590" w:lineRule="exact"/>
        <w:ind w:firstLine="568"/>
        <w:rPr>
          <w:rFonts w:hint="default" w:ascii="方正楷体_GBK" w:hAnsi="方正楷体_GBK" w:eastAsia="方正楷体_GBK" w:cs="方正楷体_GBK"/>
          <w:b w:val="0"/>
          <w:bCs w:val="0"/>
          <w:sz w:val="32"/>
          <w:szCs w:val="32"/>
        </w:rPr>
      </w:pPr>
      <w:bookmarkStart w:id="544" w:name="_Toc293556956"/>
      <w:bookmarkStart w:id="545" w:name="_Toc312310016"/>
      <w:bookmarkStart w:id="546" w:name="_Toc15513"/>
      <w:r>
        <w:rPr>
          <w:rFonts w:hint="default" w:ascii="方正楷体_GBK" w:hAnsi="方正楷体_GBK" w:eastAsia="方正楷体_GBK" w:cs="方正楷体_GBK"/>
          <w:b w:val="0"/>
          <w:bCs w:val="0"/>
          <w:sz w:val="32"/>
          <w:szCs w:val="32"/>
        </w:rPr>
        <w:t>五、调水工程对环境的影响</w:t>
      </w:r>
      <w:bookmarkEnd w:id="544"/>
      <w:bookmarkEnd w:id="545"/>
      <w:bookmarkEnd w:id="546"/>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有效利用洪水资源，抬高蓄水位有可能增加防洪安全风险；蓄水工程、引水工程、提水工程、跨流域调水工程等，特别是中型水库工程和跨流域调水工程对河流生态环境的影响较大，工程建设会改变河流下游的水文情势，可能对河流水质带来不利影响，改变河流生态系统的功能，对物种多样性和下游湿地、自然保护区等环境敏感区带来一定的不利影响；大中型跨流域或区域调水工程建设还可能对调入区或调出区生态环境带来不利影响等。此外，中型水库和跨流域调水等工程一般具有淹没及占地较多、移民数量较大的特点，移民安置难度大，不仅会对库区生态环境带来不利的影响，还可能带来一些社会问题。</w:t>
      </w:r>
    </w:p>
    <w:p>
      <w:pPr>
        <w:pStyle w:val="5"/>
        <w:pageBreakBefore w:val="0"/>
        <w:widowControl w:val="0"/>
        <w:kinsoku/>
        <w:wordWrap/>
        <w:overflowPunct/>
        <w:autoSpaceDE/>
        <w:autoSpaceDN/>
        <w:bidi w:val="0"/>
        <w:spacing w:beforeAutospacing="0" w:afterAutospacing="0" w:line="590" w:lineRule="exact"/>
        <w:ind w:firstLine="568"/>
        <w:rPr>
          <w:rFonts w:hint="default" w:ascii="方正楷体_GBK" w:hAnsi="方正楷体_GBK" w:eastAsia="方正楷体_GBK" w:cs="方正楷体_GBK"/>
          <w:b w:val="0"/>
          <w:bCs w:val="0"/>
          <w:sz w:val="32"/>
          <w:szCs w:val="32"/>
        </w:rPr>
      </w:pPr>
      <w:bookmarkStart w:id="547" w:name="_Toc5937"/>
      <w:bookmarkStart w:id="548" w:name="_Toc312310017"/>
      <w:bookmarkStart w:id="549" w:name="_Toc293556955"/>
      <w:bookmarkStart w:id="550" w:name="_Toc266312737"/>
      <w:r>
        <w:rPr>
          <w:rFonts w:hint="default" w:ascii="方正楷体_GBK" w:hAnsi="方正楷体_GBK" w:eastAsia="方正楷体_GBK" w:cs="方正楷体_GBK"/>
          <w:b w:val="0"/>
          <w:bCs w:val="0"/>
          <w:sz w:val="32"/>
          <w:szCs w:val="32"/>
        </w:rPr>
        <w:t>六、入河排污口整治对环境的影响</w:t>
      </w:r>
      <w:bookmarkEnd w:id="547"/>
      <w:bookmarkEnd w:id="548"/>
      <w:bookmarkEnd w:id="549"/>
      <w:bookmarkEnd w:id="550"/>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在入河排污口进行整治过程中，一部分入河排污口有可能迁移至其他功能区，在大量削减现状排污功能区污染物的同时，将部分增加其他功能区的污染物入河量，增加其他功能区入河污染负荷。</w:t>
      </w:r>
    </w:p>
    <w:p>
      <w:pPr>
        <w:pStyle w:val="5"/>
        <w:pageBreakBefore w:val="0"/>
        <w:widowControl w:val="0"/>
        <w:kinsoku/>
        <w:wordWrap/>
        <w:overflowPunct/>
        <w:autoSpaceDE/>
        <w:autoSpaceDN/>
        <w:bidi w:val="0"/>
        <w:spacing w:beforeAutospacing="0" w:afterAutospacing="0" w:line="590" w:lineRule="exact"/>
        <w:ind w:firstLine="568"/>
        <w:rPr>
          <w:rFonts w:hint="default" w:ascii="方正楷体_GBK" w:hAnsi="方正楷体_GBK" w:eastAsia="方正楷体_GBK" w:cs="方正楷体_GBK"/>
          <w:b w:val="0"/>
          <w:bCs w:val="0"/>
          <w:sz w:val="32"/>
          <w:szCs w:val="32"/>
        </w:rPr>
      </w:pPr>
      <w:bookmarkStart w:id="551" w:name="_Toc293556957"/>
      <w:bookmarkStart w:id="552" w:name="_Toc31822"/>
      <w:bookmarkStart w:id="553" w:name="_Toc312310018"/>
      <w:bookmarkStart w:id="554" w:name="_Toc266312739"/>
      <w:r>
        <w:rPr>
          <w:rFonts w:hint="default" w:ascii="方正楷体_GBK" w:hAnsi="方正楷体_GBK" w:eastAsia="方正楷体_GBK" w:cs="方正楷体_GBK"/>
          <w:b w:val="0"/>
          <w:bCs w:val="0"/>
          <w:sz w:val="32"/>
          <w:szCs w:val="32"/>
        </w:rPr>
        <w:t>七、监测能力建设对环境的影响</w:t>
      </w:r>
      <w:bookmarkEnd w:id="551"/>
      <w:bookmarkEnd w:id="552"/>
      <w:bookmarkEnd w:id="553"/>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在全面提升对江河湖库的监测能力的同时，可能对局部区域环境造成一定的影响，可能的影响有：一是建设期间，各类施工活动会对生态环境带来不利影响，施工人员密集还可能对人群健康带来不利影响；二是实验室建成后，由于监测样品和监测项目的增加，实验室污废水排放量、废气排放量将有所增加，可能对环境带来一定的影响。</w:t>
      </w:r>
    </w:p>
    <w:bookmarkEnd w:id="554"/>
    <w:p>
      <w:pPr>
        <w:pStyle w:val="5"/>
        <w:pageBreakBefore w:val="0"/>
        <w:widowControl w:val="0"/>
        <w:kinsoku/>
        <w:wordWrap/>
        <w:overflowPunct/>
        <w:autoSpaceDE/>
        <w:autoSpaceDN/>
        <w:bidi w:val="0"/>
        <w:spacing w:beforeAutospacing="0" w:afterAutospacing="0" w:line="590" w:lineRule="exact"/>
        <w:ind w:firstLine="568"/>
        <w:rPr>
          <w:rFonts w:hint="default" w:ascii="方正楷体_GBK" w:hAnsi="方正楷体_GBK" w:eastAsia="方正楷体_GBK" w:cs="方正楷体_GBK"/>
          <w:b w:val="0"/>
          <w:bCs w:val="0"/>
          <w:sz w:val="32"/>
          <w:szCs w:val="32"/>
        </w:rPr>
      </w:pPr>
      <w:bookmarkStart w:id="555" w:name="_Toc28986"/>
      <w:r>
        <w:rPr>
          <w:rFonts w:hint="default" w:ascii="方正楷体_GBK" w:hAnsi="方正楷体_GBK" w:eastAsia="方正楷体_GBK" w:cs="方正楷体_GBK"/>
          <w:b w:val="0"/>
          <w:bCs w:val="0"/>
          <w:sz w:val="32"/>
          <w:szCs w:val="32"/>
        </w:rPr>
        <w:t>八、沉陷区发展对环境的影响</w:t>
      </w:r>
      <w:bookmarkEnd w:id="555"/>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南市现有陈油坊、岳张集、小叶庄、潘集、刘岗塘-老鳖塘5处较大面积的采矿沉陷区、随着煤矿的开采量日益增加，沉陷区面积也将随着不断扩大，其对周边地质环境必将产生一定影响，减少土地面积，破坏植被，同时通过沉陷区，也可将外部污染物带入地下，污染地下水。</w:t>
      </w:r>
    </w:p>
    <w:p>
      <w:pPr>
        <w:pStyle w:val="4"/>
        <w:pageBreakBefore w:val="0"/>
        <w:widowControl w:val="0"/>
        <w:kinsoku/>
        <w:wordWrap/>
        <w:overflowPunct/>
        <w:autoSpaceDE/>
        <w:autoSpaceDN/>
        <w:bidi w:val="0"/>
        <w:spacing w:beforeAutospacing="0" w:afterAutospacing="0" w:line="590" w:lineRule="exact"/>
        <w:rPr>
          <w:rFonts w:hint="default" w:ascii="Times New Roman" w:hAnsi="Times New Roman" w:eastAsia="方正黑体_GBK" w:cs="Times New Roman"/>
          <w:b w:val="0"/>
          <w:bCs w:val="0"/>
          <w:sz w:val="32"/>
          <w:szCs w:val="32"/>
          <w:lang w:val="en-US" w:eastAsia="zh-CN"/>
        </w:rPr>
      </w:pPr>
      <w:bookmarkStart w:id="556" w:name="_Toc288639858"/>
      <w:bookmarkStart w:id="557" w:name="_Toc23770"/>
      <w:bookmarkStart w:id="558" w:name="_Toc312310019"/>
      <w:r>
        <w:rPr>
          <w:rFonts w:hint="default" w:ascii="Times New Roman" w:hAnsi="Times New Roman" w:eastAsia="方正黑体_GBK" w:cs="Times New Roman"/>
          <w:b w:val="0"/>
          <w:bCs w:val="0"/>
          <w:sz w:val="32"/>
          <w:szCs w:val="32"/>
          <w:lang w:val="en-US" w:eastAsia="zh-CN"/>
        </w:rPr>
        <w:t>第三节  对策措施</w:t>
      </w:r>
      <w:bookmarkEnd w:id="556"/>
      <w:bookmarkEnd w:id="557"/>
      <w:bookmarkEnd w:id="558"/>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在水资源开发利用的同时，更加重视对水资源的节约和保护，重视对河流生态和地下水系统的保护。要按照规划要求，逐步退还挤占的河道内生态用水和超采的地下水，保障河流的基本生态用水要求，维持河湖、水库和地下水的合理水位，减免对水生态环境带来不利影响。</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（2）依法加强建设项目的水资源论证和取水许可审批、水土保持方案编制和环境影响评价等工程建设前期工作，强化对水工程建设全过程的监督管理，认真落实各项环境保护措施。</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（3）切实做好工程征地补偿、移民安置和后期扶持工作，确保被征地农民的生活水平不因征地而降低，维护移民合法权益。</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（4）在利用洪水资源过程中，结合气象、水文、闸坝、湖库管理等部门做好中长期预测预报工作，降低防洪风险，预防和防止自然灾害的发生。</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（5）加强对规划实施可能影响的重要生态环境敏感区水生态系统的监测，及时掌握环境变化，及时采取相应的补救措施。</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入河排污口迁移整治过程中，所有截流的污水全部进入城市污水管网进入城市污水处理厂，处理达标后才允许排放。新设排污口必须进行入河排污口设置论证，其污染物排放严格做到达标排放，同时必须满足排入的污染物不超过该功能区的污染物入河控制总量。</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建设污水事故排放处理系统，污水处理厂应建有相应的事故污水收集池、完善事故污水处理方案、加强流域内污水处理厂之间的联动性，上游产生事故排放，下游决不能再向河内排入污水，确保在事故情况下，河流不会发生严重的污染事故，影响生产生活用水。</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8）建设环境监测能力的过程中，实验室排放的废水、废气、废渣应严格执行实验室污废水等处理措施，废水全部进入实验室污水处理系统，废气进行无害化深度处理排放，废渣全部按照要求进行无害化处理深埋。</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（9）加强规划实施的环境风险评价工作，针对可能发生的重大环境风险问题，制定突发性环境事件应急预案和风险应急管理措施。</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（10）切实加强水环境与水生态的治理保护，坚持预防为主，加强综合管理，强化从源头防治，恢复和保护生态环境。</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（11）加强淮南市沉陷区的环境保护监测工作，对较小的沉陷区也要采取相应的措施，加强管理，实时掌握沉陷区现状情况，以保护沉陷区周边环境质量。</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p>
    <w:p>
      <w:pPr>
        <w:pStyle w:val="2"/>
        <w:pageBreakBefore w:val="0"/>
        <w:widowControl w:val="0"/>
        <w:kinsoku/>
        <w:wordWrap/>
        <w:overflowPunct/>
        <w:autoSpaceDE/>
        <w:autoSpaceDN/>
        <w:bidi w:val="0"/>
        <w:spacing w:beforeAutospacing="0" w:afterAutospacing="0" w:line="590" w:lineRule="exact"/>
        <w:ind w:firstLine="486"/>
        <w:rPr>
          <w:rFonts w:hint="default" w:ascii="Times New Roman" w:hAnsi="Times New Roman" w:eastAsia="方正仿宋_GBK" w:cs="Times New Roman"/>
          <w:sz w:val="32"/>
          <w:szCs w:val="32"/>
        </w:rPr>
      </w:pPr>
    </w:p>
    <w:p>
      <w:pPr>
        <w:pStyle w:val="2"/>
        <w:pageBreakBefore w:val="0"/>
        <w:widowControl w:val="0"/>
        <w:kinsoku/>
        <w:wordWrap/>
        <w:overflowPunct/>
        <w:autoSpaceDE/>
        <w:autoSpaceDN/>
        <w:bidi w:val="0"/>
        <w:spacing w:beforeAutospacing="0" w:afterAutospacing="0" w:line="590" w:lineRule="exact"/>
        <w:ind w:firstLine="486"/>
        <w:rPr>
          <w:rFonts w:hint="default" w:ascii="Times New Roman" w:hAnsi="Times New Roman" w:eastAsia="方正仿宋_GBK" w:cs="Times New Roman"/>
          <w:sz w:val="32"/>
          <w:szCs w:val="32"/>
        </w:rPr>
      </w:pPr>
    </w:p>
    <w:p>
      <w:pPr>
        <w:pStyle w:val="3"/>
        <w:pageBreakBefore w:val="0"/>
        <w:widowControl w:val="0"/>
        <w:kinsoku/>
        <w:wordWrap/>
        <w:overflowPunct/>
        <w:autoSpaceDE/>
        <w:autoSpaceDN/>
        <w:bidi w:val="0"/>
        <w:adjustRightInd w:val="0"/>
        <w:spacing w:before="0" w:beforeAutospacing="0" w:after="0" w:afterAutospacing="0" w:line="590" w:lineRule="exact"/>
        <w:jc w:val="center"/>
        <w:rPr>
          <w:rStyle w:val="16"/>
          <w:rFonts w:hint="default" w:ascii="Times New Roman" w:hAnsi="Times New Roman" w:eastAsia="方正仿宋_GBK" w:cs="Times New Roman"/>
          <w:b/>
          <w:sz w:val="32"/>
          <w:szCs w:val="32"/>
        </w:rPr>
      </w:pPr>
      <w:bookmarkStart w:id="559" w:name="_Toc312310020"/>
      <w:r>
        <w:rPr>
          <w:rStyle w:val="16"/>
          <w:rFonts w:hint="default" w:ascii="Times New Roman" w:hAnsi="Times New Roman" w:eastAsia="方正仿宋_GBK" w:cs="Times New Roman"/>
          <w:b/>
          <w:sz w:val="32"/>
          <w:szCs w:val="32"/>
        </w:rPr>
        <w:br w:type="page"/>
      </w:r>
      <w:bookmarkStart w:id="560" w:name="_Toc21824"/>
    </w:p>
    <w:p>
      <w:pPr>
        <w:pStyle w:val="3"/>
        <w:pageBreakBefore w:val="0"/>
        <w:widowControl w:val="0"/>
        <w:kinsoku/>
        <w:wordWrap/>
        <w:overflowPunct/>
        <w:autoSpaceDE/>
        <w:autoSpaceDN/>
        <w:bidi w:val="0"/>
        <w:adjustRightInd w:val="0"/>
        <w:spacing w:before="0" w:beforeAutospacing="0" w:after="0" w:afterAutospacing="0" w:line="590" w:lineRule="exact"/>
        <w:jc w:val="center"/>
        <w:rPr>
          <w:rStyle w:val="16"/>
          <w:rFonts w:hint="default" w:ascii="Times New Roman" w:hAnsi="Times New Roman" w:eastAsia="方正仿宋_GBK" w:cs="Times New Roman"/>
          <w:b/>
          <w:sz w:val="32"/>
          <w:szCs w:val="32"/>
        </w:rPr>
      </w:pPr>
    </w:p>
    <w:p>
      <w:pPr>
        <w:pStyle w:val="3"/>
        <w:pageBreakBefore w:val="0"/>
        <w:widowControl w:val="0"/>
        <w:kinsoku/>
        <w:wordWrap/>
        <w:overflowPunct/>
        <w:autoSpaceDE/>
        <w:autoSpaceDN/>
        <w:bidi w:val="0"/>
        <w:adjustRightInd w:val="0"/>
        <w:spacing w:before="0" w:beforeAutospacing="0" w:after="0" w:afterAutospacing="0" w:line="590" w:lineRule="exact"/>
        <w:jc w:val="center"/>
        <w:rPr>
          <w:rStyle w:val="16"/>
          <w:rFonts w:hint="default" w:ascii="Times New Roman" w:hAnsi="Times New Roman" w:eastAsia="方正黑体_GBK" w:cs="Times New Roman"/>
          <w:b/>
          <w:sz w:val="44"/>
          <w:szCs w:val="44"/>
        </w:rPr>
      </w:pPr>
      <w:r>
        <w:rPr>
          <w:rStyle w:val="16"/>
          <w:rFonts w:hint="eastAsia" w:ascii="方正小标宋_GBK" w:hAnsi="方正小标宋_GBK" w:eastAsia="方正小标宋_GBK" w:cs="方正小标宋_GBK"/>
          <w:b/>
          <w:sz w:val="44"/>
          <w:szCs w:val="44"/>
        </w:rPr>
        <w:t>第十二章  规划保障措施</w:t>
      </w:r>
      <w:bookmarkEnd w:id="559"/>
      <w:bookmarkEnd w:id="560"/>
    </w:p>
    <w:p>
      <w:pPr>
        <w:pStyle w:val="4"/>
        <w:pageBreakBefore w:val="0"/>
        <w:widowControl w:val="0"/>
        <w:kinsoku/>
        <w:wordWrap/>
        <w:overflowPunct/>
        <w:autoSpaceDE/>
        <w:autoSpaceDN/>
        <w:bidi w:val="0"/>
        <w:spacing w:beforeAutospacing="0" w:afterAutospacing="0" w:line="590" w:lineRule="exact"/>
        <w:rPr>
          <w:rFonts w:hint="default" w:ascii="Times New Roman" w:hAnsi="Times New Roman" w:eastAsia="方正黑体_GBK" w:cs="Times New Roman"/>
          <w:b w:val="0"/>
          <w:bCs w:val="0"/>
          <w:sz w:val="32"/>
          <w:szCs w:val="32"/>
        </w:rPr>
      </w:pPr>
      <w:bookmarkStart w:id="561" w:name="_Toc312310021"/>
      <w:bookmarkStart w:id="562" w:name="_Toc10991"/>
      <w:r>
        <w:rPr>
          <w:rFonts w:hint="default" w:ascii="Times New Roman" w:hAnsi="Times New Roman" w:eastAsia="方正黑体_GBK" w:cs="Times New Roman"/>
          <w:b w:val="0"/>
          <w:bCs w:val="0"/>
          <w:sz w:val="32"/>
          <w:szCs w:val="32"/>
        </w:rPr>
        <w:t>第一节  加强水资源管理制度建设</w:t>
      </w:r>
      <w:bookmarkEnd w:id="561"/>
      <w:bookmarkEnd w:id="562"/>
    </w:p>
    <w:p>
      <w:pPr>
        <w:pStyle w:val="5"/>
        <w:pageBreakBefore w:val="0"/>
        <w:widowControl w:val="0"/>
        <w:kinsoku/>
        <w:wordWrap/>
        <w:overflowPunct/>
        <w:autoSpaceDE/>
        <w:autoSpaceDN/>
        <w:bidi w:val="0"/>
        <w:spacing w:beforeAutospacing="0" w:afterAutospacing="0" w:line="590" w:lineRule="exact"/>
        <w:ind w:firstLine="568"/>
        <w:rPr>
          <w:rFonts w:hint="eastAsia" w:ascii="方正楷体_GBK" w:hAnsi="方正楷体_GBK" w:eastAsia="方正楷体_GBK" w:cs="方正楷体_GBK"/>
          <w:b w:val="0"/>
          <w:bCs w:val="0"/>
          <w:sz w:val="32"/>
          <w:szCs w:val="32"/>
        </w:rPr>
      </w:pPr>
      <w:bookmarkStart w:id="563" w:name="_Toc23338"/>
      <w:bookmarkStart w:id="564" w:name="_Toc312310022"/>
      <w:r>
        <w:rPr>
          <w:rFonts w:hint="eastAsia" w:ascii="方正楷体_GBK" w:hAnsi="方正楷体_GBK" w:eastAsia="方正楷体_GBK" w:cs="方正楷体_GBK"/>
          <w:b w:val="0"/>
          <w:bCs w:val="0"/>
          <w:sz w:val="32"/>
          <w:szCs w:val="32"/>
        </w:rPr>
        <w:t>一、建立和完善用水总量控制制度</w:t>
      </w:r>
      <w:bookmarkEnd w:id="563"/>
    </w:p>
    <w:p>
      <w:pPr>
        <w:pageBreakBefore w:val="0"/>
        <w:widowControl w:val="0"/>
        <w:kinsoku/>
        <w:wordWrap/>
        <w:overflowPunct/>
        <w:autoSpaceDE/>
        <w:autoSpaceDN/>
        <w:bidi w:val="0"/>
        <w:spacing w:beforeAutospacing="0" w:afterAutospacing="0" w:line="590" w:lineRule="exact"/>
        <w:ind w:firstLine="643" w:firstLineChars="200"/>
        <w:rPr>
          <w:rFonts w:hint="default" w:ascii="Times New Roman" w:hAnsi="Times New Roman" w:eastAsia="方正仿宋_GBK" w:cs="Times New Roman"/>
          <w:b/>
          <w:bCs/>
          <w:sz w:val="32"/>
          <w:szCs w:val="32"/>
          <w:lang w:eastAsia="zh-TW"/>
        </w:rPr>
      </w:pPr>
      <w:bookmarkStart w:id="565" w:name="_Toc27057"/>
      <w:r>
        <w:rPr>
          <w:rFonts w:hint="default" w:ascii="Times New Roman" w:hAnsi="Times New Roman" w:eastAsia="方正仿宋_GBK" w:cs="Times New Roman"/>
          <w:b/>
          <w:bCs/>
          <w:sz w:val="32"/>
          <w:szCs w:val="32"/>
        </w:rPr>
        <w:t>（1）落实用水总量控制制度</w:t>
      </w:r>
      <w:bookmarkEnd w:id="565"/>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建立用水总量控制制度，根据安徽省关于实行最严格水资源管理制度、水资源管理双控方案等有关文件及规定，确定淮南市用水总量控制指标。将全市用水总量控制指标分解到各区县，并细化不同水源、不同用水类型的取水许可控制总量，形成市县（区）行政区域的取用水总量控制体系。各县区按照水量分配方案或用水总量控制指标，制定年度用水计划。逐步建立水权制度，探索运用市场机制配置水资源。制订全市水资源调度方案、应急调度预案，统一调度各类水源供水。</w:t>
      </w:r>
    </w:p>
    <w:p>
      <w:pPr>
        <w:pageBreakBefore w:val="0"/>
        <w:widowControl w:val="0"/>
        <w:kinsoku/>
        <w:wordWrap/>
        <w:overflowPunct/>
        <w:autoSpaceDE/>
        <w:autoSpaceDN/>
        <w:bidi w:val="0"/>
        <w:spacing w:beforeAutospacing="0" w:afterAutospacing="0" w:line="590" w:lineRule="exact"/>
        <w:ind w:firstLine="643" w:firstLineChars="200"/>
        <w:rPr>
          <w:rFonts w:hint="default" w:ascii="Times New Roman" w:hAnsi="Times New Roman" w:eastAsia="方正仿宋_GBK" w:cs="Times New Roman"/>
          <w:b/>
          <w:bCs/>
          <w:sz w:val="32"/>
          <w:szCs w:val="32"/>
          <w:lang w:eastAsia="zh-TW"/>
        </w:rPr>
      </w:pPr>
      <w:bookmarkStart w:id="566" w:name="_Toc3350"/>
      <w:r>
        <w:rPr>
          <w:rFonts w:hint="default" w:ascii="Times New Roman" w:hAnsi="Times New Roman" w:eastAsia="方正仿宋_GBK" w:cs="Times New Roman"/>
          <w:b/>
          <w:bCs/>
          <w:sz w:val="32"/>
          <w:szCs w:val="32"/>
        </w:rPr>
        <w:t>（2）严格执行水资源论证制度</w:t>
      </w:r>
      <w:bookmarkEnd w:id="566"/>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建立和完善建设项目与规划水资源论证制度，力争将水资源条件作为项目建设以及产业布局、区域和城镇发展规划审批的重要前置条件。</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严格执行建设项目水资源论证制度，所有需要取水或增加取水的新建、改建、扩建建设项目，都要进行建设项目水资源论证。实行政府审批制的建设项目，应当在审批前进行水资源论证；纳入核准项目目录的建设项目，应当在核准前进行水资源论证；实行备案的建设项目，应当在备案后、取水工程开工前进行水资源论证。对未经水资源论证或水资源论证未通过的建设项目，水利部门不得批准取水许可申请，发改部门不得审批、核准，县经信、建设、环保、市场监管等部门不得审批、核准相关行业申请，对违反规定擅自审批的，将追究有关审批主管部门的责任；违规建设单位不得擅自开工建设或投入使用，否则一律责令停工或停产。</w:t>
      </w:r>
    </w:p>
    <w:p>
      <w:pPr>
        <w:pageBreakBefore w:val="0"/>
        <w:widowControl w:val="0"/>
        <w:kinsoku/>
        <w:wordWrap/>
        <w:overflowPunct/>
        <w:autoSpaceDE/>
        <w:autoSpaceDN/>
        <w:bidi w:val="0"/>
        <w:spacing w:beforeAutospacing="0" w:afterAutospacing="0" w:line="590" w:lineRule="exact"/>
        <w:ind w:firstLine="643" w:firstLineChars="200"/>
        <w:rPr>
          <w:rFonts w:hint="default" w:ascii="Times New Roman" w:hAnsi="Times New Roman" w:eastAsia="方正仿宋_GBK" w:cs="Times New Roman"/>
          <w:b/>
          <w:bCs/>
          <w:sz w:val="32"/>
          <w:szCs w:val="32"/>
          <w:lang w:eastAsia="zh-TW"/>
        </w:rPr>
      </w:pPr>
      <w:bookmarkStart w:id="567" w:name="_Toc16614"/>
      <w:r>
        <w:rPr>
          <w:rFonts w:hint="default" w:ascii="Times New Roman" w:hAnsi="Times New Roman" w:eastAsia="方正仿宋_GBK" w:cs="Times New Roman"/>
          <w:b/>
          <w:bCs/>
          <w:sz w:val="32"/>
          <w:szCs w:val="32"/>
        </w:rPr>
        <w:t>（3）严格执行取水许可制度</w:t>
      </w:r>
      <w:bookmarkEnd w:id="567"/>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严格规范取水许可审批管理。对取用水总量达到或超过该地区取用水总量控制指标的县区，暂停审批建设项目新增取水；对取用水总量接近该地区取水总量控制指标的县区，限制审批建设项目新增取水；停止新增取水许可审批的县区，新建、改建和扩建建设项目取水只能依靠节约用水、水权转换、利用再生水等内部挖潜解决。</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对不符合国家产业政策或列入国家产业结构调整指导目录中淘汰类的，产品不符合行业用水定额标准的，审批机关不予批准。未按规定办理取水许可审批手续的取水户，应整改并依法补办。对拒绝办理取水许可证的，要依法处罚，坚决清理无证取水现象。</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强化取水许可监督管理，严格核定取水许可量，对取水许可有效期满申请延续的单位和个人，按新的用水定额核定其取水量，从严削减不合理取用水指标，依法查处无证取水等违法行为。建立全市取水许可管理登记信息台账，尽快完成依法应办理取水许可证的取水户登记入库工作。对重点用水企业建立健全水平衡测试制度。</w:t>
      </w:r>
    </w:p>
    <w:p>
      <w:pPr>
        <w:pageBreakBefore w:val="0"/>
        <w:widowControl w:val="0"/>
        <w:kinsoku/>
        <w:wordWrap/>
        <w:overflowPunct/>
        <w:autoSpaceDE/>
        <w:autoSpaceDN/>
        <w:bidi w:val="0"/>
        <w:spacing w:beforeAutospacing="0" w:afterAutospacing="0" w:line="590" w:lineRule="exact"/>
        <w:ind w:firstLine="643" w:firstLineChars="200"/>
        <w:rPr>
          <w:rFonts w:hint="default" w:ascii="Times New Roman" w:hAnsi="Times New Roman" w:eastAsia="方正仿宋_GBK" w:cs="Times New Roman"/>
          <w:b/>
          <w:bCs/>
          <w:sz w:val="32"/>
          <w:szCs w:val="32"/>
          <w:lang w:eastAsia="zh-TW"/>
        </w:rPr>
      </w:pPr>
      <w:bookmarkStart w:id="568" w:name="_Toc5930"/>
      <w:r>
        <w:rPr>
          <w:rFonts w:hint="default" w:ascii="Times New Roman" w:hAnsi="Times New Roman" w:eastAsia="方正仿宋_GBK" w:cs="Times New Roman"/>
          <w:b/>
          <w:bCs/>
          <w:sz w:val="32"/>
          <w:szCs w:val="32"/>
        </w:rPr>
        <w:t>（4）完善计划用水制度</w:t>
      </w:r>
      <w:bookmarkEnd w:id="568"/>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完善用水计划指标确定的科学性和合理性，规范用水计划下达程序，严格计划用水监督管理。扩大计划用水覆盖范围，将全市纳入取水许可管理的取水户、公共供水管网的用水大户、特种用水行业用水户等全部纳入计划管理。建立全市主要用水户用水档案并实施用水统计制度，定期对用水单位进行计划用水考核。</w:t>
      </w:r>
    </w:p>
    <w:p>
      <w:pPr>
        <w:pageBreakBefore w:val="0"/>
        <w:widowControl w:val="0"/>
        <w:kinsoku/>
        <w:wordWrap/>
        <w:overflowPunct/>
        <w:autoSpaceDE/>
        <w:autoSpaceDN/>
        <w:bidi w:val="0"/>
        <w:spacing w:beforeAutospacing="0" w:afterAutospacing="0" w:line="590" w:lineRule="exact"/>
        <w:ind w:firstLine="643" w:firstLineChars="200"/>
        <w:rPr>
          <w:rFonts w:hint="default" w:ascii="Times New Roman" w:hAnsi="Times New Roman" w:eastAsia="方正仿宋_GBK" w:cs="Times New Roman"/>
          <w:b/>
          <w:bCs/>
          <w:sz w:val="32"/>
          <w:szCs w:val="32"/>
          <w:lang w:eastAsia="zh-TW"/>
        </w:rPr>
      </w:pPr>
      <w:bookmarkStart w:id="569" w:name="_Toc7222"/>
      <w:r>
        <w:rPr>
          <w:rFonts w:hint="default" w:ascii="Times New Roman" w:hAnsi="Times New Roman" w:eastAsia="方正仿宋_GBK" w:cs="Times New Roman"/>
          <w:b/>
          <w:bCs/>
          <w:sz w:val="32"/>
          <w:szCs w:val="32"/>
        </w:rPr>
        <w:t>（5）完善取用水计量管理制度</w:t>
      </w:r>
      <w:bookmarkEnd w:id="569"/>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全面加强取用水计量。规范计量设施的购置、安装、维护和检测程序，所有环节必须符合国家技术标准。加强工业和服务业用水计量管理，完善内部三级计量网络；全面推进居民生活用水“一户一表”工程建设，实现抄表到户；在对生活和工业用水进行全面计量的基础上，逐步推行农业计量用水，完善斗渠以上渠系及井口农业用水计量，积极推行市政、环卫、绿化用水计量。规范取用水统计内容，健全全市取用水台帐和用水管理年报制度。</w:t>
      </w:r>
    </w:p>
    <w:p>
      <w:pPr>
        <w:pStyle w:val="5"/>
        <w:pageBreakBefore w:val="0"/>
        <w:widowControl w:val="0"/>
        <w:kinsoku/>
        <w:wordWrap/>
        <w:overflowPunct/>
        <w:autoSpaceDE/>
        <w:autoSpaceDN/>
        <w:bidi w:val="0"/>
        <w:spacing w:beforeAutospacing="0" w:afterAutospacing="0" w:line="590" w:lineRule="exact"/>
        <w:ind w:firstLine="568"/>
        <w:rPr>
          <w:rFonts w:hint="eastAsia" w:ascii="方正楷体_GBK" w:hAnsi="方正楷体_GBK" w:eastAsia="方正楷体_GBK" w:cs="方正楷体_GBK"/>
          <w:b w:val="0"/>
          <w:bCs w:val="0"/>
          <w:sz w:val="32"/>
          <w:szCs w:val="32"/>
        </w:rPr>
      </w:pPr>
      <w:bookmarkStart w:id="570" w:name="_Toc11476"/>
      <w:r>
        <w:rPr>
          <w:rFonts w:hint="eastAsia" w:ascii="方正楷体_GBK" w:hAnsi="方正楷体_GBK" w:eastAsia="方正楷体_GBK" w:cs="方正楷体_GBK"/>
          <w:b w:val="0"/>
          <w:bCs w:val="0"/>
          <w:sz w:val="32"/>
          <w:szCs w:val="32"/>
        </w:rPr>
        <w:t>二、建立和完善用水效率控制制度</w:t>
      </w:r>
      <w:bookmarkEnd w:id="570"/>
    </w:p>
    <w:p>
      <w:pPr>
        <w:pageBreakBefore w:val="0"/>
        <w:widowControl w:val="0"/>
        <w:kinsoku/>
        <w:wordWrap/>
        <w:overflowPunct/>
        <w:autoSpaceDE/>
        <w:autoSpaceDN/>
        <w:bidi w:val="0"/>
        <w:spacing w:beforeAutospacing="0" w:afterAutospacing="0" w:line="590" w:lineRule="exact"/>
        <w:ind w:firstLine="643" w:firstLineChars="200"/>
        <w:rPr>
          <w:rFonts w:hint="default" w:ascii="Times New Roman" w:hAnsi="Times New Roman" w:eastAsia="方正仿宋_GBK" w:cs="Times New Roman"/>
          <w:b/>
          <w:bCs/>
          <w:sz w:val="32"/>
          <w:szCs w:val="32"/>
          <w:lang w:eastAsia="zh-TW"/>
        </w:rPr>
      </w:pPr>
      <w:bookmarkStart w:id="571" w:name="_Toc9903"/>
      <w:r>
        <w:rPr>
          <w:rFonts w:hint="default" w:ascii="Times New Roman" w:hAnsi="Times New Roman" w:eastAsia="方正仿宋_GBK" w:cs="Times New Roman"/>
          <w:b/>
          <w:bCs/>
          <w:sz w:val="32"/>
          <w:szCs w:val="32"/>
        </w:rPr>
        <w:t>（1）建立和完善用水定额管理制度</w:t>
      </w:r>
      <w:bookmarkEnd w:id="571"/>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建立用水效率控制制度，尽快制订淮南市重点行业用水定额，扩大用水定额管理覆盖范围。在对全市用水定额现状评估的基础上，及时组织制订市域内各行业用水定额，细化用水效率控制指标。</w:t>
      </w:r>
    </w:p>
    <w:p>
      <w:pPr>
        <w:pageBreakBefore w:val="0"/>
        <w:widowControl w:val="0"/>
        <w:kinsoku/>
        <w:wordWrap/>
        <w:overflowPunct/>
        <w:autoSpaceDE/>
        <w:autoSpaceDN/>
        <w:bidi w:val="0"/>
        <w:spacing w:beforeAutospacing="0" w:afterAutospacing="0" w:line="590" w:lineRule="exact"/>
        <w:ind w:firstLine="643" w:firstLineChars="200"/>
        <w:rPr>
          <w:rFonts w:hint="default" w:ascii="Times New Roman" w:hAnsi="Times New Roman" w:eastAsia="方正仿宋_GBK" w:cs="Times New Roman"/>
          <w:b/>
          <w:bCs/>
          <w:sz w:val="32"/>
          <w:szCs w:val="32"/>
          <w:lang w:eastAsia="zh-TW"/>
        </w:rPr>
      </w:pPr>
      <w:bookmarkStart w:id="572" w:name="_Toc21252"/>
      <w:r>
        <w:rPr>
          <w:rFonts w:hint="default" w:ascii="Times New Roman" w:hAnsi="Times New Roman" w:eastAsia="方正仿宋_GBK" w:cs="Times New Roman"/>
          <w:b/>
          <w:bCs/>
          <w:sz w:val="32"/>
          <w:szCs w:val="32"/>
        </w:rPr>
        <w:t>（2）完善建设项目节水“三同时”制度</w:t>
      </w:r>
      <w:bookmarkEnd w:id="572"/>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新建、改建、扩建的建设项目，必须制订节水措施方案，配套建设节水设施。节水设施应与主体工程同时设计、同时施工、同时投入使用。建设单位按照规定编制节水方案，设计单位应当严格按照节水方案进行设计，施工单位、监理单位应当严格按照施工图设计文件，进行主体工程和配套节水设施的施工和监理。用水单位应当建立健全节水设施的管理制度和工作规程，保证设施正常运行，不得擅自停止使用已建成的节水设施。建立项目申请、审批、投资、建设、监督等环节节水设施“三同时”联动机制，相关部门各司其职、相互协调、精诚合作。依法加强水行政主管部门在建设项目节水设施“三同时”中的监督和管理。</w:t>
      </w:r>
    </w:p>
    <w:p>
      <w:pPr>
        <w:pageBreakBefore w:val="0"/>
        <w:widowControl w:val="0"/>
        <w:kinsoku/>
        <w:wordWrap/>
        <w:overflowPunct/>
        <w:autoSpaceDE/>
        <w:autoSpaceDN/>
        <w:bidi w:val="0"/>
        <w:spacing w:beforeAutospacing="0" w:afterAutospacing="0" w:line="590" w:lineRule="exact"/>
        <w:ind w:firstLine="643" w:firstLineChars="200"/>
        <w:rPr>
          <w:rFonts w:hint="default" w:ascii="Times New Roman" w:hAnsi="Times New Roman" w:eastAsia="方正仿宋_GBK" w:cs="Times New Roman"/>
          <w:b/>
          <w:bCs/>
          <w:sz w:val="32"/>
          <w:szCs w:val="32"/>
          <w:lang w:eastAsia="zh-TW"/>
        </w:rPr>
      </w:pPr>
      <w:bookmarkStart w:id="573" w:name="_Toc26954"/>
      <w:r>
        <w:rPr>
          <w:rFonts w:hint="default" w:ascii="Times New Roman" w:hAnsi="Times New Roman" w:eastAsia="方正仿宋_GBK" w:cs="Times New Roman"/>
          <w:b/>
          <w:bCs/>
          <w:sz w:val="32"/>
          <w:szCs w:val="32"/>
        </w:rPr>
        <w:t>（3）落实用水效率标识管理制度</w:t>
      </w:r>
      <w:bookmarkEnd w:id="573"/>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积极落实国家实施用水产品水效标识管理制度。积极建立水效标识制度，对主要用水产品逐步实行水效标识管理，推动生产者改进产品节水性能，引导消费者购买节水产品。推行节水产品认证，鼓励产品生产者或销售者申请使用节水产品认证标志，规范节水产品市场生产和销售。</w:t>
      </w:r>
    </w:p>
    <w:p>
      <w:pPr>
        <w:pageBreakBefore w:val="0"/>
        <w:widowControl w:val="0"/>
        <w:kinsoku/>
        <w:wordWrap/>
        <w:overflowPunct/>
        <w:autoSpaceDE/>
        <w:autoSpaceDN/>
        <w:bidi w:val="0"/>
        <w:spacing w:beforeAutospacing="0" w:afterAutospacing="0" w:line="590" w:lineRule="exact"/>
        <w:ind w:firstLine="643" w:firstLineChars="200"/>
        <w:rPr>
          <w:rFonts w:hint="default" w:ascii="Times New Roman" w:hAnsi="Times New Roman" w:eastAsia="方正仿宋_GBK" w:cs="Times New Roman"/>
          <w:b/>
          <w:bCs/>
          <w:sz w:val="32"/>
          <w:szCs w:val="32"/>
          <w:lang w:eastAsia="zh-TW"/>
        </w:rPr>
      </w:pPr>
      <w:bookmarkStart w:id="574" w:name="_Toc23769"/>
      <w:r>
        <w:rPr>
          <w:rFonts w:hint="default" w:ascii="Times New Roman" w:hAnsi="Times New Roman" w:eastAsia="方正仿宋_GBK" w:cs="Times New Roman"/>
          <w:b/>
          <w:bCs/>
          <w:sz w:val="32"/>
          <w:szCs w:val="32"/>
        </w:rPr>
        <w:t>（4）建立重点用户监控制度</w:t>
      </w:r>
      <w:bookmarkEnd w:id="574"/>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全市不同行业特点，确定达到一定取用水规模的大中型灌区、重点工业用水企业、生活服务业用水单位作为市级重点用水监控单位。加强重点用水监控单位取水、用水、排水的实时监控和信息统计。加强重点用水户监控管理，制定相应的管理办法。</w:t>
      </w:r>
    </w:p>
    <w:p>
      <w:pPr>
        <w:pageBreakBefore w:val="0"/>
        <w:widowControl w:val="0"/>
        <w:kinsoku/>
        <w:wordWrap/>
        <w:overflowPunct/>
        <w:autoSpaceDE/>
        <w:autoSpaceDN/>
        <w:bidi w:val="0"/>
        <w:spacing w:beforeAutospacing="0" w:afterAutospacing="0" w:line="590" w:lineRule="exact"/>
        <w:ind w:firstLine="643" w:firstLineChars="200"/>
        <w:rPr>
          <w:rFonts w:hint="default" w:ascii="Times New Roman" w:hAnsi="Times New Roman" w:eastAsia="方正仿宋_GBK" w:cs="Times New Roman"/>
          <w:b/>
          <w:bCs/>
          <w:sz w:val="32"/>
          <w:szCs w:val="32"/>
          <w:lang w:eastAsia="zh-TW"/>
        </w:rPr>
      </w:pPr>
      <w:bookmarkStart w:id="575" w:name="_Toc1651"/>
      <w:r>
        <w:rPr>
          <w:rFonts w:hint="default" w:ascii="Times New Roman" w:hAnsi="Times New Roman" w:eastAsia="方正仿宋_GBK" w:cs="Times New Roman"/>
          <w:b/>
          <w:bCs/>
          <w:sz w:val="32"/>
          <w:szCs w:val="32"/>
        </w:rPr>
        <w:t>（5）建立和完善计量监测统计制度</w:t>
      </w:r>
      <w:bookmarkEnd w:id="575"/>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加快建立全覆盖的节水计量监测体系。在全市各行各业建立供水、用水、耗水、排水的全过程节水计量和监测体系，统筹掌握各行业各县区的实时节水情况和节水水平，指导和监督各行业各县区的具体节水工作。建立用水、节水数据采集监测体系，对安装的用水计量设施要加强监督和维护。完善用水统计制度，规范用水统计内容和统计标准，把用水和节水统计纳入县级统计体系。要求重点用水企业要根据国家、地方和行业的节水相关规划，制定节水规章制度，健全用水台帐及原始记录等统计制度，安装取（用）水计量器具，每3-5年进行一次水平衡测试，及时发现问题，釆取行之有效的节水措施，挖掘节水潜力，提高用水效率，减少用水单耗。</w:t>
      </w:r>
    </w:p>
    <w:p>
      <w:pPr>
        <w:pStyle w:val="5"/>
        <w:pageBreakBefore w:val="0"/>
        <w:widowControl w:val="0"/>
        <w:kinsoku/>
        <w:wordWrap/>
        <w:overflowPunct/>
        <w:autoSpaceDE/>
        <w:autoSpaceDN/>
        <w:bidi w:val="0"/>
        <w:spacing w:beforeAutospacing="0" w:afterAutospacing="0" w:line="590" w:lineRule="exact"/>
        <w:ind w:firstLine="568"/>
        <w:rPr>
          <w:rFonts w:hint="default" w:ascii="方正楷体_GBK" w:hAnsi="方正楷体_GBK" w:eastAsia="方正楷体_GBK" w:cs="方正楷体_GBK"/>
          <w:b w:val="0"/>
          <w:bCs w:val="0"/>
          <w:sz w:val="32"/>
          <w:szCs w:val="32"/>
        </w:rPr>
      </w:pPr>
      <w:bookmarkStart w:id="576" w:name="_Toc28219"/>
      <w:r>
        <w:rPr>
          <w:rFonts w:hint="default" w:ascii="方正楷体_GBK" w:hAnsi="方正楷体_GBK" w:eastAsia="方正楷体_GBK" w:cs="方正楷体_GBK"/>
          <w:b w:val="0"/>
          <w:bCs w:val="0"/>
          <w:sz w:val="32"/>
          <w:szCs w:val="32"/>
        </w:rPr>
        <w:t>三、建立和完善水功能区限制纳污制度</w:t>
      </w:r>
      <w:bookmarkEnd w:id="576"/>
    </w:p>
    <w:p>
      <w:pPr>
        <w:pageBreakBefore w:val="0"/>
        <w:widowControl w:val="0"/>
        <w:kinsoku/>
        <w:wordWrap/>
        <w:overflowPunct/>
        <w:autoSpaceDE/>
        <w:autoSpaceDN/>
        <w:bidi w:val="0"/>
        <w:spacing w:beforeAutospacing="0" w:afterAutospacing="0" w:line="590" w:lineRule="exact"/>
        <w:ind w:firstLine="643" w:firstLineChars="200"/>
        <w:rPr>
          <w:rFonts w:hint="default" w:ascii="Times New Roman" w:hAnsi="Times New Roman" w:eastAsia="方正仿宋_GBK" w:cs="Times New Roman"/>
          <w:b/>
          <w:bCs/>
          <w:sz w:val="32"/>
          <w:szCs w:val="32"/>
          <w:lang w:eastAsia="zh-TW"/>
        </w:rPr>
      </w:pPr>
      <w:bookmarkStart w:id="577" w:name="_Toc73"/>
      <w:r>
        <w:rPr>
          <w:rFonts w:hint="default" w:ascii="Times New Roman" w:hAnsi="Times New Roman" w:eastAsia="方正仿宋_GBK" w:cs="Times New Roman"/>
          <w:b/>
          <w:bCs/>
          <w:sz w:val="32"/>
          <w:szCs w:val="32"/>
        </w:rPr>
        <w:t>（1）严格入河排污量控制</w:t>
      </w:r>
      <w:bookmarkEnd w:id="577"/>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严格水功能区监督管理。要把限制排污总量作为保护水资源、改善水环境的重要工作抓紧抓好。细化水功能区限制纳污指标，从严核定水域纳污能力，并根据纳污能力，提出分阶段限制排污总量，逐步实现水功能区达标率和限制排污总量的双控制。严格控制入河排污总量，对入河污染物总量已超出水功能区限制排污总量的县区，明确其污染物允许排放量，严格限制审批新增取水。</w:t>
      </w:r>
    </w:p>
    <w:p>
      <w:pPr>
        <w:pageBreakBefore w:val="0"/>
        <w:widowControl w:val="0"/>
        <w:kinsoku/>
        <w:wordWrap/>
        <w:overflowPunct/>
        <w:autoSpaceDE/>
        <w:autoSpaceDN/>
        <w:bidi w:val="0"/>
        <w:spacing w:beforeAutospacing="0" w:afterAutospacing="0" w:line="590" w:lineRule="exact"/>
        <w:ind w:firstLine="643" w:firstLineChars="200"/>
        <w:rPr>
          <w:rFonts w:hint="default" w:ascii="Times New Roman" w:hAnsi="Times New Roman" w:eastAsia="方正仿宋_GBK" w:cs="Times New Roman"/>
          <w:b/>
          <w:bCs/>
          <w:sz w:val="32"/>
          <w:szCs w:val="32"/>
          <w:lang w:eastAsia="zh-TW"/>
        </w:rPr>
      </w:pPr>
      <w:bookmarkStart w:id="578" w:name="_Toc23443"/>
      <w:r>
        <w:rPr>
          <w:rFonts w:hint="default" w:ascii="Times New Roman" w:hAnsi="Times New Roman" w:eastAsia="方正仿宋_GBK" w:cs="Times New Roman"/>
          <w:b/>
          <w:bCs/>
          <w:sz w:val="32"/>
          <w:szCs w:val="32"/>
        </w:rPr>
        <w:t>（2）加强入河排污口监督管理</w:t>
      </w:r>
      <w:bookmarkEnd w:id="578"/>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加强入河排污口管理，严格入河排污口设置审批、登记及监督管理。对于排污量已超出水功能区限制排污总量的区域，要限制审批新增取水和入河排污口。在饮用水水源保护区、重要水生态敏感区域、重要渔业水域，禁止新设排污口，已设的入河排污口限期清理。</w:t>
      </w:r>
    </w:p>
    <w:p>
      <w:pPr>
        <w:pageBreakBefore w:val="0"/>
        <w:widowControl w:val="0"/>
        <w:kinsoku/>
        <w:wordWrap/>
        <w:overflowPunct/>
        <w:autoSpaceDE/>
        <w:autoSpaceDN/>
        <w:bidi w:val="0"/>
        <w:spacing w:beforeAutospacing="0" w:afterAutospacing="0" w:line="590" w:lineRule="exact"/>
        <w:ind w:firstLine="643" w:firstLineChars="200"/>
        <w:rPr>
          <w:rFonts w:hint="default" w:ascii="Times New Roman" w:hAnsi="Times New Roman" w:eastAsia="方正仿宋_GBK" w:cs="Times New Roman"/>
          <w:b/>
          <w:bCs/>
          <w:sz w:val="32"/>
          <w:szCs w:val="32"/>
          <w:lang w:eastAsia="zh-TW"/>
        </w:rPr>
      </w:pPr>
      <w:bookmarkStart w:id="579" w:name="_Toc19985"/>
      <w:r>
        <w:rPr>
          <w:rFonts w:hint="default" w:ascii="Times New Roman" w:hAnsi="Times New Roman" w:eastAsia="方正仿宋_GBK" w:cs="Times New Roman"/>
          <w:b/>
          <w:bCs/>
          <w:sz w:val="32"/>
          <w:szCs w:val="32"/>
        </w:rPr>
        <w:t>（3）加强水功能区监测</w:t>
      </w:r>
      <w:bookmarkEnd w:id="579"/>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加强市级重要水功能区和河道断面的监测，完善监测设施，实时掌握水功能区水质及重要河流断面的水质变化情况。建立水功能区水质达标评价体系，定期公布水功能区水质达标情况。加强入河排污口监督管理与实时监测，对入河排污口进行全面核査，进一步完善入河排污口信息档案管理系统。建立水源地保护制度与水功能区水质超标预警制度。强化水功能区监督管理，开展水功能区管理试点研究，推进重点水功能区确界立碑工作。</w:t>
      </w:r>
    </w:p>
    <w:p>
      <w:pPr>
        <w:pageBreakBefore w:val="0"/>
        <w:widowControl w:val="0"/>
        <w:kinsoku/>
        <w:wordWrap/>
        <w:overflowPunct/>
        <w:autoSpaceDE/>
        <w:autoSpaceDN/>
        <w:bidi w:val="0"/>
        <w:spacing w:beforeAutospacing="0" w:afterAutospacing="0" w:line="590" w:lineRule="exact"/>
        <w:ind w:firstLine="643" w:firstLineChars="200"/>
        <w:rPr>
          <w:rFonts w:hint="default" w:ascii="Times New Roman" w:hAnsi="Times New Roman" w:eastAsia="方正仿宋_GBK" w:cs="Times New Roman"/>
          <w:b/>
          <w:bCs/>
          <w:sz w:val="32"/>
          <w:szCs w:val="32"/>
          <w:lang w:eastAsia="zh-TW"/>
        </w:rPr>
      </w:pPr>
      <w:bookmarkStart w:id="580" w:name="_Toc14198"/>
      <w:r>
        <w:rPr>
          <w:rFonts w:hint="default" w:ascii="Times New Roman" w:hAnsi="Times New Roman" w:eastAsia="方正仿宋_GBK" w:cs="Times New Roman"/>
          <w:b/>
          <w:bCs/>
          <w:sz w:val="32"/>
          <w:szCs w:val="32"/>
        </w:rPr>
        <w:t>（4）加强饮用水源地保护</w:t>
      </w:r>
      <w:bookmarkEnd w:id="580"/>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保障城乡饮用水安全，依法划定饮用水水源保护区。开展重要饮用水水源地安全保障达标建设，禁止在饮用水水源保护区内设置样污口，已设置排污口的由相关执法部门责令限期拆除。加强水源地保护工程建设，通过实施隔离防护、排污口治理等措施，保证饮用水水源地水质指标全部达到相应标准。强化饮用水水源应急管理，完善饮用水水源地突发事件应预案，建设备用水源地，健全预警和应急救援机制，增强防御突发污染事故和应对特殊干旱等风险的能力。</w:t>
      </w:r>
    </w:p>
    <w:p>
      <w:pPr>
        <w:pageBreakBefore w:val="0"/>
        <w:widowControl w:val="0"/>
        <w:kinsoku/>
        <w:wordWrap/>
        <w:overflowPunct/>
        <w:autoSpaceDE/>
        <w:autoSpaceDN/>
        <w:bidi w:val="0"/>
        <w:spacing w:beforeAutospacing="0" w:afterAutospacing="0" w:line="590" w:lineRule="exact"/>
        <w:ind w:firstLine="643" w:firstLineChars="200"/>
        <w:rPr>
          <w:rFonts w:hint="default" w:ascii="Times New Roman" w:hAnsi="Times New Roman" w:eastAsia="方正仿宋_GBK" w:cs="Times New Roman"/>
          <w:b/>
          <w:bCs/>
          <w:sz w:val="32"/>
          <w:szCs w:val="32"/>
          <w:lang w:eastAsia="zh-TW"/>
        </w:rPr>
      </w:pPr>
      <w:bookmarkStart w:id="581" w:name="_Toc3800"/>
      <w:r>
        <w:rPr>
          <w:rFonts w:hint="default" w:ascii="Times New Roman" w:hAnsi="Times New Roman" w:eastAsia="方正仿宋_GBK" w:cs="Times New Roman"/>
          <w:b/>
          <w:bCs/>
          <w:sz w:val="32"/>
          <w:szCs w:val="32"/>
        </w:rPr>
        <w:t>（5）积极推进水生态系统保护与修复</w:t>
      </w:r>
      <w:bookmarkEnd w:id="581"/>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开发利用水资源，应充分考虑基本生态用水需求，维护河湖健康生态。大力推进水生态文明市建设，组织实施和切实落实水生态系统保护与修复工程的建设，加强重要生态保护区、水源涵养区和湿地的保护。</w:t>
      </w:r>
    </w:p>
    <w:p>
      <w:pPr>
        <w:pStyle w:val="5"/>
        <w:pageBreakBefore w:val="0"/>
        <w:widowControl w:val="0"/>
        <w:kinsoku/>
        <w:wordWrap/>
        <w:overflowPunct/>
        <w:autoSpaceDE/>
        <w:autoSpaceDN/>
        <w:bidi w:val="0"/>
        <w:spacing w:beforeAutospacing="0" w:afterAutospacing="0" w:line="590" w:lineRule="exact"/>
        <w:ind w:firstLine="568"/>
        <w:rPr>
          <w:rFonts w:hint="default" w:ascii="方正楷体_GBK" w:hAnsi="方正楷体_GBK" w:eastAsia="方正楷体_GBK" w:cs="方正楷体_GBK"/>
          <w:b w:val="0"/>
          <w:bCs w:val="0"/>
          <w:sz w:val="32"/>
          <w:szCs w:val="32"/>
        </w:rPr>
      </w:pPr>
      <w:bookmarkStart w:id="582" w:name="_Toc11906"/>
      <w:r>
        <w:rPr>
          <w:rFonts w:hint="default" w:ascii="方正楷体_GBK" w:hAnsi="方正楷体_GBK" w:eastAsia="方正楷体_GBK" w:cs="方正楷体_GBK"/>
          <w:b w:val="0"/>
          <w:bCs w:val="0"/>
          <w:sz w:val="32"/>
          <w:szCs w:val="32"/>
        </w:rPr>
        <w:t>四、建立和完善最严格水资源管理考核制度</w:t>
      </w:r>
      <w:bookmarkEnd w:id="582"/>
    </w:p>
    <w:p>
      <w:pPr>
        <w:pageBreakBefore w:val="0"/>
        <w:widowControl w:val="0"/>
        <w:kinsoku/>
        <w:wordWrap/>
        <w:overflowPunct/>
        <w:autoSpaceDE/>
        <w:autoSpaceDN/>
        <w:bidi w:val="0"/>
        <w:spacing w:beforeAutospacing="0" w:afterAutospacing="0" w:line="590" w:lineRule="exact"/>
        <w:ind w:firstLine="643" w:firstLineChars="200"/>
        <w:rPr>
          <w:rFonts w:hint="default" w:ascii="Times New Roman" w:hAnsi="Times New Roman" w:eastAsia="方正仿宋_GBK" w:cs="Times New Roman"/>
          <w:b/>
          <w:bCs/>
          <w:sz w:val="32"/>
          <w:szCs w:val="32"/>
          <w:lang w:eastAsia="zh-TW"/>
        </w:rPr>
      </w:pPr>
      <w:bookmarkStart w:id="583" w:name="_Toc5401"/>
      <w:r>
        <w:rPr>
          <w:rFonts w:hint="default" w:ascii="Times New Roman" w:hAnsi="Times New Roman" w:eastAsia="方正仿宋_GBK" w:cs="Times New Roman"/>
          <w:b/>
          <w:bCs/>
          <w:sz w:val="32"/>
          <w:szCs w:val="32"/>
        </w:rPr>
        <w:t>（1）实行严格的责任制和考核制</w:t>
      </w:r>
      <w:bookmarkEnd w:id="583"/>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在全市建立最严格水资源管理考核制度，把主要控制性指标纳入经济社会发展综合评价体系，实行严格的责任制与考核制。提出考核指标，建立相应的考核方案和程序，对各考核单位落实年度目标和重点任务，定期进行考核，并提交考核成果。</w:t>
      </w:r>
    </w:p>
    <w:p>
      <w:pPr>
        <w:pageBreakBefore w:val="0"/>
        <w:widowControl w:val="0"/>
        <w:kinsoku/>
        <w:wordWrap/>
        <w:overflowPunct/>
        <w:autoSpaceDE/>
        <w:autoSpaceDN/>
        <w:bidi w:val="0"/>
        <w:spacing w:beforeAutospacing="0" w:afterAutospacing="0" w:line="590" w:lineRule="exact"/>
        <w:ind w:firstLine="643" w:firstLineChars="200"/>
        <w:rPr>
          <w:rFonts w:hint="default" w:ascii="Times New Roman" w:hAnsi="Times New Roman" w:eastAsia="方正仿宋_GBK" w:cs="Times New Roman"/>
          <w:b/>
          <w:bCs/>
          <w:sz w:val="32"/>
          <w:szCs w:val="32"/>
          <w:lang w:eastAsia="zh-TW"/>
        </w:rPr>
      </w:pPr>
      <w:bookmarkStart w:id="584" w:name="_Toc8882"/>
      <w:r>
        <w:rPr>
          <w:rFonts w:hint="default" w:ascii="Times New Roman" w:hAnsi="Times New Roman" w:eastAsia="方正仿宋_GBK" w:cs="Times New Roman"/>
          <w:b/>
          <w:bCs/>
          <w:sz w:val="32"/>
          <w:szCs w:val="32"/>
        </w:rPr>
        <w:t>（2）做好实施评估总结</w:t>
      </w:r>
      <w:bookmarkEnd w:id="584"/>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按照《实行最严格水资源管理考核工作实施方案》的要求，做好用水总量、万元工业增加值用水量、农田灌溉有效利用系数、水功能区水质达标率等测算以及水资源管理制度建设和措施落实情况总结等工作。</w:t>
      </w:r>
    </w:p>
    <w:bookmarkEnd w:id="564"/>
    <w:p>
      <w:pPr>
        <w:pStyle w:val="4"/>
        <w:pageBreakBefore w:val="0"/>
        <w:widowControl w:val="0"/>
        <w:kinsoku/>
        <w:wordWrap/>
        <w:overflowPunct/>
        <w:autoSpaceDE/>
        <w:autoSpaceDN/>
        <w:bidi w:val="0"/>
        <w:spacing w:beforeAutospacing="0" w:afterAutospacing="0" w:line="590" w:lineRule="exact"/>
        <w:rPr>
          <w:rFonts w:hint="default" w:ascii="Times New Roman" w:hAnsi="Times New Roman" w:eastAsia="方正黑体_GBK" w:cs="Times New Roman"/>
          <w:b w:val="0"/>
          <w:bCs w:val="0"/>
          <w:sz w:val="32"/>
          <w:szCs w:val="32"/>
        </w:rPr>
      </w:pPr>
      <w:bookmarkStart w:id="585" w:name="_Toc10534"/>
      <w:bookmarkStart w:id="586" w:name="_Toc312310031"/>
      <w:r>
        <w:rPr>
          <w:rFonts w:hint="default" w:ascii="Times New Roman" w:hAnsi="Times New Roman" w:eastAsia="方正黑体_GBK" w:cs="Times New Roman"/>
          <w:b w:val="0"/>
          <w:bCs w:val="0"/>
          <w:sz w:val="32"/>
          <w:szCs w:val="32"/>
        </w:rPr>
        <w:t>第二节  其他保障措施</w:t>
      </w:r>
      <w:bookmarkEnd w:id="585"/>
      <w:bookmarkEnd w:id="586"/>
    </w:p>
    <w:p>
      <w:pPr>
        <w:pStyle w:val="5"/>
        <w:pageBreakBefore w:val="0"/>
        <w:widowControl w:val="0"/>
        <w:kinsoku/>
        <w:wordWrap/>
        <w:overflowPunct/>
        <w:autoSpaceDE/>
        <w:autoSpaceDN/>
        <w:bidi w:val="0"/>
        <w:spacing w:beforeAutospacing="0" w:afterAutospacing="0" w:line="590" w:lineRule="exact"/>
        <w:ind w:firstLine="568"/>
        <w:rPr>
          <w:rFonts w:hint="default" w:ascii="方正楷体_GBK" w:hAnsi="方正楷体_GBK" w:eastAsia="方正楷体_GBK" w:cs="方正楷体_GBK"/>
          <w:b w:val="0"/>
          <w:bCs w:val="0"/>
          <w:sz w:val="32"/>
          <w:szCs w:val="32"/>
        </w:rPr>
      </w:pPr>
      <w:bookmarkStart w:id="587" w:name="_Toc312310032"/>
      <w:bookmarkStart w:id="588" w:name="_Toc274141930"/>
      <w:bookmarkStart w:id="589" w:name="_Toc27651"/>
      <w:bookmarkStart w:id="590" w:name="_Toc288639860"/>
      <w:r>
        <w:rPr>
          <w:rFonts w:hint="default" w:ascii="方正楷体_GBK" w:hAnsi="方正楷体_GBK" w:eastAsia="方正楷体_GBK" w:cs="方正楷体_GBK"/>
          <w:b w:val="0"/>
          <w:bCs w:val="0"/>
          <w:sz w:val="32"/>
          <w:szCs w:val="32"/>
        </w:rPr>
        <w:t>一、加强组织领导，强化职责分工</w:t>
      </w:r>
      <w:bookmarkEnd w:id="587"/>
      <w:bookmarkEnd w:id="588"/>
      <w:bookmarkEnd w:id="589"/>
      <w:bookmarkEnd w:id="590"/>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加强对全市水资源工作的组织领导，强化本规划的指导和约束作用，把规划确定的水资源开发利用和节约保护的控制性指标及主要任务纳入淮南市国民经济和社会发展规划和政府重要议事日程。加快构建和完善覆盖市、县的水资源管理“三条红线”控制指标体系、制度措施体系及由政府负总责的责任考核体系。建立相应的组织责任体系和协调机制。切实加强淮南市水资源的统一规划、统一配置和统一调度。建立水资源管理责任考核制度。加强实行最严格水资源管理制度的领导，成立市实行最严格水资源管理制度领导小组，协调和研究解决全市水资源管理工作中的突出问题。各县区人民政府、工业园区管委会应将水资源开发、利用、节约和保护的主要指标纳入经济社会发展综合评价体系，对本地水资源管理和保护工作负总责。市政府对各县区及工业园区实施规划及最严格水资源管理制度的目标任务完成情况、制度建设和措施落实情况进行考核。</w:t>
      </w:r>
    </w:p>
    <w:p>
      <w:pPr>
        <w:pStyle w:val="5"/>
        <w:pageBreakBefore w:val="0"/>
        <w:widowControl w:val="0"/>
        <w:kinsoku/>
        <w:wordWrap/>
        <w:overflowPunct/>
        <w:autoSpaceDE/>
        <w:autoSpaceDN/>
        <w:bidi w:val="0"/>
        <w:spacing w:beforeAutospacing="0" w:afterAutospacing="0" w:line="590" w:lineRule="exact"/>
        <w:ind w:firstLine="568"/>
        <w:rPr>
          <w:rFonts w:hint="default" w:ascii="方正楷体_GBK" w:hAnsi="方正楷体_GBK" w:eastAsia="方正楷体_GBK" w:cs="方正楷体_GBK"/>
          <w:b w:val="0"/>
          <w:bCs w:val="0"/>
          <w:sz w:val="32"/>
          <w:szCs w:val="32"/>
        </w:rPr>
      </w:pPr>
      <w:bookmarkStart w:id="591" w:name="_Toc7039"/>
      <w:r>
        <w:rPr>
          <w:rFonts w:hint="default" w:ascii="方正楷体_GBK" w:hAnsi="方正楷体_GBK" w:eastAsia="方正楷体_GBK" w:cs="方正楷体_GBK"/>
          <w:b w:val="0"/>
          <w:bCs w:val="0"/>
          <w:sz w:val="32"/>
          <w:szCs w:val="32"/>
        </w:rPr>
        <w:t>二、加强部门协调，形成工作合力</w:t>
      </w:r>
      <w:bookmarkEnd w:id="591"/>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各有关部门要按照职责分工，加强协调配合与指导监督，形成工作合力，主动做好水资源规划实施和管理相关工作，具体落实规划目标和任务，把水资源综合规划变成行之有效的行动和管理依据，保障规划的顺利实施。市水利局负责对全市各类水资源的统一监督管理，统筹安排规划各项任务与重点工程；农业局、林业局及农发等部门要协调配合水利局，做好农业节水目标任务和工程措施的落实工作：发改委、环保局要把水资源论证工作作为直接取水工程项目审批立项的前置条件严格把关，对未经水资源论证的新建、改建和扩建项目一律不予批准立项和环评审批；财政局要加大对规划重点工程及水资源管理经费支持力度；经信委要引导督促工业企业开展节水技改，落实建设项目节水工程“三同时”制度；建委、环保局、国土局要加强水资源保护与生态修复规划重点工程建设，加强城乡供水的水源地建设与保护、积极推进污水处理和公共供水管网改造，全面推广节水器具，做好节约用水相关工作；市场监督管理局要对节水器具市场准入严格把关；物价局负责建立有利于促进节水和水资源循环利用的水价机制；宣传、教育等部门要加大宣传力度，提高全民节水减排意识和水资源保护意识。</w:t>
      </w:r>
    </w:p>
    <w:p>
      <w:pPr>
        <w:pStyle w:val="5"/>
        <w:pageBreakBefore w:val="0"/>
        <w:widowControl w:val="0"/>
        <w:kinsoku/>
        <w:wordWrap/>
        <w:overflowPunct/>
        <w:autoSpaceDE/>
        <w:autoSpaceDN/>
        <w:bidi w:val="0"/>
        <w:spacing w:beforeAutospacing="0" w:afterAutospacing="0" w:line="590" w:lineRule="exact"/>
        <w:ind w:firstLine="568"/>
        <w:rPr>
          <w:rFonts w:hint="default" w:ascii="方正楷体_GBK" w:hAnsi="方正楷体_GBK" w:eastAsia="方正楷体_GBK" w:cs="方正楷体_GBK"/>
          <w:b w:val="0"/>
          <w:bCs w:val="0"/>
          <w:sz w:val="32"/>
          <w:szCs w:val="32"/>
        </w:rPr>
      </w:pPr>
      <w:bookmarkStart w:id="592" w:name="_Toc13183"/>
      <w:r>
        <w:rPr>
          <w:rFonts w:hint="default" w:ascii="方正楷体_GBK" w:hAnsi="方正楷体_GBK" w:eastAsia="方正楷体_GBK" w:cs="方正楷体_GBK"/>
          <w:b w:val="0"/>
          <w:bCs w:val="0"/>
          <w:sz w:val="32"/>
          <w:szCs w:val="32"/>
        </w:rPr>
        <w:t>三、完善政策制度，强化执法监督</w:t>
      </w:r>
      <w:bookmarkEnd w:id="592"/>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完善水资源开发、利用、配置、节约、保护的管理制度体系建设，建立健全对取水、供水、用水、耗水、排水全过程管理的制度，形成结构合理、管理科学、程序严密、制约有效的水资源综合管理制度体系。贯彻落实《国务院关于实行最严格水资源管理制度的意见》（国发〔2012〕3号)、《国务院办公厅关于印发实行最严格水资源管理制度考核办法的通知&gt;(国办发〔2013〕2号)、《安徽省人民政府关于实行最严格水资源管理制度的意见》（皖政〔2013〕5号）精神、以及《淮南市人民政府关于实行最严格水资源管理制度的意见》，加强实施最严格的水资源管理制度政策研究，配套出台有关淮南市水资源管理规范性文件。推进取水许可、水资源论证、计划用水及水资源配置、节约、保护、管理和水资源费征收使用等配套法规政策体系建设。加快建立和完善有利于水资源综合管理的财政支撑制度，进一步落实资金配套政策。</w:t>
      </w:r>
    </w:p>
    <w:p>
      <w:pPr>
        <w:pStyle w:val="5"/>
        <w:pageBreakBefore w:val="0"/>
        <w:widowControl w:val="0"/>
        <w:kinsoku/>
        <w:wordWrap/>
        <w:overflowPunct/>
        <w:autoSpaceDE/>
        <w:autoSpaceDN/>
        <w:bidi w:val="0"/>
        <w:spacing w:beforeAutospacing="0" w:afterAutospacing="0" w:line="590" w:lineRule="exact"/>
        <w:ind w:firstLine="568"/>
        <w:rPr>
          <w:rFonts w:hint="default" w:ascii="方正楷体_GBK" w:hAnsi="方正楷体_GBK" w:eastAsia="方正楷体_GBK" w:cs="方正楷体_GBK"/>
          <w:b w:val="0"/>
          <w:bCs w:val="0"/>
          <w:sz w:val="32"/>
          <w:szCs w:val="32"/>
        </w:rPr>
      </w:pPr>
      <w:bookmarkStart w:id="593" w:name="_Toc3091"/>
      <w:r>
        <w:rPr>
          <w:rFonts w:hint="default" w:ascii="方正楷体_GBK" w:hAnsi="方正楷体_GBK" w:eastAsia="方正楷体_GBK" w:cs="方正楷体_GBK"/>
          <w:b w:val="0"/>
          <w:bCs w:val="0"/>
          <w:sz w:val="32"/>
          <w:szCs w:val="32"/>
        </w:rPr>
        <w:t>四、拓宽投资渠道，保障资金投入</w:t>
      </w:r>
      <w:bookmarkEnd w:id="593"/>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坚持中央、地方、社会共同负担的原则，完善多元化、多渠道、多层次的投资体系。公益性为主的水资源调配、城乡饮水安全、骨干水源设施、节约用水、水资源保护以及水生态修复等水资源基础设施建设，以政府（包括中央和地方）投入为主体。以经营性为主的水资源开发利用项目，鼓励企业和社会资金的投入。</w:t>
      </w:r>
    </w:p>
    <w:p>
      <w:pPr>
        <w:pStyle w:val="5"/>
        <w:pageBreakBefore w:val="0"/>
        <w:widowControl w:val="0"/>
        <w:kinsoku/>
        <w:wordWrap/>
        <w:overflowPunct/>
        <w:autoSpaceDE/>
        <w:autoSpaceDN/>
        <w:bidi w:val="0"/>
        <w:spacing w:beforeAutospacing="0" w:afterAutospacing="0" w:line="590" w:lineRule="exact"/>
        <w:ind w:firstLine="568"/>
        <w:rPr>
          <w:rFonts w:hint="default" w:ascii="方正楷体_GBK" w:hAnsi="方正楷体_GBK" w:eastAsia="方正楷体_GBK" w:cs="方正楷体_GBK"/>
          <w:b w:val="0"/>
          <w:bCs w:val="0"/>
          <w:sz w:val="32"/>
          <w:szCs w:val="32"/>
        </w:rPr>
      </w:pPr>
      <w:bookmarkStart w:id="594" w:name="_Toc9420"/>
      <w:r>
        <w:rPr>
          <w:rFonts w:hint="default" w:ascii="方正楷体_GBK" w:hAnsi="方正楷体_GBK" w:eastAsia="方正楷体_GBK" w:cs="方正楷体_GBK"/>
          <w:b w:val="0"/>
          <w:bCs w:val="0"/>
          <w:sz w:val="32"/>
          <w:szCs w:val="32"/>
        </w:rPr>
        <w:t>五、加强能力建设，科学管水用水</w:t>
      </w:r>
      <w:bookmarkEnd w:id="594"/>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加强重要取用水户取、退水计量和入河排污口监控设施建设，提升水量水质监测能力，建立和完善与用水总量控制、用水效率管理、水功能区管理要求相适应的监控体系，逐步实现对重点取用水户取水、主要入河排污口的适时监控，建成覆盖县区重点用水户的计量监测系统和主要河流、水闸的水质监测系统，积极建立全市水资源管理信息监控平台，实现主要控制指标可监测、可评价、可考核，全面提高水资源监控、预警和管理能力。</w:t>
      </w:r>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建立和完善水资源开发利用相关技术推广和服务体系，提髙技术服务水平，不断提升全市水利科技支撑能力。强国内外先进供水节水技术的引进、消化、吸收和创新。</w:t>
      </w:r>
    </w:p>
    <w:p>
      <w:pPr>
        <w:pStyle w:val="5"/>
        <w:pageBreakBefore w:val="0"/>
        <w:widowControl w:val="0"/>
        <w:kinsoku/>
        <w:wordWrap/>
        <w:overflowPunct/>
        <w:autoSpaceDE/>
        <w:autoSpaceDN/>
        <w:bidi w:val="0"/>
        <w:spacing w:beforeAutospacing="0" w:afterAutospacing="0" w:line="590" w:lineRule="exact"/>
        <w:ind w:firstLine="568"/>
        <w:rPr>
          <w:rFonts w:hint="default" w:ascii="方正楷体_GBK" w:hAnsi="方正楷体_GBK" w:eastAsia="方正楷体_GBK" w:cs="方正楷体_GBK"/>
          <w:b w:val="0"/>
          <w:bCs w:val="0"/>
          <w:sz w:val="32"/>
          <w:szCs w:val="32"/>
        </w:rPr>
      </w:pPr>
      <w:bookmarkStart w:id="595" w:name="_Toc9904"/>
      <w:r>
        <w:rPr>
          <w:rFonts w:hint="default" w:ascii="方正楷体_GBK" w:hAnsi="方正楷体_GBK" w:eastAsia="方正楷体_GBK" w:cs="方正楷体_GBK"/>
          <w:b w:val="0"/>
          <w:bCs w:val="0"/>
          <w:sz w:val="32"/>
          <w:szCs w:val="32"/>
        </w:rPr>
        <w:t>六、加强宣传教育，动员社会力量</w:t>
      </w:r>
      <w:bookmarkEnd w:id="595"/>
    </w:p>
    <w:p>
      <w:pPr>
        <w:pageBreakBefore w:val="0"/>
        <w:widowControl w:val="0"/>
        <w:kinsoku/>
        <w:wordWrap/>
        <w:overflowPunct/>
        <w:autoSpaceDE/>
        <w:autoSpaceDN/>
        <w:bidi w:val="0"/>
        <w:adjustRightInd w:val="0"/>
        <w:snapToGrid w:val="0"/>
        <w:spacing w:beforeAutospacing="0" w:afterAutospacing="0" w:line="59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积极开展多层次、多形式的水资源知识宣传教育，进一步增强淮南市居民水忧患意识和水资源节约保护意识。加强对资源节约、环境保护的价值理念的传播，强化公众节水能力与意识。积极开展“世界水日”“中国水周”和“全国城市节水宣传周”等宣传活动，充分利用广播、电视、报刊、互联网等各种媒体，广泛宣传水资源节约保护的重要性和必要性，使群众节水、惜水、保护水的意识普遍提高。</w:t>
      </w:r>
    </w:p>
    <w:p>
      <w:pPr>
        <w:pStyle w:val="2"/>
        <w:jc w:val="left"/>
        <w:rPr>
          <w:rFonts w:hint="default" w:ascii="方正仿宋_GBK" w:hAnsi="方正仿宋_GBK" w:eastAsia="方正仿宋_GBK" w:cs="方正仿宋_GBK"/>
          <w:sz w:val="32"/>
          <w:szCs w:val="32"/>
          <w:lang w:val="en-US" w:eastAsia="zh-CN"/>
        </w:rPr>
      </w:pPr>
    </w:p>
    <w:sectPr>
      <w:headerReference r:id="rId26" w:type="default"/>
      <w:footerReference r:id="rId27" w:type="default"/>
      <w:pgSz w:w="11906" w:h="16838"/>
      <w:pgMar w:top="1962" w:right="1474" w:bottom="1848"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70528" behindDoc="0" locked="0" layoutInCell="1" allowOverlap="1">
              <wp:simplePos x="0" y="0"/>
              <wp:positionH relativeFrom="margin">
                <wp:posOffset>4829810</wp:posOffset>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80.3pt;margin-top:0pt;height:144pt;width:144pt;mso-position-horizontal-relative:margin;mso-wrap-style:none;z-index:251670528;mso-width-relative:page;mso-height-relative:page;" filled="f" stroked="f" coordsize="21600,21600" o:gfxdata="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bDVn1QAAAAkBAAAP&#10;AAAAAAAAAAEAIAAAACIAAABkcnMvZG93bnJldi54bWxQSwECFAAUAAAACACHTuJAo8p6IRsCAAAj&#10;BAAADgAAAAAAAAABACAAAAAkAQAAZHJzL2Uyb0RvYy54bWxQSwUGAAAAAAYABgBZAQAAsQUAAAAA&#10;">
              <v:fill on="f" focussize="0,0"/>
              <v:stroke on="f" weight="0.5pt"/>
              <v:imagedata o:title=""/>
              <o:lock v:ext="edit" aspectratio="f"/>
              <v:textbox inset="0mm,0mm,0mm,0mm" style="mso-fit-shape-to-text:t;">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9"/>
      <w:wordWrap w:val="0"/>
      <w:ind w:left="4788" w:leftChars="2280" w:firstLine="6400" w:firstLineChars="2000"/>
      <w:jc w:val="right"/>
      <w:rPr>
        <w:rFonts w:hint="default" w:ascii="黑体" w:hAnsi="黑体" w:eastAsia="黑体" w:cs="黑体"/>
        <w:szCs w:val="21"/>
        <w:lang w:val="en-US"/>
      </w:rPr>
    </w:pPr>
    <w:r>
      <w:rPr>
        <w:color w:val="FAFAFA"/>
        <w:sz w:val="32"/>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81" name="直接连接符 81"/>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9504;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OnpdHUAAAABgEAAA8AAAAAAAAAAQAgAAAAIgAA&#10;AGRycy9kb3ducmV2LnhtbFBLAQIUABQAAAAIAIdO4kC1ejpY0wEAAHcDAAAOAAAAAAAAAAEAIAAA&#10;ACMBAABkcnMvZTJvRG9jLnhtbFBLBQYAAAAABgAGAFkBAABoBQAAAAA=&#10;">
              <v:fill on="f" focussize="0,0"/>
              <v:stroke weight="1.75pt" color="#005192" miterlimit="8" joinstyle="miter"/>
              <v:imagedata o:title=""/>
              <o:lock v:ext="edit" aspectratio="f"/>
            </v:line>
          </w:pict>
        </mc:Fallback>
      </mc:AlternateContent>
    </w:r>
    <w:r>
      <w:rPr>
        <w:rFonts w:hint="eastAsia" w:eastAsia="仿宋"/>
        <w:color w:val="FAFAFA"/>
        <w:sz w:val="32"/>
        <w:szCs w:val="48"/>
        <w:lang w:val="en-US" w:eastAsia="zh-CN"/>
      </w:rPr>
      <w:t>X</w:t>
    </w:r>
    <w:r>
      <w:rPr>
        <w:rFonts w:hint="eastAsia" w:ascii="宋体" w:hAnsi="宋体" w:eastAsia="宋体" w:cs="宋体"/>
        <w:b/>
        <w:bCs/>
        <w:color w:val="005192"/>
        <w:sz w:val="28"/>
        <w:szCs w:val="44"/>
        <w:lang w:val="en-US" w:eastAsia="zh-CN"/>
      </w:rPr>
      <w:t>淮南市人民政府办公室发布</w:t>
    </w:r>
    <w:r>
      <w:rPr>
        <w:rFonts w:hint="eastAsia" w:ascii="黑体" w:hAnsi="黑体" w:eastAsia="黑体" w:cs="黑体"/>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rFonts w:hint="eastAsia"/>
                              <w:sz w:val="1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ql5uc8AAAAF&#10;AQAADwAAAAAAAAABACAAAAAiAAAAZHJzL2Rvd25yZXYueG1sUEsBAhQAFAAAAAgAh07iQCXzjnCz&#10;AQAAWwMAAA4AAAAAAAAAAQAgAAAAHgEAAGRycy9lMm9Eb2MueG1sUEsFBgAAAAAGAAYAWQEAAEMF&#10;AAAAAA==&#10;">
              <v:fill on="f" focussize="0,0"/>
              <v:stroke on="f"/>
              <v:imagedata o:title=""/>
              <o:lock v:ext="edit" aspectratio="f"/>
              <v:textbox inset="0mm,0mm,0mm,0mm" style="mso-fit-shape-to-text:t;">
                <w:txbxContent>
                  <w:p>
                    <w:pPr>
                      <w:snapToGrid w:val="0"/>
                      <w:rPr>
                        <w:rFonts w:hint="eastAsia"/>
                        <w:sz w:val="18"/>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35352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3535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OpAVAgAAFQ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S+OpAVAgAAFQQAAA4AAAAAAAAA&#10;AQAgAAAAHwEAAGRycy9lMm9Eb2MueG1sUEsFBgAAAAAGAAYAWQEAAKYFAAAAAA==&#10;">
              <v:fill on="f" focussize="0,0"/>
              <v:stroke on="f" weight="0.5pt"/>
              <v:imagedata o:title=""/>
              <o:lock v:ext="edit" aspectratio="f"/>
              <v:textbox inset="0mm,0mm,0mm,0mm" style="mso-fit-shape-to-text:t;">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9"/>
      <w:wordWrap w:val="0"/>
      <w:ind w:left="4788" w:leftChars="2280" w:firstLine="6400" w:firstLineChars="2000"/>
      <w:jc w:val="right"/>
      <w:rPr>
        <w:rFonts w:hint="default"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3540352" behindDoc="0" locked="0" layoutInCell="1" allowOverlap="1">
              <wp:simplePos x="0" y="0"/>
              <wp:positionH relativeFrom="column">
                <wp:posOffset>57150</wp:posOffset>
              </wp:positionH>
              <wp:positionV relativeFrom="paragraph">
                <wp:posOffset>104775</wp:posOffset>
              </wp:positionV>
              <wp:extent cx="8230870" cy="19050"/>
              <wp:effectExtent l="0" t="0" r="0" b="0"/>
              <wp:wrapNone/>
              <wp:docPr id="57" name="直接连接符 57"/>
              <wp:cNvGraphicFramePr/>
              <a:graphic xmlns:a="http://schemas.openxmlformats.org/drawingml/2006/main">
                <a:graphicData uri="http://schemas.microsoft.com/office/word/2010/wordprocessingShape">
                  <wps:wsp>
                    <wps:cNvCnPr/>
                    <wps:spPr>
                      <a:xfrm flipV="1">
                        <a:off x="0" y="0"/>
                        <a:ext cx="8230870" cy="19050"/>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4.5pt;margin-top:8.25pt;height:1.5pt;width:648.1pt;z-index:253540352;mso-width-relative:page;mso-height-relative:page;" filled="f" stroked="t" coordsize="21600,21600" o:gfxdata="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g&#10;6RU+2AAAAAgBAAAPAAAAAAAAAAEAIAAAACIAAABkcnMvZG93bnJldi54bWxQSwECFAAUAAAACACH&#10;TuJA4ocekusBAACnAwAADgAAAAAAAAABACAAAAAnAQAAZHJzL2Uyb0RvYy54bWxQSwUGAAAAAAYA&#10;BgBZAQAAhAUAAAAA&#10;">
              <v:fill on="f" focussize="0,0"/>
              <v:stroke weight="1.75pt" color="#005192" joinstyle="round"/>
              <v:imagedata o:title=""/>
              <o:lock v:ext="edit" aspectratio="f"/>
            </v:line>
          </w:pict>
        </mc:Fallback>
      </mc:AlternateContent>
    </w:r>
    <w:r>
      <w:rPr>
        <w:rFonts w:hint="eastAsia" w:eastAsia="仿宋"/>
        <w:color w:val="FAFAFA"/>
        <w:sz w:val="32"/>
        <w:szCs w:val="48"/>
        <w:lang w:val="en-US" w:eastAsia="zh-CN"/>
      </w:rPr>
      <w:t>X</w:t>
    </w:r>
    <w:r>
      <w:rPr>
        <w:rFonts w:hint="eastAsia" w:ascii="宋体" w:hAnsi="宋体" w:eastAsia="宋体" w:cs="宋体"/>
        <w:b/>
        <w:bCs/>
        <w:color w:val="005192"/>
        <w:sz w:val="28"/>
        <w:szCs w:val="44"/>
        <w:lang w:val="en-US" w:eastAsia="zh-CN"/>
      </w:rPr>
      <w:t xml:space="preserve">   </w:t>
    </w:r>
    <w:r>
      <w:rPr>
        <w:rFonts w:hint="eastAsia" w:ascii="宋体" w:hAnsi="宋体" w:cs="宋体"/>
        <w:b/>
        <w:bCs/>
        <w:color w:val="005192"/>
        <w:sz w:val="28"/>
        <w:szCs w:val="44"/>
        <w:lang w:val="en-US" w:eastAsia="zh-CN"/>
      </w:rPr>
      <w:t xml:space="preserve">                        淮南市人民政府办公室</w:t>
    </w:r>
    <w:r>
      <w:rPr>
        <w:rFonts w:hint="eastAsia" w:ascii="宋体" w:hAnsi="宋体" w:eastAsia="宋体" w:cs="宋体"/>
        <w:b/>
        <w:bCs/>
        <w:color w:val="005192"/>
        <w:sz w:val="28"/>
        <w:szCs w:val="44"/>
        <w:lang w:val="en-US" w:eastAsia="zh-CN"/>
      </w:rPr>
      <w:t>发布</w:t>
    </w:r>
    <w:r>
      <w:rPr>
        <w:rFonts w:hint="eastAsia" w:ascii="宋体" w:hAnsi="宋体" w:cs="宋体"/>
        <w:b/>
        <w:bCs/>
        <w:color w:val="005192"/>
        <w:sz w:val="28"/>
        <w:szCs w:val="44"/>
        <w:lang w:val="en-US" w:eastAsia="zh-CN"/>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54193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5419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hZCYEEwIAABUEAAAOAAAAAAAAAAEA&#10;IAAAAB8BAABkcnMvZTJvRG9jLnhtbFBLBQYAAAAABgAGAFkBAACkBQAAAAA=&#10;">
              <v:fill on="f" focussize="0,0"/>
              <v:stroke on="f" weight="0.5pt"/>
              <v:imagedata o:title=""/>
              <o:lock v:ext="edit" aspectratio="f"/>
              <v:textbox inset="0mm,0mm,0mm,0mm" style="mso-fit-shape-to-text:t;">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9"/>
      <w:wordWrap w:val="0"/>
      <w:ind w:left="4788" w:leftChars="2280" w:firstLine="6400" w:firstLineChars="2000"/>
      <w:jc w:val="right"/>
      <w:rPr>
        <w:rFonts w:hint="default"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5421440" behindDoc="0" locked="0" layoutInCell="1" allowOverlap="1">
              <wp:simplePos x="0" y="0"/>
              <wp:positionH relativeFrom="column">
                <wp:posOffset>11430</wp:posOffset>
              </wp:positionH>
              <wp:positionV relativeFrom="paragraph">
                <wp:posOffset>73660</wp:posOffset>
              </wp:positionV>
              <wp:extent cx="5616575" cy="1905"/>
              <wp:effectExtent l="0" t="10795" r="3175" b="15875"/>
              <wp:wrapNone/>
              <wp:docPr id="63" name="直接连接符 63"/>
              <wp:cNvGraphicFramePr/>
              <a:graphic xmlns:a="http://schemas.openxmlformats.org/drawingml/2006/main">
                <a:graphicData uri="http://schemas.microsoft.com/office/word/2010/wordprocessingShape">
                  <wps:wsp>
                    <wps:cNvCnPr/>
                    <wps:spPr>
                      <a:xfrm>
                        <a:off x="0" y="0"/>
                        <a:ext cx="5616575" cy="1905"/>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9pt;margin-top:5.8pt;height:0.15pt;width:442.25pt;z-index:255421440;mso-width-relative:page;mso-height-relative:page;" filled="f" stroked="t" coordsize="21600,21600" o:gfxdata="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eS4cB9AAAAAHAQAADwAAAAAAAAAB&#10;ACAAAAAiAAAAZHJzL2Rvd25yZXYueG1sUEsBAhQAFAAAAAgAh07iQG3MVC/fAQAAnAMAAA4AAAAA&#10;AAAAAQAgAAAAHwEAAGRycy9lMm9Eb2MueG1sUEsFBgAAAAAGAAYAWQEAAHAFAAAAAA==&#10;">
              <v:fill on="f" focussize="0,0"/>
              <v:stroke weight="1.75pt" color="#005192" joinstyle="round"/>
              <v:imagedata o:title=""/>
              <o:lock v:ext="edit" aspectratio="f"/>
            </v:line>
          </w:pict>
        </mc:Fallback>
      </mc:AlternateContent>
    </w:r>
    <w:r>
      <w:rPr>
        <w:rFonts w:hint="eastAsia" w:ascii="宋体" w:hAnsi="宋体" w:cs="宋体"/>
        <w:b/>
        <w:bCs/>
        <w:color w:val="005192"/>
        <w:sz w:val="28"/>
        <w:szCs w:val="44"/>
        <w:lang w:val="en-US" w:eastAsia="zh-CN"/>
      </w:rPr>
      <w:t>淮淮南市人民政府办公室</w:t>
    </w:r>
    <w:r>
      <w:rPr>
        <w:rFonts w:hint="eastAsia" w:ascii="宋体" w:hAnsi="宋体" w:eastAsia="宋体" w:cs="宋体"/>
        <w:b/>
        <w:bCs/>
        <w:color w:val="005192"/>
        <w:sz w:val="28"/>
        <w:szCs w:val="44"/>
        <w:lang w:val="en-US" w:eastAsia="zh-CN"/>
      </w:rPr>
      <w:t>发布</w:t>
    </w:r>
    <w:r>
      <w:rPr>
        <w:rFonts w:hint="eastAsia" w:ascii="宋体" w:hAnsi="宋体" w:cs="宋体"/>
        <w:b/>
        <w:bCs/>
        <w:color w:val="005192"/>
        <w:sz w:val="28"/>
        <w:szCs w:val="44"/>
        <w:lang w:val="en-US" w:eastAsia="zh-CN"/>
      </w:rPr>
      <w:t xml:space="preserve"> </w:t>
    </w:r>
    <w:r>
      <w:rPr>
        <w:rFonts w:hint="eastAsia" w:ascii="宋体" w:hAnsi="宋体" w:eastAsia="宋体" w:cs="宋体"/>
        <w:b/>
        <w:bCs/>
        <w:color w:val="005192"/>
        <w:sz w:val="28"/>
        <w:szCs w:val="44"/>
        <w:lang w:val="en-US" w:eastAsia="zh-CN"/>
      </w:rPr>
      <w:t xml:space="preserve"> </w:t>
    </w:r>
    <w:r>
      <w:rPr>
        <w:rFonts w:hint="eastAsia" w:ascii="宋体" w:hAnsi="宋体" w:cs="宋体"/>
        <w:b/>
        <w:bCs/>
        <w:color w:val="005192"/>
        <w:sz w:val="28"/>
        <w:szCs w:val="44"/>
        <w:lang w:val="en-US" w:eastAsia="zh-CN"/>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91877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9187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6fxAgVAgAAFQQAAA4AAAAAAAAA&#10;AQAgAAAAHwEAAGRycy9lMm9Eb2MueG1sUEsFBgAAAAAGAAYAWQEAAKYFAAAAAA==&#10;">
              <v:fill on="f" focussize="0,0"/>
              <v:stroke on="f" weight="0.5pt"/>
              <v:imagedata o:title=""/>
              <o:lock v:ext="edit" aspectratio="f"/>
              <v:textbox inset="0mm,0mm,0mm,0mm" style="mso-fit-shape-to-text:t;">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9"/>
      <w:wordWrap w:val="0"/>
      <w:jc w:val="both"/>
      <w:rPr>
        <w:rFonts w:hint="eastAsia"/>
        <w:color w:val="FAFAFA"/>
        <w:sz w:val="32"/>
        <w:lang w:val="en-US" w:eastAsia="zh-CN"/>
      </w:rPr>
    </w:pPr>
    <w:r>
      <w:rPr>
        <w:color w:val="FAFAFA"/>
        <w:sz w:val="32"/>
      </w:rPr>
      <mc:AlternateContent>
        <mc:Choice Requires="wps">
          <w:drawing>
            <wp:anchor distT="0" distB="0" distL="114300" distR="114300" simplePos="0" relativeHeight="259192832" behindDoc="0" locked="0" layoutInCell="1" allowOverlap="1">
              <wp:simplePos x="0" y="0"/>
              <wp:positionH relativeFrom="column">
                <wp:posOffset>38100</wp:posOffset>
              </wp:positionH>
              <wp:positionV relativeFrom="paragraph">
                <wp:posOffset>59055</wp:posOffset>
              </wp:positionV>
              <wp:extent cx="8230870" cy="19050"/>
              <wp:effectExtent l="0" t="0" r="0" b="0"/>
              <wp:wrapNone/>
              <wp:docPr id="69" name="直接连接符 69"/>
              <wp:cNvGraphicFramePr/>
              <a:graphic xmlns:a="http://schemas.openxmlformats.org/drawingml/2006/main">
                <a:graphicData uri="http://schemas.microsoft.com/office/word/2010/wordprocessingShape">
                  <wps:wsp>
                    <wps:cNvCnPr/>
                    <wps:spPr>
                      <a:xfrm flipV="1">
                        <a:off x="0" y="0"/>
                        <a:ext cx="8230870" cy="19050"/>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pt;margin-top:4.65pt;height:1.5pt;width:648.1pt;z-index:259192832;mso-width-relative:page;mso-height-relative:page;" filled="f" stroked="t" coordsize="21600,21600" o:gfxdata="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0i&#10;bEfXAAAABwEAAA8AAAAAAAAAAQAgAAAAIgAAAGRycy9kb3ducmV2LnhtbFBLAQIUABQAAAAIAIdO&#10;4kBDj4tv6wEAAKcDAAAOAAAAAAAAAAEAIAAAACYBAABkcnMvZTJvRG9jLnhtbFBLBQYAAAAABgAG&#10;AFkBAACDBQAAAAA=&#10;">
              <v:fill on="f" focussize="0,0"/>
              <v:stroke weight="1.75pt" color="#005192" joinstyle="round"/>
              <v:imagedata o:title=""/>
              <o:lock v:ext="edit" aspectratio="f"/>
            </v:line>
          </w:pict>
        </mc:Fallback>
      </mc:AlternateContent>
    </w:r>
    <w:r>
      <w:rPr>
        <w:rFonts w:hint="eastAsia"/>
        <w:color w:val="FAFAFA"/>
        <w:sz w:val="32"/>
        <w:lang w:val="en-US" w:eastAsia="zh-CN"/>
      </w:rPr>
      <w:t xml:space="preserve">                                                        </w:t>
    </w:r>
  </w:p>
  <w:p>
    <w:pPr>
      <w:pStyle w:val="9"/>
      <w:tabs>
        <w:tab w:val="center" w:pos="6582"/>
        <w:tab w:val="left" w:pos="11244"/>
      </w:tabs>
      <w:wordWrap w:val="0"/>
      <w:jc w:val="left"/>
      <w:rPr>
        <w:rFonts w:hint="default" w:ascii="宋体" w:hAnsi="宋体" w:eastAsia="宋体" w:cs="宋体"/>
        <w:b/>
        <w:bCs/>
        <w:color w:val="005192"/>
        <w:sz w:val="28"/>
        <w:szCs w:val="44"/>
        <w:lang w:val="en-US" w:eastAsia="zh-CN"/>
      </w:rPr>
    </w:pPr>
    <w:r>
      <w:rPr>
        <w:rFonts w:hint="eastAsia" w:ascii="宋体" w:hAnsi="宋体" w:cs="宋体"/>
        <w:b/>
        <w:bCs/>
        <w:color w:val="005192"/>
        <w:sz w:val="28"/>
        <w:szCs w:val="44"/>
        <w:lang w:val="en-US" w:eastAsia="zh-CN"/>
      </w:rPr>
      <w:tab/>
    </w:r>
    <w:r>
      <w:rPr>
        <w:rFonts w:hint="eastAsia" w:ascii="宋体" w:hAnsi="宋体" w:cs="宋体"/>
        <w:b/>
        <w:bCs/>
        <w:color w:val="005192"/>
        <w:sz w:val="28"/>
        <w:szCs w:val="44"/>
        <w:lang w:val="en-US" w:eastAsia="zh-CN"/>
      </w:rPr>
      <w:tab/>
    </w:r>
    <w:r>
      <w:rPr>
        <w:rFonts w:hint="eastAsia" w:ascii="宋体" w:hAnsi="宋体" w:cs="宋体"/>
        <w:b/>
        <w:bCs/>
        <w:color w:val="005192"/>
        <w:sz w:val="28"/>
        <w:szCs w:val="44"/>
        <w:lang w:val="en-US" w:eastAsia="zh-CN"/>
      </w:rPr>
      <w:t xml:space="preserve">   </w:t>
    </w:r>
    <w:r>
      <w:rPr>
        <w:rFonts w:hint="eastAsia" w:ascii="宋体" w:hAnsi="宋体" w:eastAsia="宋体" w:cs="宋体"/>
        <w:b/>
        <w:bCs/>
        <w:color w:val="005192"/>
        <w:sz w:val="28"/>
        <w:szCs w:val="44"/>
        <w:lang w:val="en-US" w:eastAsia="zh-CN"/>
      </w:rPr>
      <w:t xml:space="preserve"> </w:t>
    </w:r>
    <w:r>
      <w:rPr>
        <w:rFonts w:hint="eastAsia" w:ascii="宋体" w:hAnsi="宋体" w:cs="宋体"/>
        <w:b/>
        <w:bCs/>
        <w:color w:val="005192"/>
        <w:sz w:val="28"/>
        <w:szCs w:val="44"/>
        <w:lang w:val="en-US" w:eastAsia="zh-CN"/>
      </w:rPr>
      <w:t xml:space="preserve">                               淮南市人民政府办公室发布</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667243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66724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k9xs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s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8CT3GxQCAAAVBAAADgAAAAAAAAAB&#10;ACAAAAAfAQAAZHJzL2Uyb0RvYy54bWxQSwUGAAAAAAYABgBZAQAApQUAAAAA&#10;">
              <v:fill on="f" focussize="0,0"/>
              <v:stroke on="f" weight="0.5pt"/>
              <v:imagedata o:title=""/>
              <o:lock v:ext="edit" aspectratio="f"/>
              <v:textbox inset="0mm,0mm,0mm,0mm" style="mso-fit-shape-to-text:t;">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9"/>
      <w:wordWrap w:val="0"/>
      <w:jc w:val="both"/>
      <w:rPr>
        <w:rFonts w:hint="eastAsia"/>
        <w:color w:val="FAFAFA"/>
        <w:sz w:val="32"/>
        <w:lang w:val="en-US" w:eastAsia="zh-CN"/>
      </w:rPr>
    </w:pPr>
    <w:r>
      <w:rPr>
        <w:color w:val="FAFAFA"/>
        <w:sz w:val="32"/>
      </w:rPr>
      <mc:AlternateContent>
        <mc:Choice Requires="wps">
          <w:drawing>
            <wp:anchor distT="0" distB="0" distL="114300" distR="114300" simplePos="0" relativeHeight="266726400" behindDoc="0" locked="0" layoutInCell="1" allowOverlap="1">
              <wp:simplePos x="0" y="0"/>
              <wp:positionH relativeFrom="column">
                <wp:posOffset>-17145</wp:posOffset>
              </wp:positionH>
              <wp:positionV relativeFrom="paragraph">
                <wp:posOffset>92710</wp:posOffset>
              </wp:positionV>
              <wp:extent cx="5616575" cy="1905"/>
              <wp:effectExtent l="0" t="10795" r="3175" b="15875"/>
              <wp:wrapNone/>
              <wp:docPr id="93" name="直接连接符 93"/>
              <wp:cNvGraphicFramePr/>
              <a:graphic xmlns:a="http://schemas.openxmlformats.org/drawingml/2006/main">
                <a:graphicData uri="http://schemas.microsoft.com/office/word/2010/wordprocessingShape">
                  <wps:wsp>
                    <wps:cNvCnPr/>
                    <wps:spPr>
                      <a:xfrm>
                        <a:off x="0" y="0"/>
                        <a:ext cx="5616575" cy="1905"/>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5pt;margin-top:7.3pt;height:0.15pt;width:442.25pt;z-index:266726400;mso-width-relative:page;mso-height-relative:page;" filled="f" stroked="t" coordsize="21600,21600" o:gfxdata="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EUWW7NMAAAAIAQAADwAAAAAA&#10;AAABACAAAAAiAAAAZHJzL2Rvd25yZXYueG1sUEsBAhQAFAAAAAgAh07iQHhUI6ffAQAAnAMAAA4A&#10;AAAAAAAAAQAgAAAAIgEAAGRycy9lMm9Eb2MueG1sUEsFBgAAAAAGAAYAWQEAAHMFAAAAAA==&#10;">
              <v:fill on="f" focussize="0,0"/>
              <v:stroke weight="1.75pt" color="#005192" joinstyle="round"/>
              <v:imagedata o:title=""/>
              <o:lock v:ext="edit" aspectratio="f"/>
            </v:line>
          </w:pict>
        </mc:Fallback>
      </mc:AlternateContent>
    </w:r>
    <w:r>
      <w:rPr>
        <w:rFonts w:hint="eastAsia"/>
        <w:color w:val="FAFAFA"/>
        <w:sz w:val="32"/>
        <w:lang w:val="en-US" w:eastAsia="zh-CN"/>
      </w:rPr>
      <w:t xml:space="preserve">                                                                                      </w:t>
    </w:r>
    <w:r>
      <w:rPr>
        <w:rFonts w:hint="eastAsia" w:ascii="宋体" w:hAnsi="宋体" w:cs="宋体"/>
        <w:b/>
        <w:bCs/>
        <w:color w:val="005192"/>
        <w:sz w:val="28"/>
        <w:szCs w:val="44"/>
        <w:lang w:val="en-US" w:eastAsia="zh-CN"/>
      </w:rPr>
      <w:t>淮南市人民政府办公室发布</w:t>
    </w:r>
  </w:p>
  <w:p>
    <w:pPr>
      <w:pStyle w:val="9"/>
      <w:tabs>
        <w:tab w:val="center" w:pos="6582"/>
        <w:tab w:val="left" w:pos="11244"/>
      </w:tabs>
      <w:wordWrap w:val="0"/>
      <w:jc w:val="left"/>
      <w:rPr>
        <w:rFonts w:hint="default" w:ascii="宋体" w:hAnsi="宋体" w:eastAsia="宋体" w:cs="宋体"/>
        <w:b/>
        <w:bCs/>
        <w:color w:val="005192"/>
        <w:sz w:val="28"/>
        <w:szCs w:val="44"/>
        <w:lang w:val="en-US" w:eastAsia="zh-CN"/>
      </w:rPr>
    </w:pPr>
    <w:r>
      <w:rPr>
        <w:rFonts w:hint="eastAsia" w:ascii="宋体" w:hAnsi="宋体" w:cs="宋体"/>
        <w:b/>
        <w:bCs/>
        <w:color w:val="005192"/>
        <w:sz w:val="28"/>
        <w:szCs w:val="44"/>
        <w:lang w:val="en-US" w:eastAsia="zh-CN"/>
      </w:rPr>
      <w:tab/>
    </w:r>
    <w:r>
      <w:rPr>
        <w:rFonts w:hint="eastAsia" w:ascii="宋体" w:hAnsi="宋体" w:cs="宋体"/>
        <w:b/>
        <w:bCs/>
        <w:color w:val="005192"/>
        <w:sz w:val="28"/>
        <w:szCs w:val="44"/>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sz w:val="20"/>
      </w:rPr>
    </w:pPr>
    <w:r>
      <w:rPr>
        <w:rFonts w:hint="eastAsia"/>
        <w:szCs w:val="21"/>
      </w:rPr>
      <w:t>安徽沃特水务科技有限公司</w:t>
    </w:r>
    <w:r>
      <w:rPr>
        <w:sz w:val="20"/>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20</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6pebnPAAAABQEAAA8AAAAAAAAAAQAgAAAAIgAAAGRycy9kb3ducmV2LnhtbFBLAQIUABQAAAAI&#10;AIdO4kD9YYn9vQEAAGQDAAAOAAAAAAAAAAEAIAAAAB4BAABkcnMvZTJvRG9jLnhtbFBLBQYAAAAA&#10;BgAGAFkBAABNBQ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20</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9"/>
      <w:wordWrap w:val="0"/>
      <w:ind w:left="4788" w:leftChars="2280" w:firstLine="6400" w:firstLineChars="2000"/>
      <w:jc w:val="right"/>
      <w:rPr>
        <w:rFonts w:hint="eastAsia"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OnpdHUAAAABgEAAA8AAAAAAAAAAQAgAAAAIgAAAGRycy9k&#10;b3ducmV2LnhtbFBLAQIUABQAAAAIAIdO4kCuozrgzQEAAGcDAAAOAAAAAAAAAAEAIAAAACMBAABk&#10;cnMvZTJvRG9jLnhtbFBLBQYAAAAABgAGAFkBAABiBQAAAAA=&#10;">
              <v:fill on="f" focussize="0,0"/>
              <v:stroke weight="1.75pt" color="#005192 [3204]" miterlimit="8" joinstyle="miter"/>
              <v:imagedata o:title=""/>
              <o:lock v:ext="edit" aspectratio="f"/>
            </v:line>
          </w:pict>
        </mc:Fallback>
      </mc:AlternateContent>
    </w:r>
    <w:r>
      <w:rPr>
        <w:rFonts w:hint="eastAsia" w:eastAsia="仿宋"/>
        <w:color w:val="FAFAFA"/>
        <w:sz w:val="32"/>
        <w:szCs w:val="48"/>
        <w:lang w:val="en-US" w:eastAsia="zh-CN"/>
      </w:rPr>
      <w:t>X</w:t>
    </w:r>
    <w:r>
      <w:rPr>
        <w:rFonts w:hint="eastAsia" w:ascii="宋体" w:hAnsi="宋体" w:eastAsia="宋体" w:cs="宋体"/>
        <w:b/>
        <w:bCs/>
        <w:color w:val="005192"/>
        <w:sz w:val="28"/>
        <w:szCs w:val="44"/>
        <w:lang w:val="en-US" w:eastAsia="zh-CN"/>
      </w:rPr>
      <w:t xml:space="preserve">淮南市人民政府办公室发布    </w:t>
    </w:r>
  </w:p>
  <w:p>
    <w:pPr>
      <w:pStyle w:val="9"/>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807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9"/>
      <w:wordWrap w:val="0"/>
      <w:ind w:left="4788" w:leftChars="2280" w:firstLine="6400" w:firstLineChars="2000"/>
      <w:jc w:val="right"/>
      <w:rPr>
        <w:rFonts w:hint="eastAsia"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85888" behindDoc="0" locked="0" layoutInCell="1" allowOverlap="1">
              <wp:simplePos x="0" y="0"/>
              <wp:positionH relativeFrom="column">
                <wp:posOffset>3175</wp:posOffset>
              </wp:positionH>
              <wp:positionV relativeFrom="paragraph">
                <wp:posOffset>294640</wp:posOffset>
              </wp:positionV>
              <wp:extent cx="8230870" cy="19050"/>
              <wp:effectExtent l="0" t="0" r="0" b="0"/>
              <wp:wrapNone/>
              <wp:docPr id="19" name="直接连接符 19"/>
              <wp:cNvGraphicFramePr/>
              <a:graphic xmlns:a="http://schemas.openxmlformats.org/drawingml/2006/main">
                <a:graphicData uri="http://schemas.microsoft.com/office/word/2010/wordprocessingShape">
                  <wps:wsp>
                    <wps:cNvCnPr/>
                    <wps:spPr>
                      <a:xfrm flipV="1">
                        <a:off x="0" y="0"/>
                        <a:ext cx="8230870" cy="19050"/>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0.25pt;margin-top:23.2pt;height:1.5pt;width:648.1pt;z-index:251685888;mso-width-relative:page;mso-height-relative:page;" filled="f" stroked="t" coordsize="21600,21600" o:gfxdata="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CER0N&#10;1gAAAAcBAAAPAAAAAAAAAAEAIAAAACIAAABkcnMvZG93bnJldi54bWxQSwECFAAUAAAACACHTuJA&#10;U8j91OoBAACnAwAADgAAAAAAAAABACAAAAAlAQAAZHJzL2Uyb0RvYy54bWxQSwUGAAAAAAYABgBZ&#10;AQAAgQUAAAAA&#10;">
              <v:fill on="f" focussize="0,0"/>
              <v:stroke weight="1.75pt" color="#005192" joinstyle="round"/>
              <v:imagedata o:title=""/>
              <o:lock v:ext="edit" aspectratio="f"/>
            </v:line>
          </w:pict>
        </mc:Fallback>
      </mc:AlternateContent>
    </w:r>
    <w:r>
      <w:rPr>
        <w:rFonts w:hint="eastAsia" w:eastAsia="仿宋"/>
        <w:color w:val="FAFAFA"/>
        <w:sz w:val="32"/>
        <w:szCs w:val="48"/>
        <w:lang w:val="en-US" w:eastAsia="zh-CN"/>
      </w:rPr>
      <w:t>X</w:t>
    </w:r>
    <w:r>
      <w:rPr>
        <w:rFonts w:hint="eastAsia" w:ascii="宋体" w:hAnsi="宋体" w:eastAsia="宋体" w:cs="宋体"/>
        <w:b/>
        <w:bCs/>
        <w:color w:val="005192"/>
        <w:sz w:val="28"/>
        <w:szCs w:val="44"/>
        <w:lang w:val="en-US" w:eastAsia="zh-CN"/>
      </w:rPr>
      <w:t xml:space="preserve">   </w:t>
    </w:r>
  </w:p>
  <w:p>
    <w:pPr>
      <w:pStyle w:val="9"/>
      <w:wordWrap w:val="0"/>
      <w:ind w:left="4788" w:leftChars="2280" w:firstLine="5622" w:firstLineChars="2000"/>
      <w:jc w:val="right"/>
      <w:rPr>
        <w:rFonts w:hint="eastAsia" w:ascii="宋体" w:hAnsi="宋体" w:eastAsia="宋体" w:cs="宋体"/>
        <w:b/>
        <w:bCs/>
        <w:color w:val="005192"/>
        <w:sz w:val="28"/>
        <w:szCs w:val="44"/>
        <w:lang w:val="en-US" w:eastAsia="zh-CN"/>
      </w:rPr>
    </w:pPr>
  </w:p>
  <w:p>
    <w:pPr>
      <w:pStyle w:val="9"/>
      <w:wordWrap/>
      <w:jc w:val="center"/>
      <w:rPr>
        <w:rFonts w:hint="default" w:ascii="宋体" w:hAnsi="宋体" w:eastAsia="宋体" w:cs="宋体"/>
        <w:b/>
        <w:bCs/>
        <w:color w:val="005192"/>
        <w:sz w:val="28"/>
        <w:szCs w:val="44"/>
        <w:lang w:val="en-US" w:eastAsia="zh-CN"/>
      </w:rPr>
    </w:pPr>
    <w:r>
      <w:rPr>
        <w:rFonts w:hint="eastAsia" w:ascii="宋体" w:hAnsi="宋体" w:cs="宋体"/>
        <w:b/>
        <w:bCs/>
        <w:color w:val="005192"/>
        <w:sz w:val="28"/>
        <w:szCs w:val="44"/>
        <w:lang w:val="en-US" w:eastAsia="zh-CN"/>
      </w:rPr>
      <w:t xml:space="preserve">                                                           淮南市人民政府办公室</w:t>
    </w:r>
    <w:r>
      <w:rPr>
        <w:rFonts w:hint="eastAsia" w:ascii="宋体" w:hAnsi="宋体" w:eastAsia="宋体" w:cs="宋体"/>
        <w:b/>
        <w:bCs/>
        <w:color w:val="005192"/>
        <w:sz w:val="28"/>
        <w:szCs w:val="44"/>
        <w:lang w:val="en-US" w:eastAsia="zh-CN"/>
      </w:rPr>
      <w:t>发布</w:t>
    </w:r>
    <w:r>
      <w:rPr>
        <w:rFonts w:hint="eastAsia" w:ascii="宋体" w:hAnsi="宋体" w:cs="宋体"/>
        <w:b/>
        <w:bCs/>
        <w:color w:val="005192"/>
        <w:sz w:val="28"/>
        <w:szCs w:val="44"/>
        <w:lang w:val="en-US" w:eastAsia="zh-C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7104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kHQ0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kHQ0VAgAAFQQAAA4AAAAAAAAA&#10;AQAgAAAAHwEAAGRycy9lMm9Eb2MueG1sUEsFBgAAAAAGAAYAWQEAAKYFAAAAAA==&#10;">
              <v:fill on="f" focussize="0,0"/>
              <v:stroke on="f" weight="0.5pt"/>
              <v:imagedata o:title=""/>
              <o:lock v:ext="edit" aspectratio="f"/>
              <v:textbox inset="0mm,0mm,0mm,0mm" style="mso-fit-shape-to-text:t;">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9"/>
      <w:wordWrap w:val="0"/>
      <w:ind w:left="4788" w:leftChars="2280" w:firstLine="6425" w:firstLineChars="2000"/>
      <w:jc w:val="right"/>
      <w:rPr>
        <w:rFonts w:hint="default" w:ascii="宋体" w:hAnsi="宋体" w:eastAsia="宋体" w:cs="宋体"/>
        <w:b/>
        <w:bCs/>
        <w:color w:val="005192"/>
        <w:sz w:val="28"/>
        <w:szCs w:val="44"/>
        <w:lang w:val="en-US" w:eastAsia="zh-CN"/>
      </w:rPr>
    </w:pPr>
    <w:r>
      <w:rPr>
        <w:rFonts w:hint="eastAsia" w:ascii="宋体" w:hAnsi="宋体" w:eastAsia="宋体" w:cs="宋体"/>
        <w:b/>
        <w:bCs/>
        <w:color w:val="005192"/>
        <w:sz w:val="32"/>
      </w:rPr>
      <mc:AlternateContent>
        <mc:Choice Requires="wps">
          <w:drawing>
            <wp:anchor distT="0" distB="0" distL="114300" distR="114300" simplePos="0" relativeHeight="251711488" behindDoc="0" locked="0" layoutInCell="1" allowOverlap="1">
              <wp:simplePos x="0" y="0"/>
              <wp:positionH relativeFrom="column">
                <wp:posOffset>-20955</wp:posOffset>
              </wp:positionH>
              <wp:positionV relativeFrom="paragraph">
                <wp:posOffset>309880</wp:posOffset>
              </wp:positionV>
              <wp:extent cx="5620385" cy="0"/>
              <wp:effectExtent l="0" t="10795" r="18415" b="17780"/>
              <wp:wrapNone/>
              <wp:docPr id="26" name="直接连接符 26"/>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65pt;margin-top:24.4pt;height:0pt;width:442.55pt;z-index:251711488;mso-width-relative:page;mso-height-relative:page;" filled="f" stroked="t" coordsize="21600,21600" o:gfxdata="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kL+rPTAAAACAEAAA8AAAAAAAAA&#10;AQAgAAAAIgAAAGRycy9kb3ducmV2LnhtbFBLAQIUABQAAAAIAIdO4kBTeBnP3QEAAJkDAAAOAAAA&#10;AAAAAAEAIAAAACIBAABkcnMvZTJvRG9jLnhtbFBLBQYAAAAABgAGAFkBAABxBQAAAAA=&#10;">
              <v:fill on="f" focussize="0,0"/>
              <v:stroke weight="1.75pt" color="#005192" joinstyle="round"/>
              <v:imagedata o:title=""/>
              <o:lock v:ext="edit" aspectratio="f"/>
            </v:line>
          </w:pict>
        </mc:Fallback>
      </mc:AlternateContent>
    </w:r>
    <w:r>
      <w:rPr>
        <w:rFonts w:hint="eastAsia" w:eastAsia="仿宋"/>
        <w:color w:val="FAFAFA"/>
        <w:sz w:val="32"/>
        <w:szCs w:val="48"/>
        <w:lang w:val="en-US" w:eastAsia="zh-CN"/>
      </w:rPr>
      <w:t>X</w:t>
    </w:r>
    <w:r>
      <w:rPr>
        <w:rFonts w:hint="eastAsia" w:ascii="宋体" w:hAnsi="宋体" w:eastAsia="宋体" w:cs="宋体"/>
        <w:b/>
        <w:bCs/>
        <w:color w:val="005192"/>
        <w:sz w:val="28"/>
        <w:szCs w:val="44"/>
        <w:lang w:val="en-US" w:eastAsia="zh-CN"/>
      </w:rPr>
      <w:t xml:space="preserve">   </w:t>
    </w:r>
    <w:r>
      <w:rPr>
        <w:rFonts w:hint="eastAsia" w:ascii="宋体" w:hAnsi="宋体" w:cs="宋体"/>
        <w:b/>
        <w:bCs/>
        <w:color w:val="005192"/>
        <w:sz w:val="28"/>
        <w:szCs w:val="44"/>
        <w:lang w:val="en-US" w:eastAsia="zh-CN"/>
      </w:rPr>
      <w:t xml:space="preserve">                         淮南市人民政府办公室</w:t>
    </w:r>
    <w:r>
      <w:rPr>
        <w:rFonts w:hint="eastAsia" w:ascii="宋体" w:hAnsi="宋体" w:eastAsia="宋体" w:cs="宋体"/>
        <w:b/>
        <w:bCs/>
        <w:color w:val="005192"/>
        <w:sz w:val="28"/>
        <w:szCs w:val="44"/>
        <w:lang w:val="en-US" w:eastAsia="zh-CN"/>
      </w:rPr>
      <w:t>发布</w:t>
    </w:r>
    <w:r>
      <w:rPr>
        <w:rFonts w:hint="eastAsia" w:ascii="宋体" w:hAnsi="宋体" w:cs="宋体"/>
        <w:b/>
        <w:bCs/>
        <w:color w:val="005192"/>
        <w:sz w:val="28"/>
        <w:szCs w:val="44"/>
        <w:lang w:val="en-US" w:eastAsia="zh-C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7688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t6X4XAgAAFQ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5K3pfhcCAAAVBAAADgAAAAAA&#10;AAABACAAAAAfAQAAZHJzL2Uyb0RvYy54bWxQSwUGAAAAAAYABgBZAQAAqAUAAAAA&#10;">
              <v:fill on="f" focussize="0,0"/>
              <v:stroke on="f" weight="0.5pt"/>
              <v:imagedata o:title=""/>
              <o:lock v:ext="edit" aspectratio="f"/>
              <v:textbox inset="0mm,0mm,0mm,0mm" style="mso-fit-shape-to-text:t;">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9"/>
      <w:wordWrap w:val="0"/>
      <w:ind w:left="4788" w:leftChars="2280" w:firstLine="6400" w:firstLineChars="2000"/>
      <w:jc w:val="right"/>
      <w:rPr>
        <w:rFonts w:hint="default"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773952" behindDoc="0" locked="0" layoutInCell="1" allowOverlap="1">
              <wp:simplePos x="0" y="0"/>
              <wp:positionH relativeFrom="column">
                <wp:posOffset>28575</wp:posOffset>
              </wp:positionH>
              <wp:positionV relativeFrom="paragraph">
                <wp:posOffset>95250</wp:posOffset>
              </wp:positionV>
              <wp:extent cx="8230870" cy="19050"/>
              <wp:effectExtent l="0" t="0" r="0" b="0"/>
              <wp:wrapNone/>
              <wp:docPr id="32" name="直接连接符 32"/>
              <wp:cNvGraphicFramePr/>
              <a:graphic xmlns:a="http://schemas.openxmlformats.org/drawingml/2006/main">
                <a:graphicData uri="http://schemas.microsoft.com/office/word/2010/wordprocessingShape">
                  <wps:wsp>
                    <wps:cNvCnPr/>
                    <wps:spPr>
                      <a:xfrm flipV="1">
                        <a:off x="0" y="0"/>
                        <a:ext cx="8230870" cy="19050"/>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25pt;margin-top:7.5pt;height:1.5pt;width:648.1pt;z-index:251773952;mso-width-relative:page;mso-height-relative:page;" filled="f" stroked="t" coordsize="21600,21600" o:gfxdata="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Nx3Gd&#10;1wAAAAgBAAAPAAAAAAAAAAEAIAAAACIAAABkcnMvZG93bnJldi54bWxQSwECFAAUAAAACACHTuJA&#10;Oah5T+kBAACnAwAADgAAAAAAAAABACAAAAAmAQAAZHJzL2Uyb0RvYy54bWxQSwUGAAAAAAYABgBZ&#10;AQAAgQUAAAAA&#10;">
              <v:fill on="f" focussize="0,0"/>
              <v:stroke weight="1.75pt" color="#005192" joinstyle="round"/>
              <v:imagedata o:title=""/>
              <o:lock v:ext="edit" aspectratio="f"/>
            </v:line>
          </w:pict>
        </mc:Fallback>
      </mc:AlternateContent>
    </w:r>
    <w:r>
      <w:rPr>
        <w:rFonts w:hint="eastAsia" w:eastAsia="仿宋"/>
        <w:color w:val="FAFAFA"/>
        <w:sz w:val="32"/>
        <w:szCs w:val="48"/>
        <w:lang w:val="en-US" w:eastAsia="zh-CN"/>
      </w:rPr>
      <w:t>X</w:t>
    </w:r>
    <w:r>
      <w:rPr>
        <w:rFonts w:hint="eastAsia" w:ascii="宋体" w:hAnsi="宋体" w:eastAsia="宋体" w:cs="宋体"/>
        <w:b/>
        <w:bCs/>
        <w:color w:val="005192"/>
        <w:sz w:val="28"/>
        <w:szCs w:val="44"/>
        <w:lang w:val="en-US" w:eastAsia="zh-CN"/>
      </w:rPr>
      <w:t xml:space="preserve">   </w:t>
    </w:r>
    <w:r>
      <w:rPr>
        <w:rFonts w:hint="eastAsia" w:ascii="宋体" w:hAnsi="宋体" w:cs="宋体"/>
        <w:b/>
        <w:bCs/>
        <w:color w:val="005192"/>
        <w:sz w:val="28"/>
        <w:szCs w:val="44"/>
        <w:lang w:val="en-US" w:eastAsia="zh-CN"/>
      </w:rPr>
      <w:t xml:space="preserve">                         淮南市人民政府办公室</w:t>
    </w:r>
    <w:r>
      <w:rPr>
        <w:rFonts w:hint="eastAsia" w:ascii="宋体" w:hAnsi="宋体" w:eastAsia="宋体" w:cs="宋体"/>
        <w:b/>
        <w:bCs/>
        <w:color w:val="005192"/>
        <w:sz w:val="28"/>
        <w:szCs w:val="44"/>
        <w:lang w:val="en-US" w:eastAsia="zh-CN"/>
      </w:rPr>
      <w:t>发布</w:t>
    </w:r>
    <w:r>
      <w:rPr>
        <w:rFonts w:hint="eastAsia" w:ascii="宋体" w:hAnsi="宋体" w:cs="宋体"/>
        <w:b/>
        <w:bCs/>
        <w:color w:val="005192"/>
        <w:sz w:val="28"/>
        <w:szCs w:val="44"/>
        <w:lang w:val="en-US" w:eastAsia="zh-C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8865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86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WC3IVAgAAFQ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aUaKawo/O3r+fvP88/vhDoAFBr/Rx+WwvP0L0xHRY96D2Uce6u&#10;ciremIjADqhPV3hFFwiPQbPJbJbDxGEbHsifPYdb58NbYRSJQkEd9pdgZceND73r4BKrabNupEw7&#10;lJq0BZ3evM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tWC3IVAgAAFQQAAA4AAAAAAAAA&#10;AQAgAAAAHwEAAGRycy9lMm9Eb2MueG1sUEsFBgAAAAAGAAYAWQEAAKYFAAAAAA==&#10;">
              <v:fill on="f" focussize="0,0"/>
              <v:stroke on="f" weight="0.5pt"/>
              <v:imagedata o:title=""/>
              <o:lock v:ext="edit" aspectratio="f"/>
              <v:textbox inset="0mm,0mm,0mm,0mm" style="mso-fit-shape-to-text:t;">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9"/>
      <w:wordWrap w:val="0"/>
      <w:ind w:left="4788" w:leftChars="2280" w:firstLine="6400" w:firstLineChars="2000"/>
      <w:jc w:val="right"/>
      <w:rPr>
        <w:rFonts w:hint="default"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888640" behindDoc="0" locked="0" layoutInCell="1" allowOverlap="1">
              <wp:simplePos x="0" y="0"/>
              <wp:positionH relativeFrom="column">
                <wp:posOffset>-7620</wp:posOffset>
              </wp:positionH>
              <wp:positionV relativeFrom="paragraph">
                <wp:posOffset>332740</wp:posOffset>
              </wp:positionV>
              <wp:extent cx="5616575" cy="1905"/>
              <wp:effectExtent l="0" t="10795" r="3175" b="15875"/>
              <wp:wrapNone/>
              <wp:docPr id="38" name="直接连接符 38"/>
              <wp:cNvGraphicFramePr/>
              <a:graphic xmlns:a="http://schemas.openxmlformats.org/drawingml/2006/main">
                <a:graphicData uri="http://schemas.microsoft.com/office/word/2010/wordprocessingShape">
                  <wps:wsp>
                    <wps:cNvCnPr/>
                    <wps:spPr>
                      <a:xfrm>
                        <a:off x="0" y="0"/>
                        <a:ext cx="5616575" cy="1905"/>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6pt;margin-top:26.2pt;height:0.15pt;width:442.25pt;z-index:251888640;mso-width-relative:page;mso-height-relative:page;" filled="f" stroked="t" coordsize="21600,21600" o:gfxdata="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VA7T/UAAAACAEAAA8AAAAA&#10;AAAAAQAgAAAAIgAAAGRycy9kb3ducmV2LnhtbFBLAQIUABQAAAAIAIdO4kDmo4kK3wEAAJwDAAAO&#10;AAAAAAAAAAEAIAAAACMBAABkcnMvZTJvRG9jLnhtbFBLBQYAAAAABgAGAFkBAAB0BQAAAAA=&#10;">
              <v:fill on="f" focussize="0,0"/>
              <v:stroke weight="1.75pt" color="#005192" joinstyle="round"/>
              <v:imagedata o:title=""/>
              <o:lock v:ext="edit" aspectratio="f"/>
            </v:line>
          </w:pict>
        </mc:Fallback>
      </mc:AlternateContent>
    </w:r>
    <w:r>
      <w:rPr>
        <w:rFonts w:hint="eastAsia" w:eastAsia="仿宋"/>
        <w:color w:val="FAFAFA"/>
        <w:sz w:val="32"/>
        <w:szCs w:val="48"/>
        <w:lang w:val="en-US" w:eastAsia="zh-CN"/>
      </w:rPr>
      <w:t>X</w:t>
    </w:r>
    <w:r>
      <w:rPr>
        <w:rFonts w:hint="eastAsia" w:ascii="宋体" w:hAnsi="宋体" w:eastAsia="宋体" w:cs="宋体"/>
        <w:b/>
        <w:bCs/>
        <w:color w:val="005192"/>
        <w:sz w:val="28"/>
        <w:szCs w:val="44"/>
        <w:lang w:val="en-US" w:eastAsia="zh-CN"/>
      </w:rPr>
      <w:t xml:space="preserve">   </w:t>
    </w:r>
    <w:r>
      <w:rPr>
        <w:rFonts w:hint="eastAsia" w:ascii="宋体" w:hAnsi="宋体" w:cs="宋体"/>
        <w:b/>
        <w:bCs/>
        <w:color w:val="005192"/>
        <w:sz w:val="28"/>
        <w:szCs w:val="44"/>
        <w:lang w:val="en-US" w:eastAsia="zh-CN"/>
      </w:rPr>
      <w:t xml:space="preserve">                         淮南市人民政府办公室</w:t>
    </w:r>
    <w:r>
      <w:rPr>
        <w:rFonts w:hint="eastAsia" w:ascii="宋体" w:hAnsi="宋体" w:eastAsia="宋体" w:cs="宋体"/>
        <w:b/>
        <w:bCs/>
        <w:color w:val="005192"/>
        <w:sz w:val="28"/>
        <w:szCs w:val="44"/>
        <w:lang w:val="en-US" w:eastAsia="zh-CN"/>
      </w:rPr>
      <w:t>发布</w:t>
    </w:r>
    <w:r>
      <w:rPr>
        <w:rFonts w:hint="eastAsia" w:ascii="宋体" w:hAnsi="宋体" w:cs="宋体"/>
        <w:b/>
        <w:bCs/>
        <w:color w:val="005192"/>
        <w:sz w:val="28"/>
        <w:szCs w:val="44"/>
        <w:lang w:val="en-US" w:eastAsia="zh-CN"/>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21221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2122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5QQ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y5QQVAgAAFQQAAA4AAAAAAAAA&#10;AQAgAAAAHwEAAGRycy9lMm9Eb2MueG1sUEsFBgAAAAAGAAYAWQEAAKYFAAAAAA==&#10;">
              <v:fill on="f" focussize="0,0"/>
              <v:stroke on="f" weight="0.5pt"/>
              <v:imagedata o:title=""/>
              <o:lock v:ext="edit" aspectratio="f"/>
              <v:textbox inset="0mm,0mm,0mm,0mm" style="mso-fit-shape-to-text:t;">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9"/>
      <w:wordWrap w:val="0"/>
      <w:ind w:left="4788" w:leftChars="2280" w:firstLine="6400" w:firstLineChars="2000"/>
      <w:jc w:val="right"/>
      <w:rPr>
        <w:rFonts w:hint="default"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2127232" behindDoc="0" locked="0" layoutInCell="1" allowOverlap="1">
              <wp:simplePos x="0" y="0"/>
              <wp:positionH relativeFrom="column">
                <wp:posOffset>38100</wp:posOffset>
              </wp:positionH>
              <wp:positionV relativeFrom="paragraph">
                <wp:posOffset>104775</wp:posOffset>
              </wp:positionV>
              <wp:extent cx="8230870" cy="19050"/>
              <wp:effectExtent l="0" t="0" r="0" b="0"/>
              <wp:wrapNone/>
              <wp:docPr id="44" name="直接连接符 44"/>
              <wp:cNvGraphicFramePr/>
              <a:graphic xmlns:a="http://schemas.openxmlformats.org/drawingml/2006/main">
                <a:graphicData uri="http://schemas.microsoft.com/office/word/2010/wordprocessingShape">
                  <wps:wsp>
                    <wps:cNvCnPr/>
                    <wps:spPr>
                      <a:xfrm flipV="1">
                        <a:off x="0" y="0"/>
                        <a:ext cx="8230870" cy="19050"/>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pt;margin-top:8.25pt;height:1.5pt;width:648.1pt;z-index:252127232;mso-width-relative:page;mso-height-relative:page;" filled="f" stroked="t" coordsize="21600,21600" o:gfxdata="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Q6/1tgAAAAIAQAADwAAAAAAAAABACAAAAAiAAAAZHJzL2Rvd25yZXYueG1sUEsBAhQAFAAAAAgA&#10;h07iQGBNqd7sAQAApwMAAA4AAAAAAAAAAQAgAAAAJwEAAGRycy9lMm9Eb2MueG1sUEsFBgAAAAAG&#10;AAYAWQEAAIUFAAAAAA==&#10;">
              <v:fill on="f" focussize="0,0"/>
              <v:stroke weight="1.75pt" color="#005192" joinstyle="round"/>
              <v:imagedata o:title=""/>
              <o:lock v:ext="edit" aspectratio="f"/>
            </v:line>
          </w:pict>
        </mc:Fallback>
      </mc:AlternateContent>
    </w:r>
    <w:r>
      <w:rPr>
        <w:rFonts w:hint="eastAsia" w:eastAsia="仿宋"/>
        <w:color w:val="FAFAFA"/>
        <w:sz w:val="32"/>
        <w:szCs w:val="48"/>
        <w:lang w:val="en-US" w:eastAsia="zh-CN"/>
      </w:rPr>
      <w:t>X</w:t>
    </w:r>
    <w:r>
      <w:rPr>
        <w:rFonts w:hint="eastAsia" w:ascii="宋体" w:hAnsi="宋体" w:eastAsia="宋体" w:cs="宋体"/>
        <w:b/>
        <w:bCs/>
        <w:color w:val="005192"/>
        <w:sz w:val="28"/>
        <w:szCs w:val="44"/>
        <w:lang w:val="en-US" w:eastAsia="zh-CN"/>
      </w:rPr>
      <w:t xml:space="preserve">   </w:t>
    </w:r>
    <w:r>
      <w:rPr>
        <w:rFonts w:hint="eastAsia" w:ascii="宋体" w:hAnsi="宋体" w:cs="宋体"/>
        <w:b/>
        <w:bCs/>
        <w:color w:val="005192"/>
        <w:sz w:val="28"/>
        <w:szCs w:val="44"/>
        <w:lang w:val="en-US" w:eastAsia="zh-CN"/>
      </w:rPr>
      <w:t xml:space="preserve">                            淮南市人民政府办公室</w:t>
    </w:r>
    <w:r>
      <w:rPr>
        <w:rFonts w:hint="eastAsia" w:ascii="宋体" w:hAnsi="宋体" w:eastAsia="宋体" w:cs="宋体"/>
        <w:b/>
        <w:bCs/>
        <w:color w:val="005192"/>
        <w:sz w:val="28"/>
        <w:szCs w:val="44"/>
        <w:lang w:val="en-US" w:eastAsia="zh-CN"/>
      </w:rPr>
      <w:t>发布</w:t>
    </w:r>
    <w:r>
      <w:rPr>
        <w:rFonts w:hint="eastAsia" w:ascii="宋体" w:hAnsi="宋体" w:cs="宋体"/>
        <w:b/>
        <w:bCs/>
        <w:color w:val="005192"/>
        <w:sz w:val="28"/>
        <w:szCs w:val="44"/>
        <w:lang w:val="en-US" w:eastAsia="zh-CN"/>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25931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2593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7/whE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7/whEVAgAAFQQAAA4AAAAAAAAA&#10;AQAgAAAAHwEAAGRycy9lMm9Eb2MueG1sUEsFBgAAAAAGAAYAWQEAAKYFAAAAAA==&#10;">
              <v:fill on="f" focussize="0,0"/>
              <v:stroke on="f" weight="0.5pt"/>
              <v:imagedata o:title=""/>
              <o:lock v:ext="edit" aspectratio="f"/>
              <v:textbox inset="0mm,0mm,0mm,0mm" style="mso-fit-shape-to-text:t;">
                <w:txbxContent>
                  <w:p>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9"/>
      <w:wordWrap w:val="0"/>
      <w:ind w:left="4788" w:leftChars="2280" w:firstLine="6400" w:firstLineChars="2000"/>
      <w:jc w:val="right"/>
      <w:rPr>
        <w:rFonts w:hint="default"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2595200" behindDoc="0" locked="0" layoutInCell="1" allowOverlap="1">
              <wp:simplePos x="0" y="0"/>
              <wp:positionH relativeFrom="column">
                <wp:posOffset>-17145</wp:posOffset>
              </wp:positionH>
              <wp:positionV relativeFrom="paragraph">
                <wp:posOffset>342265</wp:posOffset>
              </wp:positionV>
              <wp:extent cx="5616575" cy="1905"/>
              <wp:effectExtent l="0" t="10795" r="3175" b="15875"/>
              <wp:wrapNone/>
              <wp:docPr id="50" name="直接连接符 50"/>
              <wp:cNvGraphicFramePr/>
              <a:graphic xmlns:a="http://schemas.openxmlformats.org/drawingml/2006/main">
                <a:graphicData uri="http://schemas.microsoft.com/office/word/2010/wordprocessingShape">
                  <wps:wsp>
                    <wps:cNvCnPr/>
                    <wps:spPr>
                      <a:xfrm>
                        <a:off x="0" y="0"/>
                        <a:ext cx="5616575" cy="1905"/>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5pt;margin-top:26.95pt;height:0.15pt;width:442.25pt;z-index:252595200;mso-width-relative:page;mso-height-relative:page;" filled="f" stroked="t" coordsize="21600,21600" o:gfxdata="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dwKF9QAAAAIAQAADwAAAAAA&#10;AAABACAAAAAiAAAAZHJzL2Rvd25yZXYueG1sUEsBAhQAFAAAAAgAh07iQAQu2h7eAQAAnAMAAA4A&#10;AAAAAAAAAQAgAAAAIwEAAGRycy9lMm9Eb2MueG1sUEsFBgAAAAAGAAYAWQEAAHMFAAAAAA==&#10;">
              <v:fill on="f" focussize="0,0"/>
              <v:stroke weight="1.75pt" color="#005192" joinstyle="round"/>
              <v:imagedata o:title=""/>
              <o:lock v:ext="edit" aspectratio="f"/>
            </v:line>
          </w:pict>
        </mc:Fallback>
      </mc:AlternateContent>
    </w:r>
    <w:r>
      <w:rPr>
        <w:rFonts w:hint="eastAsia" w:eastAsia="仿宋"/>
        <w:color w:val="FAFAFA"/>
        <w:sz w:val="32"/>
        <w:szCs w:val="48"/>
        <w:lang w:val="en-US" w:eastAsia="zh-CN"/>
      </w:rPr>
      <w:t>X</w:t>
    </w:r>
    <w:r>
      <w:rPr>
        <w:rFonts w:hint="eastAsia" w:ascii="宋体" w:hAnsi="宋体" w:eastAsia="宋体" w:cs="宋体"/>
        <w:b/>
        <w:bCs/>
        <w:color w:val="005192"/>
        <w:sz w:val="28"/>
        <w:szCs w:val="44"/>
        <w:lang w:val="en-US" w:eastAsia="zh-CN"/>
      </w:rPr>
      <w:t xml:space="preserve">   </w:t>
    </w:r>
    <w:r>
      <w:rPr>
        <w:rFonts w:hint="eastAsia" w:ascii="宋体" w:hAnsi="宋体" w:cs="宋体"/>
        <w:b/>
        <w:bCs/>
        <w:color w:val="005192"/>
        <w:sz w:val="28"/>
        <w:szCs w:val="44"/>
        <w:lang w:val="en-US" w:eastAsia="zh-CN"/>
      </w:rPr>
      <w:t xml:space="preserve">                        淮南市人民政府办公室</w:t>
    </w:r>
    <w:r>
      <w:rPr>
        <w:rFonts w:hint="eastAsia" w:ascii="宋体" w:hAnsi="宋体" w:eastAsia="宋体" w:cs="宋体"/>
        <w:b/>
        <w:bCs/>
        <w:color w:val="005192"/>
        <w:sz w:val="28"/>
        <w:szCs w:val="44"/>
        <w:lang w:val="en-US" w:eastAsia="zh-CN"/>
      </w:rPr>
      <w:t>发布</w:t>
    </w:r>
    <w:r>
      <w:rPr>
        <w:rFonts w:hint="eastAsia" w:ascii="宋体" w:hAnsi="宋体" w:cs="宋体"/>
        <w:b/>
        <w:bCs/>
        <w:color w:val="005192"/>
        <w:sz w:val="28"/>
        <w:szCs w:val="44"/>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r>
      <w:rPr>
        <w:rFonts w:hint="eastAsia" w:ascii="宋体" w:hAnsi="宋体" w:eastAsia="宋体" w:cs="宋体"/>
        <w:b/>
        <w:bCs/>
        <w:color w:val="005192"/>
        <w:sz w:val="32"/>
      </w:rPr>
      <mc:AlternateContent>
        <mc:Choice Requires="wps">
          <w:drawing>
            <wp:anchor distT="0" distB="0" distL="114300" distR="114300" simplePos="0" relativeHeight="251668480" behindDoc="0" locked="0" layoutInCell="1" allowOverlap="1">
              <wp:simplePos x="0" y="0"/>
              <wp:positionH relativeFrom="column">
                <wp:posOffset>-3810</wp:posOffset>
              </wp:positionH>
              <wp:positionV relativeFrom="paragraph">
                <wp:posOffset>690245</wp:posOffset>
              </wp:positionV>
              <wp:extent cx="5620385" cy="0"/>
              <wp:effectExtent l="0" t="10795" r="18415" b="17780"/>
              <wp:wrapNone/>
              <wp:docPr id="78" name="直接连接符 78"/>
              <wp:cNvGraphicFramePr/>
              <a:graphic xmlns:a="http://schemas.openxmlformats.org/drawingml/2006/main">
                <a:graphicData uri="http://schemas.microsoft.com/office/word/2010/wordprocessingShape">
                  <wps:wsp>
                    <wps:cNvCnPr/>
                    <wps:spPr>
                      <a:xfrm>
                        <a:off x="4133850" y="864870"/>
                        <a:ext cx="5620385" cy="0"/>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3pt;margin-top:54.35pt;height:0pt;width:442.55pt;z-index:251668480;mso-width-relative:page;mso-height-relative:page;" filled="f" stroked="t" coordsize="21600,21600" o:gfxdata="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1EdA1tUAAAAJAQAADwAAAAAA&#10;AAABACAAAAAiAAAAZHJzL2Rvd25yZXYueG1sUEsBAhQAFAAAAAgAh07iQEX0Mg3dAQAAfwMAAA4A&#10;AAAAAAAAAQAgAAAAJAEAAGRycy9lMm9Eb2MueG1sUEsFBgAAAAAGAAYAWQEAAHMFAAAAAA==&#10;">
              <v:fill on="f" focussize="0,0"/>
              <v:stroke weight="1.75pt" color="#005192" miterlimit="8" joinstyle="miter"/>
              <v:imagedata o:title=""/>
              <o:lock v:ext="edit" aspectratio="f"/>
            </v:line>
          </w:pict>
        </mc:Fallback>
      </mc:AlternateContent>
    </w:r>
  </w:p>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71" name="图片 31"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1"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szCs w:val="32"/>
        <w:lang w:val="en-US" w:eastAsia="zh-CN"/>
      </w:rPr>
      <w:t>淮南市人民政府行政规范性文件</w:t>
    </w:r>
  </w:p>
  <w:p>
    <w:pPr>
      <w:pStyle w:val="9"/>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p>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mc:AlternateContent>
        <mc:Choice Requires="wps">
          <w:drawing>
            <wp:anchor distT="0" distB="0" distL="114300" distR="114300" simplePos="0" relativeHeight="253541376" behindDoc="0" locked="0" layoutInCell="1" allowOverlap="1">
              <wp:simplePos x="0" y="0"/>
              <wp:positionH relativeFrom="column">
                <wp:posOffset>7620</wp:posOffset>
              </wp:positionH>
              <wp:positionV relativeFrom="paragraph">
                <wp:posOffset>433705</wp:posOffset>
              </wp:positionV>
              <wp:extent cx="5620385" cy="0"/>
              <wp:effectExtent l="0" t="10795" r="18415" b="17780"/>
              <wp:wrapNone/>
              <wp:docPr id="60" name="直接连接符 60"/>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6pt;margin-top:34.15pt;height:0pt;width:442.55pt;z-index:253541376;mso-width-relative:page;mso-height-relative:page;" filled="f" stroked="t" coordsize="21600,21600" o:gfxdata="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7IBzS0AAAAAcBAAAPAAAAAAAAAAEA&#10;IAAAACIAAABkcnMvZG93bnJldi54bWxQSwECFAAUAAAACACHTuJAaNIaFN4BAACZAwAADgAAAAAA&#10;AAABACAAAAAfAQAAZHJzL2Uyb0RvYy54bWxQSwUGAAAAAAYABgBZAQAAbwUAAAAA&#10;">
              <v:fill on="f" focussize="0,0"/>
              <v:stroke weight="1.75pt" color="#005192" joinstyle="round"/>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15240" b="15240"/>
          <wp:docPr id="59" name="图片 59"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淮南市人民政府行政规范性</w:t>
    </w:r>
    <w:r>
      <w:rPr>
        <w:rFonts w:hint="eastAsia" w:ascii="宋体" w:hAnsi="宋体" w:eastAsia="宋体" w:cs="宋体"/>
        <w:b/>
        <w:bCs/>
        <w:color w:val="005192"/>
        <w:sz w:val="32"/>
        <w:szCs w:val="32"/>
        <w:lang w:val="en-US" w:eastAsia="zh-CN"/>
      </w:rPr>
      <w:t>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p>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mc:AlternateContent>
        <mc:Choice Requires="wps">
          <w:drawing>
            <wp:anchor distT="0" distB="0" distL="114300" distR="114300" simplePos="0" relativeHeight="255425536" behindDoc="0" locked="0" layoutInCell="1" allowOverlap="1">
              <wp:simplePos x="0" y="0"/>
              <wp:positionH relativeFrom="column">
                <wp:posOffset>38100</wp:posOffset>
              </wp:positionH>
              <wp:positionV relativeFrom="paragraph">
                <wp:posOffset>361950</wp:posOffset>
              </wp:positionV>
              <wp:extent cx="8235315" cy="10160"/>
              <wp:effectExtent l="0" t="0" r="0" b="0"/>
              <wp:wrapNone/>
              <wp:docPr id="66" name="直接连接符 66"/>
              <wp:cNvGraphicFramePr/>
              <a:graphic xmlns:a="http://schemas.openxmlformats.org/drawingml/2006/main">
                <a:graphicData uri="http://schemas.microsoft.com/office/word/2010/wordprocessingShape">
                  <wps:wsp>
                    <wps:cNvCnPr/>
                    <wps:spPr>
                      <a:xfrm flipV="1">
                        <a:off x="0" y="0"/>
                        <a:ext cx="8235315" cy="10160"/>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pt;margin-top:28.5pt;height:0.8pt;width:648.45pt;z-index:255425536;mso-width-relative:page;mso-height-relative:page;" filled="f" stroked="t" coordsize="21600,21600" o:gfxdata="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vY&#10;H/HYAAAACAEAAA8AAAAAAAAAAQAgAAAAIgAAAGRycy9kb3ducmV2LnhtbFBLAQIUABQAAAAIAIdO&#10;4kASjPVO6gEAAKcDAAAOAAAAAAAAAAEAIAAAACcBAABkcnMvZTJvRG9jLnhtbFBLBQYAAAAABgAG&#10;AFkBAACDBQAAAAA=&#10;">
              <v:fill on="f" focussize="0,0"/>
              <v:stroke weight="1.75pt" color="#005192" joinstyle="round"/>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15240" b="15240"/>
          <wp:docPr id="65" name="图片 65"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淮南市人民政府行政规范性</w:t>
    </w:r>
    <w:r>
      <w:rPr>
        <w:rFonts w:hint="eastAsia" w:ascii="宋体" w:hAnsi="宋体" w:eastAsia="宋体" w:cs="宋体"/>
        <w:b/>
        <w:bCs/>
        <w:color w:val="005192"/>
        <w:sz w:val="32"/>
        <w:szCs w:val="32"/>
        <w:lang w:val="en-US" w:eastAsia="zh-CN"/>
      </w:rPr>
      <w:t>文件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p>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mc:AlternateContent>
        <mc:Choice Requires="wps">
          <w:drawing>
            <wp:anchor distT="0" distB="0" distL="114300" distR="114300" simplePos="0" relativeHeight="259193856" behindDoc="0" locked="0" layoutInCell="1" allowOverlap="1">
              <wp:simplePos x="0" y="0"/>
              <wp:positionH relativeFrom="column">
                <wp:posOffset>-20955</wp:posOffset>
              </wp:positionH>
              <wp:positionV relativeFrom="paragraph">
                <wp:posOffset>424180</wp:posOffset>
              </wp:positionV>
              <wp:extent cx="5620385" cy="0"/>
              <wp:effectExtent l="0" t="10795" r="18415" b="17780"/>
              <wp:wrapNone/>
              <wp:docPr id="85" name="直接连接符 85"/>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65pt;margin-top:33.4pt;height:0pt;width:442.55pt;z-index:259193856;mso-width-relative:page;mso-height-relative:page;" filled="f" stroked="t" coordsize="21600,21600" o:gfxdata="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hvwubTAAAACAEAAA8AAAAAAAAA&#10;AQAgAAAAIgAAAGRycy9kb3ducmV2LnhtbFBLAQIUABQAAAAIAIdO4kCwkeze3QEAAJkDAAAOAAAA&#10;AAAAAAEAIAAAACIBAABkcnMvZTJvRG9jLnhtbFBLBQYAAAAABgAGAFkBAABxBQAAAAA=&#10;">
              <v:fill on="f" focussize="0,0"/>
              <v:stroke weight="1.75pt" color="#005192" joinstyle="round"/>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15240" b="15240"/>
          <wp:docPr id="77" name="图片 77"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淮南市人民政府行政规范性</w:t>
    </w:r>
    <w:r>
      <w:rPr>
        <w:rFonts w:hint="eastAsia" w:ascii="宋体" w:hAnsi="宋体" w:eastAsia="宋体" w:cs="宋体"/>
        <w:b/>
        <w:bCs/>
        <w:color w:val="005192"/>
        <w:sz w:val="32"/>
        <w:szCs w:val="32"/>
        <w:lang w:val="en-US" w:eastAsia="zh-CN"/>
      </w:rP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r>
      <w:rPr>
        <w:rFonts w:hint="eastAsia" w:ascii="宋体" w:hAnsi="宋体" w:eastAsia="宋体" w:cs="宋体"/>
        <w:b/>
        <w:bCs/>
        <w:color w:val="005192"/>
        <w:sz w:val="32"/>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690245</wp:posOffset>
              </wp:positionV>
              <wp:extent cx="5620385" cy="0"/>
              <wp:effectExtent l="0" t="10795" r="18415" b="17780"/>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3pt;margin-top:54.35pt;height:0pt;width:442.55pt;z-index:251659264;mso-width-relative:page;mso-height-relative:page;" filled="f" stroked="t" coordsize="21600,21600" o:gfxdata="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1EdA1tUAAAAJAQAADwAAAAAAAAABACAA&#10;AAAiAAAAZHJzL2Rvd25yZXYueG1sUEsBAhQAFAAAAAgAh07iQOPuMRnXAQAAbwMAAA4AAAAAAAAA&#10;AQAgAAAAJAEAAGRycy9lMm9Eb2MueG1sUEsFBgAAAAAGAAYAWQEAAG0FAAAAAA==&#10;">
              <v:fill on="f" focussize="0,0"/>
              <v:stroke weight="1.75pt" color="#005192 [3204]" miterlimit="8" joinstyle="miter"/>
              <v:imagedata o:title=""/>
              <o:lock v:ext="edit" aspectratio="f"/>
            </v:line>
          </w:pict>
        </mc:Fallback>
      </mc:AlternateContent>
    </w:r>
  </w:p>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淮南市人民政府行政规范性</w:t>
    </w:r>
    <w:r>
      <w:rPr>
        <w:rFonts w:hint="eastAsia" w:ascii="宋体" w:hAnsi="宋体" w:eastAsia="宋体" w:cs="宋体"/>
        <w:b/>
        <w:bCs/>
        <w:color w:val="005192"/>
        <w:sz w:val="32"/>
        <w:szCs w:val="32"/>
        <w:lang w:val="en-US" w:eastAsia="zh-CN"/>
      </w:rPr>
      <w:t>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p>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mc:AlternateContent>
        <mc:Choice Requires="wps">
          <w:drawing>
            <wp:anchor distT="0" distB="0" distL="114300" distR="114300" simplePos="0" relativeHeight="251676672" behindDoc="0" locked="0" layoutInCell="1" allowOverlap="1">
              <wp:simplePos x="0" y="0"/>
              <wp:positionH relativeFrom="column">
                <wp:posOffset>-9525</wp:posOffset>
              </wp:positionH>
              <wp:positionV relativeFrom="paragraph">
                <wp:posOffset>328930</wp:posOffset>
              </wp:positionV>
              <wp:extent cx="8235315" cy="10160"/>
              <wp:effectExtent l="0" t="0" r="0" b="0"/>
              <wp:wrapNone/>
              <wp:docPr id="12" name="直接连接符 12"/>
              <wp:cNvGraphicFramePr/>
              <a:graphic xmlns:a="http://schemas.openxmlformats.org/drawingml/2006/main">
                <a:graphicData uri="http://schemas.microsoft.com/office/word/2010/wordprocessingShape">
                  <wps:wsp>
                    <wps:cNvCnPr/>
                    <wps:spPr>
                      <a:xfrm flipV="1">
                        <a:off x="0" y="0"/>
                        <a:ext cx="8235315" cy="10160"/>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0.75pt;margin-top:25.9pt;height:0.8pt;width:648.45pt;z-index:251676672;mso-width-relative:page;mso-height-relative:page;" filled="f" stroked="t" coordsize="21600,21600" o:gfxdata="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Xr&#10;m//ZAAAACQEAAA8AAAAAAAAAAQAgAAAAIgAAAGRycy9kb3ducmV2LnhtbFBLAQIUABQAAAAIAIdO&#10;4kCzCmhw6QEAAKcDAAAOAAAAAAAAAAEAIAAAACgBAABkcnMvZTJvRG9jLnhtbFBLBQYAAAAABgAG&#10;AFkBAACDBQAAAAA=&#10;">
              <v:fill on="f" focussize="0,0"/>
              <v:stroke weight="1.75pt" color="#005192" joinstyle="round"/>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15240" b="15240"/>
          <wp:docPr id="11" name="图片 11"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淮南市人民政府行政规范性</w:t>
    </w:r>
    <w:r>
      <w:rPr>
        <w:rFonts w:hint="eastAsia" w:ascii="宋体" w:hAnsi="宋体" w:eastAsia="宋体" w:cs="宋体"/>
        <w:b/>
        <w:bCs/>
        <w:color w:val="005192"/>
        <w:sz w:val="32"/>
        <w:szCs w:val="32"/>
        <w:lang w:val="en-US" w:eastAsia="zh-CN"/>
      </w:rPr>
      <w:t>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p>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mc:AlternateContent>
        <mc:Choice Requires="wps">
          <w:drawing>
            <wp:anchor distT="0" distB="0" distL="114300" distR="114300" simplePos="0" relativeHeight="251686912" behindDoc="0" locked="0" layoutInCell="1" allowOverlap="1">
              <wp:simplePos x="0" y="0"/>
              <wp:positionH relativeFrom="column">
                <wp:posOffset>-1905</wp:posOffset>
              </wp:positionH>
              <wp:positionV relativeFrom="paragraph">
                <wp:posOffset>414655</wp:posOffset>
              </wp:positionV>
              <wp:extent cx="5620385" cy="0"/>
              <wp:effectExtent l="0" t="10795" r="18415" b="17780"/>
              <wp:wrapNone/>
              <wp:docPr id="22" name="直接连接符 22"/>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15pt;margin-top:32.65pt;height:0pt;width:442.55pt;z-index:251686912;mso-width-relative:page;mso-height-relative:page;" filled="f" stroked="t" coordsize="21600,21600" o:gfxdata="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DqvzI0gAAAAcBAAAPAAAAAAAAAAEA&#10;IAAAACIAAABkcnMvZG93bnJldi54bWxQSwECFAAUAAAACACHTuJA9Nxwm9wBAACZAwAADgAAAAAA&#10;AAABACAAAAAhAQAAZHJzL2Uyb0RvYy54bWxQSwUGAAAAAAYABgBZAQAAbwUAAAAA&#10;">
              <v:fill on="f" focussize="0,0"/>
              <v:stroke weight="1.75pt" color="#005192" joinstyle="round"/>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15240" b="15240"/>
          <wp:docPr id="21" name="图片 21"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淮南市人民政府行政规范性</w:t>
    </w:r>
    <w:r>
      <w:rPr>
        <w:rFonts w:hint="eastAsia" w:ascii="宋体" w:hAnsi="宋体" w:eastAsia="宋体" w:cs="宋体"/>
        <w:b/>
        <w:bCs/>
        <w:color w:val="005192"/>
        <w:sz w:val="32"/>
        <w:szCs w:val="32"/>
        <w:lang w:val="en-US" w:eastAsia="zh-CN"/>
      </w:rPr>
      <w:t>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p>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mc:AlternateContent>
        <mc:Choice Requires="wps">
          <w:drawing>
            <wp:anchor distT="0" distB="0" distL="114300" distR="114300" simplePos="0" relativeHeight="251715584" behindDoc="0" locked="0" layoutInCell="1" allowOverlap="1">
              <wp:simplePos x="0" y="0"/>
              <wp:positionH relativeFrom="column">
                <wp:posOffset>0</wp:posOffset>
              </wp:positionH>
              <wp:positionV relativeFrom="paragraph">
                <wp:posOffset>342900</wp:posOffset>
              </wp:positionV>
              <wp:extent cx="8235315" cy="10160"/>
              <wp:effectExtent l="0" t="0" r="0" b="0"/>
              <wp:wrapNone/>
              <wp:docPr id="29" name="直接连接符 29"/>
              <wp:cNvGraphicFramePr/>
              <a:graphic xmlns:a="http://schemas.openxmlformats.org/drawingml/2006/main">
                <a:graphicData uri="http://schemas.microsoft.com/office/word/2010/wordprocessingShape">
                  <wps:wsp>
                    <wps:cNvCnPr/>
                    <wps:spPr>
                      <a:xfrm flipV="1">
                        <a:off x="0" y="0"/>
                        <a:ext cx="8235315" cy="10160"/>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0pt;margin-top:27pt;height:0.8pt;width:648.45pt;z-index:251715584;mso-width-relative:page;mso-height-relative:page;" filled="f" stroked="t" coordsize="21600,21600" o:gfxdata="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AXnr2AAAAAcBAAAPAAAAAAAAAAEAIAAAACIAAABkcnMvZG93bnJldi54bWxQSwECFAAUAAAACACH&#10;TuJAX3KwX+sBAACnAwAADgAAAAAAAAABACAAAAAnAQAAZHJzL2Uyb0RvYy54bWxQSwUGAAAAAAYA&#10;BgBZAQAAhAUAAAAA&#10;">
              <v:fill on="f" focussize="0,0"/>
              <v:stroke weight="1.75pt" color="#005192" joinstyle="round"/>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15240" b="15240"/>
          <wp:docPr id="28" name="图片 28"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淮南市人民政府行政规范性</w:t>
    </w:r>
    <w:r>
      <w:rPr>
        <w:rFonts w:hint="eastAsia" w:ascii="宋体" w:hAnsi="宋体" w:eastAsia="宋体" w:cs="宋体"/>
        <w:b/>
        <w:bCs/>
        <w:color w:val="005192"/>
        <w:sz w:val="32"/>
        <w:szCs w:val="32"/>
        <w:lang w:val="en-US" w:eastAsia="zh-CN"/>
      </w:rPr>
      <w:t>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p>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mc:AlternateContent>
        <mc:Choice Requires="wps">
          <w:drawing>
            <wp:anchor distT="0" distB="0" distL="114300" distR="114300" simplePos="0" relativeHeight="251774976" behindDoc="0" locked="0" layoutInCell="1" allowOverlap="1">
              <wp:simplePos x="0" y="0"/>
              <wp:positionH relativeFrom="column">
                <wp:posOffset>-11430</wp:posOffset>
              </wp:positionH>
              <wp:positionV relativeFrom="paragraph">
                <wp:posOffset>414655</wp:posOffset>
              </wp:positionV>
              <wp:extent cx="5620385" cy="0"/>
              <wp:effectExtent l="0" t="10795" r="18415" b="17780"/>
              <wp:wrapNone/>
              <wp:docPr id="35" name="直接连接符 35"/>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9pt;margin-top:32.65pt;height:0pt;width:442.55pt;z-index:251774976;mso-width-relative:page;mso-height-relative:page;" filled="f" stroked="t" coordsize="21600,21600" o:gfxdata="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OW1bfSAAAACAEAAA8AAAAAAAAA&#10;AQAgAAAAIgAAAGRycy9kb3ducmV2LnhtbFBLAQIUABQAAAAIAIdO4kDy17YP3gEAAJkDAAAOAAAA&#10;AAAAAAEAIAAAACEBAABkcnMvZTJvRG9jLnhtbFBLBQYAAAAABgAGAFkBAABxBQAAAAA=&#10;">
              <v:fill on="f" focussize="0,0"/>
              <v:stroke weight="1.75pt" color="#005192" joinstyle="round"/>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15240" b="15240"/>
          <wp:docPr id="34" name="图片 3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淮南市人民政府行政规范性</w:t>
    </w:r>
    <w:r>
      <w:rPr>
        <w:rFonts w:hint="eastAsia" w:ascii="宋体" w:hAnsi="宋体" w:eastAsia="宋体" w:cs="宋体"/>
        <w:b/>
        <w:bCs/>
        <w:color w:val="005192"/>
        <w:sz w:val="32"/>
        <w:szCs w:val="32"/>
        <w:lang w:val="en-US" w:eastAsia="zh-CN"/>
      </w:rPr>
      <w:t>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p>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mc:AlternateContent>
        <mc:Choice Requires="wps">
          <w:drawing>
            <wp:anchor distT="0" distB="0" distL="114300" distR="114300" simplePos="0" relativeHeight="251892736" behindDoc="0" locked="0" layoutInCell="1" allowOverlap="1">
              <wp:simplePos x="0" y="0"/>
              <wp:positionH relativeFrom="column">
                <wp:posOffset>19050</wp:posOffset>
              </wp:positionH>
              <wp:positionV relativeFrom="paragraph">
                <wp:posOffset>342900</wp:posOffset>
              </wp:positionV>
              <wp:extent cx="8235315" cy="10160"/>
              <wp:effectExtent l="0" t="0" r="0" b="0"/>
              <wp:wrapNone/>
              <wp:docPr id="41" name="直接连接符 41"/>
              <wp:cNvGraphicFramePr/>
              <a:graphic xmlns:a="http://schemas.openxmlformats.org/drawingml/2006/main">
                <a:graphicData uri="http://schemas.microsoft.com/office/word/2010/wordprocessingShape">
                  <wps:wsp>
                    <wps:cNvCnPr/>
                    <wps:spPr>
                      <a:xfrm flipV="1">
                        <a:off x="0" y="0"/>
                        <a:ext cx="8235315" cy="10160"/>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5pt;margin-top:27pt;height:0.8pt;width:648.45pt;z-index:251892736;mso-width-relative:page;mso-height-relative:page;" filled="f" stroked="t" coordsize="21600,21600" o:gfxdata="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10;PfKv2QAAAAgBAAAPAAAAAAAAAAEAIAAAACIAAABkcnMvZG93bnJldi54bWxQSwECFAAUAAAACACH&#10;TuJA6qg8gOoBAACnAwAADgAAAAAAAAABACAAAAAoAQAAZHJzL2Uyb0RvYy54bWxQSwUGAAAAAAYA&#10;BgBZAQAAhAUAAAAA&#10;">
              <v:fill on="f" focussize="0,0"/>
              <v:stroke weight="1.75pt" color="#005192" joinstyle="round"/>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15240" b="15240"/>
          <wp:docPr id="40" name="图片 40"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淮南市人民政府行政规范性</w:t>
    </w:r>
    <w:r>
      <w:rPr>
        <w:rFonts w:hint="eastAsia" w:ascii="宋体" w:hAnsi="宋体" w:eastAsia="宋体" w:cs="宋体"/>
        <w:b/>
        <w:bCs/>
        <w:color w:val="005192"/>
        <w:sz w:val="32"/>
        <w:szCs w:val="32"/>
        <w:lang w:val="en-US" w:eastAsia="zh-CN"/>
      </w:rPr>
      <w:t>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p>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mc:AlternateContent>
        <mc:Choice Requires="wps">
          <w:drawing>
            <wp:anchor distT="0" distB="0" distL="114300" distR="114300" simplePos="0" relativeHeight="252128256" behindDoc="0" locked="0" layoutInCell="1" allowOverlap="1">
              <wp:simplePos x="0" y="0"/>
              <wp:positionH relativeFrom="column">
                <wp:posOffset>-20955</wp:posOffset>
              </wp:positionH>
              <wp:positionV relativeFrom="paragraph">
                <wp:posOffset>433705</wp:posOffset>
              </wp:positionV>
              <wp:extent cx="5620385" cy="0"/>
              <wp:effectExtent l="0" t="10795" r="18415" b="17780"/>
              <wp:wrapNone/>
              <wp:docPr id="47" name="直接连接符 47"/>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65pt;margin-top:34.15pt;height:0pt;width:442.55pt;z-index:252128256;mso-width-relative:page;mso-height-relative:page;" filled="f" stroked="t" coordsize="21600,21600" o:gfxdata="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bpKdMAAAAIAQAADwAAAAAA&#10;AAABACAAAAAiAAAAZHJzL2Rvd25yZXYueG1sUEsBAhQAFAAAAAgAh07iQPIgSsDfAQAAmQMAAA4A&#10;AAAAAAAAAQAgAAAAIgEAAGRycy9lMm9Eb2MueG1sUEsFBgAAAAAGAAYAWQEAAHMFAAAAAA==&#10;">
              <v:fill on="f" focussize="0,0"/>
              <v:stroke weight="1.75pt" color="#005192" joinstyle="round"/>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15240" b="15240"/>
          <wp:docPr id="46" name="图片 4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淮南市人民政府行政规范性</w:t>
    </w:r>
    <w:r>
      <w:rPr>
        <w:rFonts w:hint="eastAsia" w:ascii="宋体" w:hAnsi="宋体" w:eastAsia="宋体" w:cs="宋体"/>
        <w:b/>
        <w:bCs/>
        <w:color w:val="005192"/>
        <w:sz w:val="32"/>
        <w:szCs w:val="32"/>
        <w:lang w:val="en-US" w:eastAsia="zh-CN"/>
      </w:rPr>
      <w:t>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p>
  <w:p>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mc:AlternateContent>
        <mc:Choice Requires="wps">
          <w:drawing>
            <wp:anchor distT="0" distB="0" distL="114300" distR="114300" simplePos="0" relativeHeight="252599296" behindDoc="0" locked="0" layoutInCell="1" allowOverlap="1">
              <wp:simplePos x="0" y="0"/>
              <wp:positionH relativeFrom="column">
                <wp:posOffset>19050</wp:posOffset>
              </wp:positionH>
              <wp:positionV relativeFrom="paragraph">
                <wp:posOffset>323850</wp:posOffset>
              </wp:positionV>
              <wp:extent cx="8235315" cy="10160"/>
              <wp:effectExtent l="0" t="0" r="0" b="0"/>
              <wp:wrapNone/>
              <wp:docPr id="53" name="直接连接符 53"/>
              <wp:cNvGraphicFramePr/>
              <a:graphic xmlns:a="http://schemas.openxmlformats.org/drawingml/2006/main">
                <a:graphicData uri="http://schemas.microsoft.com/office/word/2010/wordprocessingShape">
                  <wps:wsp>
                    <wps:cNvCnPr/>
                    <wps:spPr>
                      <a:xfrm flipV="1">
                        <a:off x="0" y="0"/>
                        <a:ext cx="8235315" cy="10160"/>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5pt;margin-top:25.5pt;height:0.8pt;width:648.45pt;z-index:252599296;mso-width-relative:page;mso-height-relative:page;" filled="f" stroked="t" coordsize="21600,21600" o:gfxdata="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Sb&#10;jpjYAAAACAEAAA8AAAAAAAAAAQAgAAAAIgAAAGRycy9kb3ducmV2LnhtbFBLAQIUABQAAAAIAIdO&#10;4kCU0y2b6gEAAKcDAAAOAAAAAAAAAAEAIAAAACcBAABkcnMvZTJvRG9jLnhtbFBLBQYAAAAABgAG&#10;AFkBAACDBQAAAAA=&#10;">
              <v:fill on="f" focussize="0,0"/>
              <v:stroke weight="1.75pt" color="#005192" joinstyle="round"/>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15240" b="15240"/>
          <wp:docPr id="52" name="图片 52"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淮南市人民政府行政规范性</w:t>
    </w:r>
    <w:r>
      <w:rPr>
        <w:rFonts w:hint="eastAsia" w:ascii="宋体" w:hAnsi="宋体" w:eastAsia="宋体" w:cs="宋体"/>
        <w:b/>
        <w:bCs/>
        <w:color w:val="005192"/>
        <w:sz w:val="32"/>
        <w:szCs w:val="32"/>
        <w:lang w:val="en-US" w:eastAsia="zh-CN"/>
      </w:rPr>
      <w:t>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dit="readOnly" w:formatting="1" w:enforcement="1" w:cryptProviderType="rsaFull" w:cryptAlgorithmClass="hash" w:cryptAlgorithmType="typeAny" w:cryptAlgorithmSid="4" w:cryptSpinCount="0" w:hash="yYWLqz5ptv0XGst2kyMnUO3C910=" w:salt="VLUjpp/Heaiu9kKlak9WaA=="/>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DF7D5F"/>
    <w:rsid w:val="064D3695"/>
    <w:rsid w:val="08F113E5"/>
    <w:rsid w:val="10680C34"/>
    <w:rsid w:val="149A1CC3"/>
    <w:rsid w:val="17DF7D5F"/>
    <w:rsid w:val="38044A8B"/>
    <w:rsid w:val="396201DF"/>
    <w:rsid w:val="43ED4D96"/>
    <w:rsid w:val="4DD1173F"/>
    <w:rsid w:val="52C93361"/>
    <w:rsid w:val="56D71850"/>
    <w:rsid w:val="62313D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paragraph" w:styleId="4">
    <w:name w:val="heading 2"/>
    <w:basedOn w:val="1"/>
    <w:next w:val="1"/>
    <w:qFormat/>
    <w:uiPriority w:val="0"/>
    <w:pPr>
      <w:keepNext/>
      <w:keepLines/>
      <w:spacing w:line="360" w:lineRule="auto"/>
      <w:jc w:val="center"/>
      <w:outlineLvl w:val="1"/>
    </w:pPr>
    <w:rPr>
      <w:rFonts w:ascii="Cambria" w:hAnsi="Cambria"/>
      <w:b/>
      <w:bCs/>
      <w:kern w:val="0"/>
      <w:sz w:val="30"/>
      <w:szCs w:val="32"/>
    </w:rPr>
  </w:style>
  <w:style w:type="paragraph" w:styleId="5">
    <w:name w:val="heading 3"/>
    <w:basedOn w:val="1"/>
    <w:next w:val="1"/>
    <w:qFormat/>
    <w:uiPriority w:val="0"/>
    <w:pPr>
      <w:tabs>
        <w:tab w:val="left" w:pos="6785"/>
      </w:tabs>
      <w:topLinePunct/>
      <w:spacing w:line="360" w:lineRule="auto"/>
      <w:ind w:firstLine="1440" w:firstLineChars="200"/>
      <w:textAlignment w:val="top"/>
      <w:outlineLvl w:val="2"/>
    </w:pPr>
    <w:rPr>
      <w:rFonts w:ascii="宋体" w:hAnsi="宋体"/>
      <w:b/>
      <w:kern w:val="21"/>
      <w:sz w:val="24"/>
      <w:szCs w:val="20"/>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Plain Text"/>
    <w:basedOn w:val="1"/>
    <w:unhideWhenUsed/>
    <w:qFormat/>
    <w:uiPriority w:val="0"/>
    <w:pPr>
      <w:spacing w:line="500" w:lineRule="exact"/>
      <w:ind w:firstLine="880" w:firstLineChars="200"/>
    </w:pPr>
    <w:rPr>
      <w:rFonts w:ascii="宋体" w:hAnsi="Courier New"/>
      <w:sz w:val="24"/>
      <w:szCs w:val="21"/>
    </w:rPr>
  </w:style>
  <w:style w:type="paragraph" w:styleId="6">
    <w:name w:val="annotation text"/>
    <w:basedOn w:val="1"/>
    <w:qFormat/>
    <w:uiPriority w:val="0"/>
    <w:pPr>
      <w:jc w:val="left"/>
    </w:pPr>
  </w:style>
  <w:style w:type="paragraph" w:styleId="7">
    <w:name w:val="Body Text Indent"/>
    <w:basedOn w:val="1"/>
    <w:qFormat/>
    <w:uiPriority w:val="0"/>
    <w:pPr>
      <w:spacing w:line="360" w:lineRule="auto"/>
      <w:ind w:firstLine="480" w:firstLineChars="200"/>
    </w:pPr>
    <w:rPr>
      <w:rFonts w:ascii="宋体"/>
      <w:sz w:val="24"/>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4">
    <w:name w:val="Strong"/>
    <w:basedOn w:val="13"/>
    <w:qFormat/>
    <w:uiPriority w:val="0"/>
    <w:rPr>
      <w:b/>
      <w:bCs/>
    </w:rPr>
  </w:style>
  <w:style w:type="paragraph" w:customStyle="1" w:styleId="15">
    <w:name w:val="p0"/>
    <w:basedOn w:val="1"/>
    <w:qFormat/>
    <w:uiPriority w:val="0"/>
    <w:pPr>
      <w:widowControl/>
    </w:pPr>
    <w:rPr>
      <w:rFonts w:ascii="Calibri" w:hAnsi="Calibri" w:eastAsia="宋体" w:cs="宋体"/>
      <w:kern w:val="0"/>
      <w:szCs w:val="32"/>
    </w:rPr>
  </w:style>
  <w:style w:type="character" w:customStyle="1" w:styleId="16">
    <w:name w:val="标题 1 Char Char"/>
    <w:qFormat/>
    <w:uiPriority w:val="0"/>
    <w:rPr>
      <w:rFonts w:ascii="Times New Roman" w:hAnsi="Times New Roman" w:eastAsia="宋体"/>
      <w:b/>
      <w:bCs/>
      <w:kern w:val="44"/>
      <w:sz w:val="36"/>
      <w:szCs w:val="44"/>
      <w:lang w:val="en-US" w:eastAsia="zh-CN" w:bidi="ar-SA"/>
    </w:rPr>
  </w:style>
  <w:style w:type="character" w:customStyle="1" w:styleId="17">
    <w:name w:val="font31"/>
    <w:qFormat/>
    <w:uiPriority w:val="0"/>
    <w:rPr>
      <w:rFonts w:hint="default" w:ascii="Times New Roman" w:hAnsi="Times New Roman" w:cs="Times New Roman"/>
      <w:color w:val="000000"/>
      <w:sz w:val="20"/>
      <w:szCs w:val="20"/>
      <w:u w:val="none"/>
      <w:vertAlign w:val="superscript"/>
    </w:rPr>
  </w:style>
  <w:style w:type="character" w:customStyle="1" w:styleId="18">
    <w:name w:val="font41"/>
    <w:qFormat/>
    <w:uiPriority w:val="0"/>
    <w:rPr>
      <w:rFonts w:hint="default" w:ascii="Times New Roman" w:hAnsi="Times New Roman" w:cs="Times New Roman"/>
      <w:color w:val="000000"/>
      <w:sz w:val="20"/>
      <w:szCs w:val="20"/>
      <w:u w:val="none"/>
    </w:rPr>
  </w:style>
  <w:style w:type="paragraph" w:customStyle="1" w:styleId="19">
    <w:name w:val="正文段落"/>
    <w:basedOn w:val="1"/>
    <w:qFormat/>
    <w:uiPriority w:val="0"/>
    <w:pPr>
      <w:spacing w:line="480" w:lineRule="exact"/>
      <w:ind w:firstLine="480" w:firstLineChars="200"/>
    </w:pPr>
    <w:rPr>
      <w:rFonts w:ascii="仿宋_GB2312" w:eastAsia="仿宋_GB2312"/>
      <w:bCs/>
      <w:snapToGrid w:val="0"/>
      <w:sz w:val="24"/>
    </w:rPr>
  </w:style>
  <w:style w:type="character" w:customStyle="1" w:styleId="20">
    <w:name w:val="font51"/>
    <w:qFormat/>
    <w:uiPriority w:val="0"/>
    <w:rPr>
      <w:rFonts w:hint="default" w:ascii="Times New Roman" w:hAnsi="Times New Roman" w:cs="Times New Roman"/>
      <w:color w:val="000000"/>
      <w:sz w:val="20"/>
      <w:szCs w:val="20"/>
      <w:u w:val="none"/>
    </w:rPr>
  </w:style>
  <w:style w:type="character" w:customStyle="1" w:styleId="21">
    <w:name w:val="font01"/>
    <w:qFormat/>
    <w:uiPriority w:val="0"/>
    <w:rPr>
      <w:rFonts w:hint="eastAsia" w:ascii="宋体" w:hAnsi="宋体" w:eastAsia="宋体" w:cs="宋体"/>
      <w:color w:val="000000"/>
      <w:sz w:val="20"/>
      <w:szCs w:val="20"/>
      <w:u w:val="none"/>
    </w:rPr>
  </w:style>
  <w:style w:type="character" w:customStyle="1" w:styleId="22">
    <w:name w:val="font21"/>
    <w:qFormat/>
    <w:uiPriority w:val="0"/>
    <w:rPr>
      <w:rFonts w:hint="default" w:ascii="Times New Roman" w:hAnsi="Times New Roman" w:cs="Times New Roman"/>
      <w:color w:val="000000"/>
      <w:sz w:val="20"/>
      <w:szCs w:val="20"/>
      <w:u w:val="none"/>
    </w:rPr>
  </w:style>
  <w:style w:type="character" w:customStyle="1" w:styleId="23">
    <w:name w:val="font11"/>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13.emf"/><Relationship Id="rId41" Type="http://schemas.openxmlformats.org/officeDocument/2006/relationships/image" Target="media/image12.emf"/><Relationship Id="rId40" Type="http://schemas.openxmlformats.org/officeDocument/2006/relationships/image" Target="media/image11.jpeg"/><Relationship Id="rId4" Type="http://schemas.openxmlformats.org/officeDocument/2006/relationships/footer" Target="footer1.xml"/><Relationship Id="rId39" Type="http://schemas.openxmlformats.org/officeDocument/2006/relationships/image" Target="media/image10.jpeg"/><Relationship Id="rId38" Type="http://schemas.openxmlformats.org/officeDocument/2006/relationships/chart" Target="charts/chart2.xml"/><Relationship Id="rId37" Type="http://schemas.openxmlformats.org/officeDocument/2006/relationships/chart" Target="charts/chart1.xml"/><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jpeg"/><Relationship Id="rId30" Type="http://schemas.openxmlformats.org/officeDocument/2006/relationships/image" Target="media/image3.jpeg"/><Relationship Id="rId3" Type="http://schemas.openxmlformats.org/officeDocument/2006/relationships/header" Target="header1.xml"/><Relationship Id="rId29" Type="http://schemas.openxmlformats.org/officeDocument/2006/relationships/image" Target="media/image2.jpe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header" Target="header12.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20845;&#23433;&#27700;&#36164;&#28304;&#25215;&#36733;&#33021;&#21147;&#30417;&#27979;&#39044;&#35686;&#12289;&#20844;&#25253;&#12289;&#32508;&#21512;&#35268;&#21010;\&#23551;&#21439;&#20154;&#21475;&#21450;GDP&#36164;&#26009;.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rgbClr val="595959">
                  <a:lumMod val="65000"/>
                  <a:lumOff val="35000"/>
                </a:srgbClr>
              </a:solidFill>
              <a:latin typeface="+mn-lt"/>
              <a:ea typeface="+mn-ea"/>
              <a:cs typeface="+mn-cs"/>
            </a:defRPr>
          </a:pPr>
        </a:p>
      </c:txPr>
    </c:title>
    <c:autoTitleDeleted val="0"/>
    <c:plotArea>
      <c:layout/>
      <c:lineChart>
        <c:grouping val="standard"/>
        <c:varyColors val="0"/>
        <c:ser>
          <c:idx val="0"/>
          <c:order val="0"/>
          <c:tx>
            <c:strRef>
              <c:f>[寿县人口及GDP资料.xls]寿县!$S$19</c:f>
              <c:strCache>
                <c:ptCount val="1"/>
                <c:pt idx="0">
                  <c:v>年末人口</c:v>
                </c:pt>
              </c:strCache>
            </c:strRef>
          </c:tx>
          <c:spPr>
            <a:ln w="19050" cap="rnd">
              <a:solidFill>
                <a:srgbClr val="4F81BD"/>
              </a:solidFill>
              <a:round/>
            </a:ln>
            <a:effectLst/>
          </c:spPr>
          <c:marker>
            <c:symbol val="circle"/>
            <c:size val="5"/>
            <c:spPr>
              <a:solidFill>
                <a:srgbClr val="4F81BD"/>
              </a:solidFill>
              <a:ln w="9525">
                <a:solidFill>
                  <a:srgbClr val="4F81BD"/>
                </a:solidFill>
              </a:ln>
              <a:effectLst/>
            </c:spPr>
          </c:marker>
          <c:dLbls>
            <c:delete val="1"/>
          </c:dLbls>
          <c:cat>
            <c:numRef>
              <c:f>[寿县人口及GDP资料.xls]寿县!$T$18:$Y$18</c:f>
              <c:numCache>
                <c:formatCode>General</c:formatCode>
                <c:ptCount val="6"/>
                <c:pt idx="0">
                  <c:v>2010</c:v>
                </c:pt>
                <c:pt idx="1">
                  <c:v>2011</c:v>
                </c:pt>
                <c:pt idx="2">
                  <c:v>2012</c:v>
                </c:pt>
                <c:pt idx="3">
                  <c:v>2013</c:v>
                </c:pt>
                <c:pt idx="4">
                  <c:v>2014</c:v>
                </c:pt>
                <c:pt idx="5">
                  <c:v>2015</c:v>
                </c:pt>
              </c:numCache>
            </c:numRef>
          </c:cat>
          <c:val>
            <c:numRef>
              <c:f>[寿县人口及GDP资料.xls]寿县!$T$19:$Y$19</c:f>
              <c:numCache>
                <c:formatCode>General</c:formatCode>
                <c:ptCount val="6"/>
                <c:pt idx="0">
                  <c:v>343.59</c:v>
                </c:pt>
                <c:pt idx="1">
                  <c:v>345.19</c:v>
                </c:pt>
                <c:pt idx="2">
                  <c:v>343.3</c:v>
                </c:pt>
                <c:pt idx="3">
                  <c:v>343.03</c:v>
                </c:pt>
                <c:pt idx="4">
                  <c:v>345.39</c:v>
                </c:pt>
                <c:pt idx="5">
                  <c:v>349.6</c:v>
                </c:pt>
              </c:numCache>
            </c:numRef>
          </c:val>
          <c:smooth val="0"/>
        </c:ser>
        <c:dLbls>
          <c:showLegendKey val="0"/>
          <c:showVal val="0"/>
          <c:showCatName val="0"/>
          <c:showSerName val="0"/>
          <c:showPercent val="0"/>
          <c:showBubbleSize val="0"/>
        </c:dLbls>
        <c:marker val="1"/>
        <c:smooth val="0"/>
        <c:axId val="954937629"/>
        <c:axId val="56328918"/>
      </c:lineChart>
      <c:catAx>
        <c:axId val="954937629"/>
        <c:scaling>
          <c:orientation val="minMax"/>
        </c:scaling>
        <c:delete val="0"/>
        <c:axPos val="b"/>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w="9525" cap="flat" cmpd="sng" algn="ctr">
            <a:solidFill>
              <a:srgbClr val="BFBFBF">
                <a:lumMod val="25000"/>
                <a:lumOff val="7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56328918"/>
        <c:crosses val="autoZero"/>
        <c:auto val="1"/>
        <c:lblAlgn val="ctr"/>
        <c:lblOffset val="100"/>
        <c:noMultiLvlLbl val="0"/>
      </c:catAx>
      <c:valAx>
        <c:axId val="56328918"/>
        <c:scaling>
          <c:orientation val="minMax"/>
          <c:max val="360"/>
        </c:scaling>
        <c:delete val="0"/>
        <c:axPos val="l"/>
        <c:majorGridlines>
          <c:spPr>
            <a:ln w="9525" cap="flat" cmpd="sng" algn="ctr">
              <a:solidFill>
                <a:srgbClr val="D9D9D9">
                  <a:lumMod val="15000"/>
                  <a:lumOff val="85000"/>
                </a:srgbClr>
              </a:solidFill>
              <a:round/>
            </a:ln>
            <a:effectLst/>
          </c:spPr>
        </c:majorGridlines>
        <c:minorGridlines>
          <c:spPr>
            <a:ln w="9525" cap="flat" cmpd="sng" algn="ctr">
              <a:solidFill>
                <a:srgbClr val="F2F2F2">
                  <a:lumMod val="5000"/>
                  <a:lumOff val="95000"/>
                </a:srgbClr>
              </a:solidFill>
              <a:round/>
            </a:ln>
            <a:effectLst/>
          </c:spPr>
        </c:minorGridlines>
        <c:numFmt formatCode="General" sourceLinked="1"/>
        <c:majorTickMark val="none"/>
        <c:minorTickMark val="none"/>
        <c:tickLblPos val="nextTo"/>
        <c:spPr>
          <a:noFill/>
          <a:ln w="9525" cap="flat" cmpd="sng" algn="ctr">
            <a:solidFill>
              <a:srgbClr val="BFBFBF">
                <a:lumMod val="25000"/>
                <a:lumOff val="7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954937629"/>
        <c:crosses val="autoZero"/>
        <c:crossBetween val="between"/>
        <c:majorUnit val="20"/>
        <c:minorUnit val="1"/>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16111111111111"/>
          <c:y val="0.0891203703703704"/>
          <c:w val="0.873388888888889"/>
          <c:h val="0.731574074074074"/>
        </c:manualLayout>
      </c:layout>
      <c:scatterChart>
        <c:scatterStyle val="lineMarker"/>
        <c:varyColors val="0"/>
        <c:ser>
          <c:idx val="0"/>
          <c:order val="0"/>
          <c:tx>
            <c:strRef>
              <c:f>[工作簿1]Sheet1!$O$34</c:f>
              <c:strCache>
                <c:ptCount val="1"/>
                <c:pt idx="0">
                  <c:v>GDP</c:v>
                </c:pt>
              </c:strCache>
            </c:strRef>
          </c:tx>
          <c:spPr>
            <a:ln w="19050" cap="rnd">
              <a:solidFill>
                <a:srgbClr val="4F81BD"/>
              </a:solidFill>
              <a:round/>
            </a:ln>
            <a:effectLst/>
          </c:spPr>
          <c:marker>
            <c:symbol val="circle"/>
            <c:size val="5"/>
            <c:spPr>
              <a:solidFill>
                <a:srgbClr val="4F81BD"/>
              </a:solidFill>
              <a:ln w="9525">
                <a:solidFill>
                  <a:srgbClr val="4F81BD"/>
                </a:solidFill>
              </a:ln>
              <a:effectLst/>
            </c:spPr>
          </c:marker>
          <c:dLbls>
            <c:delete val="1"/>
          </c:dLbls>
          <c:xVal>
            <c:numRef>
              <c:f>[工作簿1]Sheet1!$P$33:$U$33</c:f>
              <c:numCache>
                <c:formatCode>General</c:formatCode>
                <c:ptCount val="6"/>
                <c:pt idx="0">
                  <c:v>2010</c:v>
                </c:pt>
                <c:pt idx="1">
                  <c:v>2011</c:v>
                </c:pt>
                <c:pt idx="2">
                  <c:v>2012</c:v>
                </c:pt>
                <c:pt idx="3">
                  <c:v>2013</c:v>
                </c:pt>
                <c:pt idx="4">
                  <c:v>2014</c:v>
                </c:pt>
                <c:pt idx="5">
                  <c:v>2015</c:v>
                </c:pt>
              </c:numCache>
            </c:numRef>
          </c:xVal>
          <c:yVal>
            <c:numRef>
              <c:f>[工作簿1]Sheet1!$P$34:$U$34</c:f>
              <c:numCache>
                <c:formatCode>General</c:formatCode>
                <c:ptCount val="6"/>
                <c:pt idx="0">
                  <c:v>710.3</c:v>
                </c:pt>
                <c:pt idx="1">
                  <c:v>814.6</c:v>
                </c:pt>
                <c:pt idx="2">
                  <c:v>887.7</c:v>
                </c:pt>
                <c:pt idx="3">
                  <c:v>936.7</c:v>
                </c:pt>
                <c:pt idx="4">
                  <c:v>912.7</c:v>
                </c:pt>
                <c:pt idx="5">
                  <c:v>901.3</c:v>
                </c:pt>
              </c:numCache>
            </c:numRef>
          </c:yVal>
          <c:smooth val="0"/>
        </c:ser>
        <c:ser>
          <c:idx val="1"/>
          <c:order val="1"/>
          <c:tx>
            <c:strRef>
              <c:f>[工作簿1]Sheet1!$O$35</c:f>
              <c:strCache>
                <c:ptCount val="1"/>
                <c:pt idx="0">
                  <c:v>一产</c:v>
                </c:pt>
              </c:strCache>
            </c:strRef>
          </c:tx>
          <c:spPr>
            <a:ln w="19050" cap="rnd">
              <a:solidFill>
                <a:srgbClr val="C0504D"/>
              </a:solidFill>
              <a:round/>
            </a:ln>
            <a:effectLst/>
          </c:spPr>
          <c:marker>
            <c:symbol val="circle"/>
            <c:size val="5"/>
            <c:spPr>
              <a:solidFill>
                <a:srgbClr val="C0504D"/>
              </a:solidFill>
              <a:ln w="9525">
                <a:solidFill>
                  <a:srgbClr val="C0504D"/>
                </a:solidFill>
              </a:ln>
              <a:effectLst/>
            </c:spPr>
          </c:marker>
          <c:dLbls>
            <c:delete val="1"/>
          </c:dLbls>
          <c:xVal>
            <c:numRef>
              <c:f>[工作簿1]Sheet1!$P$33:$U$33</c:f>
              <c:numCache>
                <c:formatCode>General</c:formatCode>
                <c:ptCount val="6"/>
                <c:pt idx="0">
                  <c:v>2010</c:v>
                </c:pt>
                <c:pt idx="1">
                  <c:v>2011</c:v>
                </c:pt>
                <c:pt idx="2">
                  <c:v>2012</c:v>
                </c:pt>
                <c:pt idx="3">
                  <c:v>2013</c:v>
                </c:pt>
                <c:pt idx="4">
                  <c:v>2014</c:v>
                </c:pt>
                <c:pt idx="5">
                  <c:v>2015</c:v>
                </c:pt>
              </c:numCache>
            </c:numRef>
          </c:xVal>
          <c:yVal>
            <c:numRef>
              <c:f>[工作簿1]Sheet1!$P$35:$U$35</c:f>
              <c:numCache>
                <c:formatCode>General</c:formatCode>
                <c:ptCount val="6"/>
                <c:pt idx="0">
                  <c:v>86.1</c:v>
                </c:pt>
                <c:pt idx="1">
                  <c:v>98.1</c:v>
                </c:pt>
                <c:pt idx="2">
                  <c:v>99</c:v>
                </c:pt>
                <c:pt idx="3">
                  <c:v>104.8</c:v>
                </c:pt>
                <c:pt idx="4">
                  <c:v>109.1</c:v>
                </c:pt>
                <c:pt idx="5">
                  <c:v>111.5</c:v>
                </c:pt>
              </c:numCache>
            </c:numRef>
          </c:yVal>
          <c:smooth val="0"/>
        </c:ser>
        <c:ser>
          <c:idx val="2"/>
          <c:order val="2"/>
          <c:tx>
            <c:strRef>
              <c:f>[工作簿1]Sheet1!$O$36</c:f>
              <c:strCache>
                <c:ptCount val="1"/>
                <c:pt idx="0">
                  <c:v>二产</c:v>
                </c:pt>
              </c:strCache>
            </c:strRef>
          </c:tx>
          <c:spPr>
            <a:ln w="19050" cap="rnd">
              <a:solidFill>
                <a:srgbClr val="9BBB59"/>
              </a:solidFill>
              <a:round/>
            </a:ln>
            <a:effectLst/>
          </c:spPr>
          <c:marker>
            <c:symbol val="circle"/>
            <c:size val="5"/>
            <c:spPr>
              <a:solidFill>
                <a:srgbClr val="9BBB59"/>
              </a:solidFill>
              <a:ln w="9525">
                <a:solidFill>
                  <a:srgbClr val="9BBB59"/>
                </a:solidFill>
              </a:ln>
              <a:effectLst/>
            </c:spPr>
          </c:marker>
          <c:dLbls>
            <c:delete val="1"/>
          </c:dLbls>
          <c:xVal>
            <c:numRef>
              <c:f>[工作簿1]Sheet1!$P$33:$U$33</c:f>
              <c:numCache>
                <c:formatCode>General</c:formatCode>
                <c:ptCount val="6"/>
                <c:pt idx="0">
                  <c:v>2010</c:v>
                </c:pt>
                <c:pt idx="1">
                  <c:v>2011</c:v>
                </c:pt>
                <c:pt idx="2">
                  <c:v>2012</c:v>
                </c:pt>
                <c:pt idx="3">
                  <c:v>2013</c:v>
                </c:pt>
                <c:pt idx="4">
                  <c:v>2014</c:v>
                </c:pt>
                <c:pt idx="5">
                  <c:v>2015</c:v>
                </c:pt>
              </c:numCache>
            </c:numRef>
          </c:xVal>
          <c:yVal>
            <c:numRef>
              <c:f>[工作簿1]Sheet1!$P$36:$U$36</c:f>
              <c:numCache>
                <c:formatCode>General</c:formatCode>
                <c:ptCount val="6"/>
                <c:pt idx="0">
                  <c:v>425.8</c:v>
                </c:pt>
                <c:pt idx="1">
                  <c:v>489.3</c:v>
                </c:pt>
                <c:pt idx="2">
                  <c:v>530.3</c:v>
                </c:pt>
                <c:pt idx="3">
                  <c:v>528.7</c:v>
                </c:pt>
                <c:pt idx="4">
                  <c:v>477.3</c:v>
                </c:pt>
                <c:pt idx="5">
                  <c:v>434.3</c:v>
                </c:pt>
              </c:numCache>
            </c:numRef>
          </c:yVal>
          <c:smooth val="0"/>
        </c:ser>
        <c:ser>
          <c:idx val="3"/>
          <c:order val="3"/>
          <c:tx>
            <c:strRef>
              <c:f>[工作簿1]Sheet1!$O$37</c:f>
              <c:strCache>
                <c:ptCount val="1"/>
                <c:pt idx="0">
                  <c:v>三产</c:v>
                </c:pt>
              </c:strCache>
            </c:strRef>
          </c:tx>
          <c:spPr>
            <a:ln w="19050" cap="rnd">
              <a:solidFill>
                <a:srgbClr val="8064A2"/>
              </a:solidFill>
              <a:round/>
            </a:ln>
            <a:effectLst/>
          </c:spPr>
          <c:marker>
            <c:symbol val="circle"/>
            <c:size val="5"/>
            <c:spPr>
              <a:solidFill>
                <a:srgbClr val="8064A2"/>
              </a:solidFill>
              <a:ln w="9525">
                <a:solidFill>
                  <a:srgbClr val="8064A2"/>
                </a:solidFill>
              </a:ln>
              <a:effectLst/>
            </c:spPr>
          </c:marker>
          <c:dLbls>
            <c:delete val="1"/>
          </c:dLbls>
          <c:xVal>
            <c:numRef>
              <c:f>[工作簿1]Sheet1!$P$33:$U$33</c:f>
              <c:numCache>
                <c:formatCode>General</c:formatCode>
                <c:ptCount val="6"/>
                <c:pt idx="0">
                  <c:v>2010</c:v>
                </c:pt>
                <c:pt idx="1">
                  <c:v>2011</c:v>
                </c:pt>
                <c:pt idx="2">
                  <c:v>2012</c:v>
                </c:pt>
                <c:pt idx="3">
                  <c:v>2013</c:v>
                </c:pt>
                <c:pt idx="4">
                  <c:v>2014</c:v>
                </c:pt>
                <c:pt idx="5">
                  <c:v>2015</c:v>
                </c:pt>
              </c:numCache>
            </c:numRef>
          </c:xVal>
          <c:yVal>
            <c:numRef>
              <c:f>[工作簿1]Sheet1!$P$37:$U$37</c:f>
              <c:numCache>
                <c:formatCode>General</c:formatCode>
                <c:ptCount val="6"/>
                <c:pt idx="0">
                  <c:v>198.4</c:v>
                </c:pt>
                <c:pt idx="1">
                  <c:v>227.2</c:v>
                </c:pt>
                <c:pt idx="2">
                  <c:v>258.4</c:v>
                </c:pt>
                <c:pt idx="3">
                  <c:v>303.2</c:v>
                </c:pt>
                <c:pt idx="4">
                  <c:v>326.3</c:v>
                </c:pt>
                <c:pt idx="5">
                  <c:v>355.5</c:v>
                </c:pt>
              </c:numCache>
            </c:numRef>
          </c:yVal>
          <c:smooth val="0"/>
        </c:ser>
        <c:dLbls>
          <c:showLegendKey val="0"/>
          <c:showVal val="0"/>
          <c:showCatName val="0"/>
          <c:showSerName val="0"/>
          <c:showPercent val="0"/>
          <c:showBubbleSize val="0"/>
        </c:dLbls>
        <c:axId val="114467587"/>
        <c:axId val="836045728"/>
      </c:scatterChart>
      <c:valAx>
        <c:axId val="114467587"/>
        <c:scaling>
          <c:orientation val="minMax"/>
        </c:scaling>
        <c:delete val="0"/>
        <c:axPos val="b"/>
        <c:majorGridlines>
          <c:spPr>
            <a:ln w="9525" cap="flat" cmpd="sng" algn="ctr">
              <a:solidFill>
                <a:srgbClr val="D9D9D9">
                  <a:lumMod val="15000"/>
                  <a:lumOff val="85000"/>
                </a:srgbClr>
              </a:solidFill>
              <a:round/>
            </a:ln>
            <a:effectLst/>
          </c:spPr>
        </c:majorGridlines>
        <c:title>
          <c:tx>
            <c:rich>
              <a:bodyPr rot="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t>年份</a:t>
                </a:r>
              </a:p>
            </c:rich>
          </c:tx>
          <c:layout>
            <c:manualLayout>
              <c:xMode val="edge"/>
              <c:yMode val="edge"/>
              <c:x val="0.919603840313609"/>
              <c:y val="0.898901991614256"/>
            </c:manualLayout>
          </c:layout>
          <c:overlay val="0"/>
          <c:spPr>
            <a:noFill/>
            <a:ln>
              <a:noFill/>
            </a:ln>
            <a:effectLst/>
          </c:spPr>
        </c:title>
        <c:numFmt formatCode="General" sourceLinked="1"/>
        <c:majorTickMark val="none"/>
        <c:minorTickMark val="none"/>
        <c:tickLblPos val="nextTo"/>
        <c:spPr>
          <a:noFill/>
          <a:ln w="9525" cap="flat" cmpd="sng" algn="ctr">
            <a:solidFill>
              <a:srgbClr val="BFBFBF">
                <a:lumMod val="25000"/>
                <a:lumOff val="7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836045728"/>
        <c:crosses val="autoZero"/>
        <c:crossBetween val="midCat"/>
      </c:valAx>
      <c:valAx>
        <c:axId val="836045728"/>
        <c:scaling>
          <c:orientation val="minMax"/>
        </c:scaling>
        <c:delete val="0"/>
        <c:axPos val="l"/>
        <c:majorGridlines>
          <c:spPr>
            <a:ln w="9525" cap="flat" cmpd="sng" algn="ctr">
              <a:solidFill>
                <a:srgbClr val="D9D9D9">
                  <a:lumMod val="15000"/>
                  <a:lumOff val="85000"/>
                </a:srgbClr>
              </a:solidFill>
              <a:round/>
            </a:ln>
            <a:effectLst/>
          </c:spPr>
        </c:majorGridlines>
        <c:title>
          <c:tx>
            <c:rich>
              <a:bodyPr rot="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t>亿元</a:t>
                </a:r>
              </a:p>
            </c:rich>
          </c:tx>
          <c:layout>
            <c:manualLayout>
              <c:xMode val="edge"/>
              <c:yMode val="edge"/>
              <c:x val="0.0229166666666667"/>
              <c:y val="0.00694444444444444"/>
            </c:manualLayout>
          </c:layout>
          <c:overlay val="0"/>
          <c:spPr>
            <a:noFill/>
            <a:ln>
              <a:noFill/>
            </a:ln>
            <a:effectLst/>
          </c:spPr>
        </c:title>
        <c:numFmt formatCode="General" sourceLinked="1"/>
        <c:majorTickMark val="none"/>
        <c:minorTickMark val="none"/>
        <c:tickLblPos val="nextTo"/>
        <c:spPr>
          <a:noFill/>
          <a:ln w="9525" cap="flat" cmpd="sng" algn="ctr">
            <a:solidFill>
              <a:srgbClr val="BFBFBF">
                <a:lumMod val="25000"/>
                <a:lumOff val="7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114467587"/>
        <c:crosses val="autoZero"/>
        <c:crossBetween val="midCat"/>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BFBFBF">
            <a:lumMod val="25000"/>
            <a:lumOff val="7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19050"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spPr>
      <a:ln w="9525" cap="flat" cmpd="sng" algn="ctr">
        <a:solidFill>
          <a:srgbClr val="BFBFBF">
            <a:lumMod val="25000"/>
            <a:lumOff val="75000"/>
          </a:srgbClr>
        </a:solidFill>
        <a:round/>
      </a:ln>
    </cs:spPr>
    <cs:defRPr sz="900" kern="1200"/>
  </cs:valueAxis>
  <cs:wall>
    <cs:lnRef idx="0"/>
    <cs:fillRef idx="0"/>
    <cs:effectRef idx="0"/>
    <cs:fontRef idx="minor">
      <a:srgbClr val="000000"/>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BFBFBF">
            <a:lumMod val="25000"/>
            <a:lumOff val="7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19050"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spPr>
      <a:ln w="9525" cap="flat" cmpd="sng" algn="ctr">
        <a:solidFill>
          <a:srgbClr val="BFBFBF">
            <a:lumMod val="25000"/>
            <a:lumOff val="75000"/>
          </a:srgbClr>
        </a:solidFill>
        <a:round/>
      </a:ln>
    </cs:spPr>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256</Pages>
  <Words>101169</Words>
  <Characters>122469</Characters>
  <Lines>0</Lines>
  <Paragraphs>0</Paragraphs>
  <TotalTime>3</TotalTime>
  <ScaleCrop>false</ScaleCrop>
  <LinksUpToDate>false</LinksUpToDate>
  <CharactersWithSpaces>124347</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2022-10-27T07:46:00Z</dcterms:created>
  <dc:creator>L&amp;F</dc:creator>
  <cp:lastModifiedBy>随意吧</cp:lastModifiedBy>
  <dcterms:modified xsi:type="dcterms:W3CDTF">2024-04-15T03:41:33Z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