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A3D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4FC4D8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淮南市地震局202</w:t>
      </w:r>
      <w:r>
        <w:rPr>
          <w:rFonts w:hint="eastAsia" w:ascii="Times New Roman" w:hAnsi="Times New Roman" w:eastAsia="方正小标宋_GBK" w:cs="方正小标宋_GBK"/>
          <w:sz w:val="44"/>
          <w:szCs w:val="44"/>
          <w:lang w:val="en-US" w:eastAsia="zh-CN"/>
        </w:rPr>
        <w:t>4</w:t>
      </w:r>
      <w:r>
        <w:rPr>
          <w:rFonts w:hint="eastAsia" w:ascii="Times New Roman" w:hAnsi="Times New Roman" w:eastAsia="方正小标宋_GBK" w:cs="方正小标宋_GBK"/>
          <w:sz w:val="44"/>
          <w:szCs w:val="44"/>
        </w:rPr>
        <w:t>年政府信息公开</w:t>
      </w:r>
    </w:p>
    <w:p w14:paraId="67F2414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工作年度报告</w:t>
      </w:r>
    </w:p>
    <w:p w14:paraId="267D28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71CC45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本报告</w:t>
      </w:r>
      <w:r>
        <w:rPr>
          <w:rFonts w:hint="eastAsia" w:ascii="Times New Roman" w:hAnsi="Times New Roman" w:eastAsia="方正仿宋_GBK" w:cs="方正仿宋_GBK"/>
          <w:sz w:val="32"/>
          <w:szCs w:val="32"/>
          <w:lang w:val="en-US" w:eastAsia="zh-CN"/>
        </w:rPr>
        <w:t>依据《中华人民共和国政府信息公开条例》（国务院令第711号，以下简称《条例》）、《国务院办公厅政府信息与政务公开办公室关于印发&lt;中华人民共和国政府信息公开工作年度报告格式&gt;的通知》（国办公开办函〔2021〕30号）要求，市地震局编制了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度政府信息公开工作年度报告。报告主要包括：总体情况、主动公开政府信息情况、收到和处理政府信息公开申请情况、因政府信息公开被申请行政复议和提起行政诉讼情况、政府信息公开工作存在主要问题及改进情况和其他需要报告事项。报告中所列数据的统计时间为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年1月1日至12月31日。</w:t>
      </w:r>
      <w:r>
        <w:rPr>
          <w:rFonts w:hint="eastAsia" w:ascii="Times New Roman" w:hAnsi="Times New Roman" w:eastAsia="方正仿宋_GBK" w:cs="方正仿宋_GBK"/>
          <w:sz w:val="32"/>
          <w:szCs w:val="32"/>
          <w:lang w:val="en-US" w:eastAsia="zh-CN"/>
        </w:rPr>
        <w:t>本年度</w:t>
      </w:r>
      <w:r>
        <w:rPr>
          <w:rFonts w:hint="eastAsia" w:ascii="Times New Roman" w:hAnsi="Times New Roman" w:eastAsia="方正仿宋_GBK" w:cs="方正仿宋_GBK"/>
          <w:sz w:val="32"/>
          <w:szCs w:val="32"/>
          <w:lang w:val="en-US" w:eastAsia="zh-CN"/>
        </w:rPr>
        <w:t>报告的电子版可在淮南市人民政府网站下载（http://www.huainan.gov.cn/）。如对本报告有任何疑问，请与淮南市地震局办公室联系（地址：淮南市田家庵区广场南路4号，电话：0554-6642783，邮编：232001）。</w:t>
      </w:r>
    </w:p>
    <w:p w14:paraId="08357E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一、总体情况</w:t>
      </w:r>
    </w:p>
    <w:p w14:paraId="5F3898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年，市地震局在市</w:t>
      </w:r>
      <w:r>
        <w:rPr>
          <w:rFonts w:hint="eastAsia" w:ascii="Times New Roman" w:hAnsi="Times New Roman" w:eastAsia="方正仿宋_GBK" w:cs="方正仿宋_GBK"/>
          <w:sz w:val="32"/>
          <w:szCs w:val="32"/>
          <w:lang w:val="en-US" w:eastAsia="zh-CN"/>
        </w:rPr>
        <w:t>政府办的悉心指导</w:t>
      </w:r>
      <w:r>
        <w:rPr>
          <w:rFonts w:hint="eastAsia" w:ascii="Times New Roman" w:hAnsi="Times New Roman" w:eastAsia="方正仿宋_GBK" w:cs="方正仿宋_GBK"/>
          <w:sz w:val="32"/>
          <w:szCs w:val="32"/>
          <w:lang w:val="en-US" w:eastAsia="zh-CN"/>
        </w:rPr>
        <w:t>下</w:t>
      </w:r>
      <w:r>
        <w:rPr>
          <w:rFonts w:hint="eastAsia" w:ascii="Times New Roman" w:hAnsi="Times New Roman" w:eastAsia="方正仿宋_GBK" w:cs="方正仿宋_GBK"/>
          <w:sz w:val="32"/>
          <w:szCs w:val="32"/>
          <w:lang w:val="en-US" w:eastAsia="zh-CN"/>
        </w:rPr>
        <w:t>，紧紧围绕市委、市政府政务公开重点工作以及社会公众关注关切</w:t>
      </w:r>
      <w:r>
        <w:rPr>
          <w:rFonts w:hint="eastAsia" w:ascii="Times New Roman" w:hAnsi="Times New Roman" w:eastAsia="方正仿宋_GBK" w:cs="方正仿宋_GBK"/>
          <w:sz w:val="32"/>
          <w:szCs w:val="32"/>
          <w:lang w:val="en-US" w:eastAsia="zh-CN"/>
        </w:rPr>
        <w:t>，扎实做好</w:t>
      </w:r>
      <w:r>
        <w:rPr>
          <w:rFonts w:hint="eastAsia" w:ascii="Times New Roman" w:hAnsi="Times New Roman" w:eastAsia="方正仿宋_GBK" w:cs="方正仿宋_GBK"/>
          <w:sz w:val="32"/>
          <w:szCs w:val="32"/>
          <w:lang w:val="en-US" w:eastAsia="zh-CN"/>
        </w:rPr>
        <w:t>政务公开各项</w:t>
      </w:r>
      <w:r>
        <w:rPr>
          <w:rFonts w:hint="eastAsia" w:ascii="Times New Roman" w:hAnsi="Times New Roman" w:eastAsia="方正仿宋_GBK" w:cs="方正仿宋_GBK"/>
          <w:sz w:val="32"/>
          <w:szCs w:val="32"/>
          <w:lang w:val="en-US" w:eastAsia="zh-CN"/>
        </w:rPr>
        <w:t>工作</w:t>
      </w:r>
      <w:r>
        <w:rPr>
          <w:rFonts w:hint="eastAsia" w:ascii="Times New Roman" w:hAnsi="Times New Roman" w:eastAsia="方正仿宋_GBK" w:cs="方正仿宋_GBK"/>
          <w:sz w:val="32"/>
          <w:szCs w:val="32"/>
          <w:lang w:val="en-US" w:eastAsia="zh-CN"/>
        </w:rPr>
        <w:t>，进一步加大信息公开力度，提升政务公开质量，及时、准确地向社会公开政府信息，</w:t>
      </w:r>
      <w:r>
        <w:rPr>
          <w:rFonts w:hint="eastAsia" w:ascii="Times New Roman" w:hAnsi="Times New Roman" w:eastAsia="方正仿宋_GBK" w:cs="方正仿宋_GBK"/>
          <w:sz w:val="32"/>
          <w:szCs w:val="32"/>
          <w:lang w:val="en-US" w:eastAsia="zh-CN"/>
        </w:rPr>
        <w:t>全局政务公开标准化、规范化建设取得明显成效。</w:t>
      </w:r>
      <w:bookmarkStart w:id="0" w:name="_GoBack"/>
      <w:bookmarkEnd w:id="0"/>
    </w:p>
    <w:p w14:paraId="2A837B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（一）主动公开</w:t>
      </w:r>
    </w:p>
    <w:p w14:paraId="120A6A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年我局全面贯彻落实《淮南市人民政府办公室关于印发</w:t>
      </w:r>
      <w:r>
        <w:rPr>
          <w:rFonts w:hint="eastAsia" w:ascii="Times New Roman" w:hAnsi="Times New Roman" w:eastAsia="方正仿宋_GBK" w:cs="方正仿宋_GBK"/>
          <w:sz w:val="32"/>
          <w:szCs w:val="32"/>
          <w:lang w:val="en-US" w:eastAsia="zh-CN"/>
        </w:rPr>
        <w:t>2024年度政务公开重点工作清单</w:t>
      </w:r>
      <w:r>
        <w:rPr>
          <w:rFonts w:hint="eastAsia" w:ascii="Times New Roman" w:hAnsi="Times New Roman" w:eastAsia="方正仿宋_GBK" w:cs="方正仿宋_GBK"/>
          <w:sz w:val="32"/>
          <w:szCs w:val="32"/>
          <w:lang w:val="en-US" w:eastAsia="zh-CN"/>
        </w:rPr>
        <w:t>的通知》等文件精神，按要求完成本年政务公开各项重点工作。全年通过淮南市人民政府网政务信息公开栏目、报纸、电视等媒介，主动公开工作信息</w:t>
      </w:r>
      <w:r>
        <w:rPr>
          <w:rFonts w:hint="eastAsia" w:ascii="Times New Roman" w:hAnsi="Times New Roman" w:eastAsia="方正仿宋_GBK" w:cs="方正仿宋_GBK"/>
          <w:sz w:val="32"/>
          <w:szCs w:val="32"/>
          <w:lang w:val="en-US" w:eastAsia="zh-CN"/>
        </w:rPr>
        <w:t>153</w:t>
      </w:r>
      <w:r>
        <w:rPr>
          <w:rFonts w:hint="eastAsia" w:ascii="Times New Roman" w:hAnsi="Times New Roman" w:eastAsia="方正仿宋_GBK" w:cs="方正仿宋_GBK"/>
          <w:sz w:val="32"/>
          <w:szCs w:val="32"/>
          <w:lang w:val="en-US" w:eastAsia="zh-CN"/>
        </w:rPr>
        <w:t>条。其中政策法规</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val="en-US" w:eastAsia="zh-CN"/>
        </w:rPr>
        <w:t>条，重大决策预公开</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val="en-US" w:eastAsia="zh-CN"/>
        </w:rPr>
        <w:t>条，规划计划</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条，财政资金1</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条，回应关切1</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条，监督保障</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val="en-US" w:eastAsia="zh-CN"/>
        </w:rPr>
        <w:t>条。</w:t>
      </w:r>
    </w:p>
    <w:p w14:paraId="4030A2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w:t>
      </w:r>
      <w:r>
        <w:rPr>
          <w:rFonts w:hint="eastAsia" w:ascii="Times New Roman" w:hAnsi="Times New Roman" w:eastAsia="方正楷体_GBK" w:cs="方正楷体_GBK"/>
          <w:sz w:val="32"/>
          <w:szCs w:val="32"/>
          <w:lang w:val="en-US" w:eastAsia="zh-CN"/>
        </w:rPr>
        <w:t>二）依申请公开</w:t>
      </w:r>
    </w:p>
    <w:p w14:paraId="23F71D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认真做好依申请公开工作，严格按照《安徽省政府信息公开申请办理答复规范》进行答复。202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年我局依申请公开的信息数为0条。</w:t>
      </w:r>
    </w:p>
    <w:p w14:paraId="79B33B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（三）政府信息管理</w:t>
      </w:r>
    </w:p>
    <w:p w14:paraId="1E1925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严格按照信息“三审”制度，审核上网信息发布情况，认真梳理主动公开政府信息内容，未经审核的信息特别是涉及国家秘密和地震业务秘密的信息坚决不上网。坚持分级分类审核、先审后发，确保信息发布零差错。同时加强日常监督管理，指派专人负责公开栏目日常检查、维护和更新，确保内容及时更新，杜绝错链、断链和内容混杂。全面梳理规范性文件，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w:t>
      </w:r>
      <w:r>
        <w:rPr>
          <w:rFonts w:hint="eastAsia" w:ascii="Times New Roman" w:hAnsi="Times New Roman" w:eastAsia="方正仿宋_GBK" w:cs="方正仿宋_GBK"/>
          <w:sz w:val="32"/>
          <w:szCs w:val="32"/>
          <w:lang w:val="en-US" w:eastAsia="zh-CN"/>
        </w:rPr>
        <w:t>我局</w:t>
      </w:r>
      <w:r>
        <w:rPr>
          <w:rFonts w:hint="eastAsia" w:ascii="Times New Roman" w:hAnsi="Times New Roman" w:eastAsia="方正仿宋_GBK" w:cs="方正仿宋_GBK"/>
          <w:sz w:val="32"/>
          <w:szCs w:val="32"/>
          <w:lang w:val="en-US" w:eastAsia="zh-CN"/>
        </w:rPr>
        <w:t>未制定行政规范性文件，无行政规范性文件需废止清除。</w:t>
      </w:r>
    </w:p>
    <w:p w14:paraId="418C38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（四）政府信息公开平台建设</w:t>
      </w:r>
    </w:p>
    <w:p w14:paraId="45441E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积极做好主动公开政府信息的维护、更新和报送工作，便于公民、法人和其他组织在政府门户网站检索政府信息。</w:t>
      </w:r>
    </w:p>
    <w:p w14:paraId="361CDD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本部门</w:t>
      </w:r>
      <w:r>
        <w:rPr>
          <w:rFonts w:hint="eastAsia" w:ascii="Times New Roman" w:hAnsi="Times New Roman" w:eastAsia="方正仿宋_GBK" w:cs="方正仿宋_GBK"/>
          <w:sz w:val="32"/>
          <w:szCs w:val="32"/>
          <w:lang w:val="en-US" w:eastAsia="zh-CN"/>
        </w:rPr>
        <w:t>虽</w:t>
      </w:r>
      <w:r>
        <w:rPr>
          <w:rFonts w:hint="eastAsia" w:ascii="Times New Roman" w:hAnsi="Times New Roman" w:eastAsia="方正仿宋_GBK" w:cs="方正仿宋_GBK"/>
          <w:sz w:val="32"/>
          <w:szCs w:val="32"/>
          <w:lang w:val="en-US" w:eastAsia="zh-CN"/>
        </w:rPr>
        <w:t>未设置官方网站，</w:t>
      </w:r>
      <w:r>
        <w:rPr>
          <w:rFonts w:hint="eastAsia" w:ascii="Times New Roman" w:hAnsi="Times New Roman" w:eastAsia="方正仿宋_GBK" w:cs="方正仿宋_GBK"/>
          <w:sz w:val="32"/>
          <w:szCs w:val="32"/>
          <w:lang w:val="en-US" w:eastAsia="zh-CN"/>
        </w:rPr>
        <w:t>但</w:t>
      </w:r>
      <w:r>
        <w:rPr>
          <w:rFonts w:hint="eastAsia" w:ascii="Times New Roman" w:hAnsi="Times New Roman" w:eastAsia="方正仿宋_GBK" w:cs="方正仿宋_GBK"/>
          <w:sz w:val="32"/>
          <w:szCs w:val="32"/>
          <w:lang w:val="en-US" w:eastAsia="zh-CN"/>
        </w:rPr>
        <w:t>加强</w:t>
      </w:r>
      <w:r>
        <w:rPr>
          <w:rFonts w:hint="eastAsia" w:ascii="Times New Roman" w:hAnsi="Times New Roman" w:eastAsia="方正仿宋_GBK" w:cs="方正仿宋_GBK"/>
          <w:sz w:val="32"/>
          <w:szCs w:val="32"/>
          <w:lang w:val="en-US" w:eastAsia="zh-CN"/>
        </w:rPr>
        <w:t>了</w:t>
      </w:r>
      <w:r>
        <w:rPr>
          <w:rFonts w:hint="eastAsia" w:ascii="Times New Roman" w:hAnsi="Times New Roman" w:eastAsia="方正仿宋_GBK" w:cs="方正仿宋_GBK"/>
          <w:sz w:val="32"/>
          <w:szCs w:val="32"/>
          <w:lang w:val="en-US" w:eastAsia="zh-CN"/>
        </w:rPr>
        <w:t>12345政务服务便民热线管理平台、信息公开申请平台、</w:t>
      </w:r>
      <w:r>
        <w:rPr>
          <w:rFonts w:hint="eastAsia" w:ascii="Times New Roman" w:hAnsi="Times New Roman" w:eastAsia="方正仿宋_GBK" w:cs="方正仿宋_GBK"/>
          <w:sz w:val="32"/>
          <w:szCs w:val="32"/>
          <w:lang w:val="en-US" w:eastAsia="zh-CN"/>
        </w:rPr>
        <w:t>淮南</w:t>
      </w:r>
      <w:r>
        <w:rPr>
          <w:rFonts w:hint="eastAsia" w:ascii="Times New Roman" w:hAnsi="Times New Roman" w:eastAsia="方正仿宋_GBK" w:cs="方正仿宋_GBK"/>
          <w:sz w:val="32"/>
          <w:szCs w:val="32"/>
          <w:lang w:val="en-US" w:eastAsia="zh-CN"/>
        </w:rPr>
        <w:t>防震减灾</w:t>
      </w:r>
      <w:r>
        <w:rPr>
          <w:rFonts w:hint="eastAsia" w:ascii="Times New Roman" w:hAnsi="Times New Roman" w:eastAsia="方正仿宋_GBK" w:cs="方正仿宋_GBK"/>
          <w:sz w:val="32"/>
          <w:szCs w:val="32"/>
          <w:lang w:val="en-US" w:eastAsia="zh-CN"/>
        </w:rPr>
        <w:t>微信公众号等平台的</w:t>
      </w:r>
      <w:r>
        <w:rPr>
          <w:rFonts w:hint="eastAsia" w:ascii="Times New Roman" w:hAnsi="Times New Roman" w:eastAsia="方正仿宋_GBK" w:cs="方正仿宋_GBK"/>
          <w:sz w:val="32"/>
          <w:szCs w:val="32"/>
          <w:lang w:val="en-US" w:eastAsia="zh-CN"/>
        </w:rPr>
        <w:t>办理和监管。从促进防震减灾事业发展的高度，坚持守正创新，做大做强地震新媒体平台，</w:t>
      </w:r>
      <w:r>
        <w:rPr>
          <w:rFonts w:hint="eastAsia" w:ascii="Times New Roman" w:hAnsi="Times New Roman" w:eastAsia="方正仿宋_GBK" w:cs="方正仿宋_GBK"/>
          <w:sz w:val="32"/>
          <w:szCs w:val="32"/>
          <w:lang w:val="en-US" w:eastAsia="zh-CN"/>
        </w:rPr>
        <w:t>及时回应社会关切，</w:t>
      </w:r>
      <w:r>
        <w:rPr>
          <w:rFonts w:hint="eastAsia" w:ascii="Times New Roman" w:hAnsi="Times New Roman" w:eastAsia="方正仿宋_GBK" w:cs="方正仿宋_GBK"/>
          <w:sz w:val="32"/>
          <w:szCs w:val="32"/>
          <w:lang w:val="en-US" w:eastAsia="zh-CN"/>
        </w:rPr>
        <w:t>常态化向公众普及防震减灾文件和知识。</w:t>
      </w:r>
    </w:p>
    <w:p w14:paraId="37663F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（五）监督保障</w:t>
      </w:r>
    </w:p>
    <w:p w14:paraId="37E591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是加强组织领导。我局高度重视政务公开工作，将信息公开工作列入年度全局工作内容，与业务工作同部署、同落实。二是积极参加组织政务公开工作培训。参加市政务公开办组织的学习培训，将《政府信息公开条例》等</w:t>
      </w:r>
      <w:r>
        <w:rPr>
          <w:rFonts w:hint="eastAsia" w:ascii="Times New Roman" w:hAnsi="Times New Roman" w:eastAsia="方正仿宋_GBK" w:cs="方正仿宋_GBK"/>
          <w:sz w:val="32"/>
          <w:szCs w:val="32"/>
          <w:lang w:val="en-US" w:eastAsia="zh-CN"/>
        </w:rPr>
        <w:t>政务公开</w:t>
      </w:r>
      <w:r>
        <w:rPr>
          <w:rFonts w:hint="eastAsia" w:ascii="Times New Roman" w:hAnsi="Times New Roman" w:eastAsia="方正仿宋_GBK" w:cs="方正仿宋_GBK"/>
          <w:sz w:val="32"/>
          <w:szCs w:val="32"/>
          <w:lang w:val="en-US" w:eastAsia="zh-CN"/>
        </w:rPr>
        <w:t>政策文件列入年度重点学习内容，</w:t>
      </w:r>
      <w:r>
        <w:rPr>
          <w:rFonts w:hint="eastAsia" w:ascii="Times New Roman" w:hAnsi="Times New Roman" w:eastAsia="方正仿宋_GBK" w:cs="方正仿宋_GBK"/>
          <w:sz w:val="32"/>
          <w:szCs w:val="32"/>
          <w:lang w:val="en-US" w:eastAsia="zh-CN"/>
        </w:rPr>
        <w:t>积极组织</w:t>
      </w:r>
      <w:r>
        <w:rPr>
          <w:rFonts w:hint="eastAsia" w:ascii="Times New Roman" w:hAnsi="Times New Roman" w:eastAsia="方正仿宋_GBK" w:cs="方正仿宋_GBK"/>
          <w:sz w:val="32"/>
          <w:szCs w:val="32"/>
          <w:lang w:val="en-US" w:eastAsia="zh-CN"/>
        </w:rPr>
        <w:t>开展干部职工政务公开业务学习培训。三是落实政务新媒体监管责任，制定责任追究制度。指定业务管理科负责管理维护“淮南防震减灾”微信公众号，办公室负责政务公开工作，确保问题及时反馈,有效处置。</w:t>
      </w:r>
      <w:r>
        <w:rPr>
          <w:rFonts w:hint="eastAsia" w:ascii="Times New Roman" w:hAnsi="Times New Roman" w:eastAsia="方正仿宋_GBK" w:cs="方正仿宋_GBK"/>
          <w:sz w:val="32"/>
          <w:szCs w:val="32"/>
          <w:lang w:val="en-US" w:eastAsia="zh-CN"/>
        </w:rPr>
        <w:t>本年度未开展社会评议；无政府信息公开责任追究情况。</w:t>
      </w:r>
    </w:p>
    <w:p w14:paraId="7FB39F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二、主动公开政府信息情况</w:t>
      </w:r>
    </w:p>
    <w:tbl>
      <w:tblPr>
        <w:tblStyle w:val="2"/>
        <w:tblpPr w:leftFromText="180" w:rightFromText="180" w:vertAnchor="text" w:horzAnchor="page" w:tblpXSpec="center" w:tblpY="256"/>
        <w:tblOverlap w:val="never"/>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5"/>
        <w:gridCol w:w="2025"/>
        <w:gridCol w:w="2025"/>
        <w:gridCol w:w="2025"/>
      </w:tblGrid>
      <w:tr w14:paraId="1B54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14:paraId="26B22FB6">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第二十条第（一）项</w:t>
            </w:r>
          </w:p>
        </w:tc>
      </w:tr>
      <w:tr w14:paraId="3C14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647E66C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信息内容</w:t>
            </w:r>
          </w:p>
        </w:tc>
        <w:tc>
          <w:tcPr>
            <w:tcW w:w="2025" w:type="dxa"/>
            <w:noWrap w:val="0"/>
            <w:tcMar>
              <w:left w:w="57" w:type="dxa"/>
              <w:right w:w="57" w:type="dxa"/>
            </w:tcMar>
            <w:vAlign w:val="center"/>
          </w:tcPr>
          <w:p w14:paraId="1CAC8B97">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color w:val="auto"/>
                <w:kern w:val="0"/>
                <w:sz w:val="20"/>
                <w:szCs w:val="20"/>
                <w:lang w:val="en-US" w:eastAsia="zh-CN" w:bidi="ar"/>
              </w:rPr>
              <w:t>制发件数</w:t>
            </w:r>
          </w:p>
        </w:tc>
        <w:tc>
          <w:tcPr>
            <w:tcW w:w="2025" w:type="dxa"/>
            <w:noWrap w:val="0"/>
            <w:tcMar>
              <w:left w:w="57" w:type="dxa"/>
              <w:right w:w="57" w:type="dxa"/>
            </w:tcMar>
            <w:vAlign w:val="center"/>
          </w:tcPr>
          <w:p w14:paraId="5781BB8C">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本年废止件数</w:t>
            </w:r>
          </w:p>
        </w:tc>
        <w:tc>
          <w:tcPr>
            <w:tcW w:w="2025" w:type="dxa"/>
            <w:noWrap w:val="0"/>
            <w:tcMar>
              <w:left w:w="57" w:type="dxa"/>
              <w:right w:w="57" w:type="dxa"/>
            </w:tcMar>
            <w:vAlign w:val="center"/>
          </w:tcPr>
          <w:p w14:paraId="6D6AB0B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color w:val="auto"/>
                <w:kern w:val="0"/>
                <w:sz w:val="20"/>
                <w:szCs w:val="20"/>
                <w:lang w:val="en-US" w:eastAsia="zh-CN" w:bidi="ar"/>
              </w:rPr>
              <w:t>数</w:t>
            </w:r>
          </w:p>
        </w:tc>
      </w:tr>
      <w:tr w14:paraId="16C0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74C8A006">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规章</w:t>
            </w:r>
          </w:p>
        </w:tc>
        <w:tc>
          <w:tcPr>
            <w:tcW w:w="2025" w:type="dxa"/>
            <w:noWrap w:val="0"/>
            <w:tcMar>
              <w:left w:w="57" w:type="dxa"/>
              <w:right w:w="57" w:type="dxa"/>
            </w:tcMar>
            <w:vAlign w:val="center"/>
          </w:tcPr>
          <w:p w14:paraId="5C7EF07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000000"/>
                <w:kern w:val="0"/>
                <w:sz w:val="20"/>
                <w:szCs w:val="20"/>
                <w:lang w:val="en-US" w:eastAsia="zh-CN" w:bidi="ar"/>
              </w:rPr>
              <w:t>0</w:t>
            </w:r>
          </w:p>
        </w:tc>
        <w:tc>
          <w:tcPr>
            <w:tcW w:w="2025" w:type="dxa"/>
            <w:noWrap w:val="0"/>
            <w:tcMar>
              <w:left w:w="57" w:type="dxa"/>
              <w:right w:w="57" w:type="dxa"/>
            </w:tcMar>
            <w:vAlign w:val="center"/>
          </w:tcPr>
          <w:p w14:paraId="24DF428F">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000000"/>
                <w:kern w:val="0"/>
                <w:sz w:val="20"/>
                <w:szCs w:val="20"/>
                <w:lang w:val="en-US" w:eastAsia="zh-CN" w:bidi="ar"/>
              </w:rPr>
              <w:t>0</w:t>
            </w:r>
          </w:p>
        </w:tc>
        <w:tc>
          <w:tcPr>
            <w:tcW w:w="2025" w:type="dxa"/>
            <w:noWrap w:val="0"/>
            <w:tcMar>
              <w:left w:w="57" w:type="dxa"/>
              <w:right w:w="57" w:type="dxa"/>
            </w:tcMar>
            <w:vAlign w:val="center"/>
          </w:tcPr>
          <w:p w14:paraId="59B2F2D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0</w:t>
            </w:r>
          </w:p>
        </w:tc>
      </w:tr>
      <w:tr w14:paraId="62D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144DDB90">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行政规范性文件</w:t>
            </w:r>
          </w:p>
        </w:tc>
        <w:tc>
          <w:tcPr>
            <w:tcW w:w="2025" w:type="dxa"/>
            <w:noWrap w:val="0"/>
            <w:tcMar>
              <w:left w:w="57" w:type="dxa"/>
              <w:right w:w="57" w:type="dxa"/>
            </w:tcMar>
            <w:vAlign w:val="center"/>
          </w:tcPr>
          <w:p w14:paraId="492D18E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2025" w:type="dxa"/>
            <w:noWrap w:val="0"/>
            <w:tcMar>
              <w:left w:w="57" w:type="dxa"/>
              <w:right w:w="57" w:type="dxa"/>
            </w:tcMar>
            <w:vAlign w:val="center"/>
          </w:tcPr>
          <w:p w14:paraId="7990856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2025" w:type="dxa"/>
            <w:noWrap w:val="0"/>
            <w:tcMar>
              <w:left w:w="57" w:type="dxa"/>
              <w:right w:w="57" w:type="dxa"/>
            </w:tcMar>
            <w:vAlign w:val="center"/>
          </w:tcPr>
          <w:p w14:paraId="349B2F3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6F53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14:paraId="4D3455C9">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第二十条第（五）项</w:t>
            </w:r>
          </w:p>
        </w:tc>
      </w:tr>
      <w:tr w14:paraId="5D33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1BD1F34C">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信息内容</w:t>
            </w:r>
          </w:p>
        </w:tc>
        <w:tc>
          <w:tcPr>
            <w:tcW w:w="6075" w:type="dxa"/>
            <w:gridSpan w:val="3"/>
            <w:noWrap w:val="0"/>
            <w:tcMar>
              <w:left w:w="57" w:type="dxa"/>
              <w:right w:w="57" w:type="dxa"/>
            </w:tcMar>
            <w:vAlign w:val="center"/>
          </w:tcPr>
          <w:p w14:paraId="619ADE04">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本年处理决定数量</w:t>
            </w:r>
          </w:p>
        </w:tc>
      </w:tr>
      <w:tr w14:paraId="16A5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032D0274">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行政许可</w:t>
            </w:r>
          </w:p>
        </w:tc>
        <w:tc>
          <w:tcPr>
            <w:tcW w:w="6075" w:type="dxa"/>
            <w:gridSpan w:val="3"/>
            <w:noWrap w:val="0"/>
            <w:tcMar>
              <w:left w:w="57" w:type="dxa"/>
              <w:right w:w="57" w:type="dxa"/>
            </w:tcMar>
            <w:vAlign w:val="center"/>
          </w:tcPr>
          <w:p w14:paraId="4896A443">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lang w:val="en-US"/>
              </w:rPr>
            </w:pPr>
            <w:r>
              <w:rPr>
                <w:rFonts w:hint="default" w:ascii="Times New Roman" w:hAnsi="Times New Roman" w:eastAsia="宋体" w:cs="Times New Roman"/>
                <w:color w:val="000000"/>
                <w:kern w:val="0"/>
                <w:sz w:val="20"/>
                <w:szCs w:val="20"/>
                <w:lang w:val="en-US" w:eastAsia="zh-CN" w:bidi="ar"/>
              </w:rPr>
              <w:t>0</w:t>
            </w:r>
          </w:p>
        </w:tc>
      </w:tr>
      <w:tr w14:paraId="0A5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14:paraId="1D62F2E7">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第二十条第（六）项</w:t>
            </w:r>
          </w:p>
        </w:tc>
      </w:tr>
      <w:tr w14:paraId="3483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68508E91">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信息内容</w:t>
            </w:r>
          </w:p>
        </w:tc>
        <w:tc>
          <w:tcPr>
            <w:tcW w:w="6075" w:type="dxa"/>
            <w:gridSpan w:val="3"/>
            <w:noWrap w:val="0"/>
            <w:tcMar>
              <w:left w:w="57" w:type="dxa"/>
              <w:right w:w="57" w:type="dxa"/>
            </w:tcMar>
            <w:vAlign w:val="center"/>
          </w:tcPr>
          <w:p w14:paraId="4100B80F">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本年处理决定数量</w:t>
            </w:r>
          </w:p>
        </w:tc>
      </w:tr>
      <w:tr w14:paraId="785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3A533A59">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行政处罚</w:t>
            </w:r>
          </w:p>
        </w:tc>
        <w:tc>
          <w:tcPr>
            <w:tcW w:w="6075" w:type="dxa"/>
            <w:gridSpan w:val="3"/>
            <w:noWrap w:val="0"/>
            <w:tcMar>
              <w:left w:w="57" w:type="dxa"/>
              <w:right w:w="57" w:type="dxa"/>
            </w:tcMar>
            <w:vAlign w:val="center"/>
          </w:tcPr>
          <w:p w14:paraId="75F1EA30">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358D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7159BEE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行政强制</w:t>
            </w:r>
          </w:p>
        </w:tc>
        <w:tc>
          <w:tcPr>
            <w:tcW w:w="6075" w:type="dxa"/>
            <w:gridSpan w:val="3"/>
            <w:noWrap w:val="0"/>
            <w:tcMar>
              <w:left w:w="57" w:type="dxa"/>
              <w:right w:w="57" w:type="dxa"/>
            </w:tcMar>
            <w:vAlign w:val="center"/>
          </w:tcPr>
          <w:p w14:paraId="6A781A36">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5590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14:paraId="2610ECE4">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第二十条第（八）项</w:t>
            </w:r>
          </w:p>
        </w:tc>
      </w:tr>
      <w:tr w14:paraId="6A0F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14:paraId="7DC62928">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信息内容</w:t>
            </w:r>
          </w:p>
        </w:tc>
        <w:tc>
          <w:tcPr>
            <w:tcW w:w="6075" w:type="dxa"/>
            <w:gridSpan w:val="3"/>
            <w:noWrap w:val="0"/>
            <w:tcMar>
              <w:left w:w="57" w:type="dxa"/>
              <w:right w:w="57" w:type="dxa"/>
            </w:tcMar>
            <w:vAlign w:val="center"/>
          </w:tcPr>
          <w:p w14:paraId="233FDCA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本年收费金额（单位：万元）</w:t>
            </w:r>
          </w:p>
        </w:tc>
      </w:tr>
      <w:tr w14:paraId="0225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025" w:type="dxa"/>
            <w:noWrap w:val="0"/>
            <w:tcMar>
              <w:left w:w="57" w:type="dxa"/>
              <w:right w:w="57" w:type="dxa"/>
            </w:tcMar>
            <w:vAlign w:val="center"/>
          </w:tcPr>
          <w:p w14:paraId="76FA7AC6">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val="en-US" w:eastAsia="zh-CN" w:bidi="ar"/>
              </w:rPr>
              <w:t>行政事业性收费</w:t>
            </w:r>
          </w:p>
        </w:tc>
        <w:tc>
          <w:tcPr>
            <w:tcW w:w="6075" w:type="dxa"/>
            <w:gridSpan w:val="3"/>
            <w:noWrap w:val="0"/>
            <w:tcMar>
              <w:left w:w="57" w:type="dxa"/>
              <w:right w:w="57" w:type="dxa"/>
            </w:tcMar>
            <w:vAlign w:val="center"/>
          </w:tcPr>
          <w:p w14:paraId="310145BC">
            <w:pPr>
              <w:suppressAutoHyphens/>
              <w:bidi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kern w:val="0"/>
                <w:sz w:val="20"/>
                <w:szCs w:val="20"/>
                <w:lang w:val="en-US" w:eastAsia="zh-CN" w:bidi="ar"/>
              </w:rPr>
              <w:t>0</w:t>
            </w:r>
          </w:p>
        </w:tc>
      </w:tr>
    </w:tbl>
    <w:p w14:paraId="3ECE3B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三、收到和处理政府信息公开申请情况</w:t>
      </w:r>
    </w:p>
    <w:tbl>
      <w:tblPr>
        <w:tblStyle w:val="2"/>
        <w:tblpPr w:leftFromText="180" w:rightFromText="180" w:vertAnchor="text" w:horzAnchor="page" w:tblpXSpec="center" w:tblpY="809"/>
        <w:tblOverlap w:val="never"/>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2DD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restart"/>
            <w:noWrap w:val="0"/>
            <w:tcMar>
              <w:left w:w="108" w:type="dxa"/>
              <w:right w:w="108" w:type="dxa"/>
            </w:tcMar>
            <w:vAlign w:val="center"/>
          </w:tcPr>
          <w:p w14:paraId="401C11A3">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楷体" w:cs="Times New Roman"/>
                <w:color w:val="auto"/>
                <w:kern w:val="0"/>
                <w:sz w:val="20"/>
                <w:szCs w:val="20"/>
                <w:lang w:val="en-US" w:eastAsia="zh-CN" w:bidi="ar"/>
              </w:rPr>
              <w:t>（本列数据的勾稽关系为：第一项加第二项之和，等于第三项加第四项之和）</w:t>
            </w:r>
          </w:p>
        </w:tc>
        <w:tc>
          <w:tcPr>
            <w:tcW w:w="4140" w:type="dxa"/>
            <w:gridSpan w:val="7"/>
            <w:noWrap w:val="0"/>
            <w:tcMar>
              <w:left w:w="57" w:type="dxa"/>
              <w:right w:w="57" w:type="dxa"/>
            </w:tcMar>
            <w:vAlign w:val="center"/>
          </w:tcPr>
          <w:p w14:paraId="07CC0208">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14:paraId="082D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continue"/>
            <w:noWrap w:val="0"/>
            <w:tcMar>
              <w:left w:w="108" w:type="dxa"/>
              <w:right w:w="108" w:type="dxa"/>
            </w:tcMar>
            <w:vAlign w:val="center"/>
          </w:tcPr>
          <w:p w14:paraId="0BD2A69C">
            <w:pPr>
              <w:suppressAutoHyphens/>
              <w:bidi w:val="0"/>
              <w:rPr>
                <w:rFonts w:hint="default" w:ascii="Times New Roman" w:hAnsi="Times New Roman" w:eastAsia="宋体" w:cs="Times New Roman"/>
                <w:color w:val="auto"/>
                <w:sz w:val="24"/>
                <w:szCs w:val="24"/>
              </w:rPr>
            </w:pPr>
          </w:p>
        </w:tc>
        <w:tc>
          <w:tcPr>
            <w:tcW w:w="591" w:type="dxa"/>
            <w:vMerge w:val="restart"/>
            <w:noWrap w:val="0"/>
            <w:tcMar>
              <w:left w:w="57" w:type="dxa"/>
              <w:right w:w="57" w:type="dxa"/>
            </w:tcMar>
            <w:vAlign w:val="center"/>
          </w:tcPr>
          <w:p w14:paraId="7FCDA9E0">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自然人</w:t>
            </w:r>
          </w:p>
        </w:tc>
        <w:tc>
          <w:tcPr>
            <w:tcW w:w="2957" w:type="dxa"/>
            <w:gridSpan w:val="5"/>
            <w:noWrap w:val="0"/>
            <w:tcMar>
              <w:left w:w="57" w:type="dxa"/>
              <w:right w:w="57" w:type="dxa"/>
            </w:tcMar>
            <w:vAlign w:val="center"/>
          </w:tcPr>
          <w:p w14:paraId="3B0CDDC8">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592" w:type="dxa"/>
            <w:vMerge w:val="restart"/>
            <w:noWrap w:val="0"/>
            <w:tcMar>
              <w:left w:w="57" w:type="dxa"/>
              <w:right w:w="57" w:type="dxa"/>
            </w:tcMar>
            <w:vAlign w:val="center"/>
          </w:tcPr>
          <w:p w14:paraId="53A19E2A">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5987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4239" w:type="dxa"/>
            <w:gridSpan w:val="3"/>
            <w:vMerge w:val="continue"/>
            <w:noWrap w:val="0"/>
            <w:tcMar>
              <w:left w:w="108" w:type="dxa"/>
              <w:right w:w="108" w:type="dxa"/>
            </w:tcMar>
            <w:vAlign w:val="center"/>
          </w:tcPr>
          <w:p w14:paraId="659A0F39">
            <w:pPr>
              <w:suppressAutoHyphens/>
              <w:bidi w:val="0"/>
              <w:rPr>
                <w:rFonts w:hint="default" w:ascii="Times New Roman" w:hAnsi="Times New Roman" w:eastAsia="宋体" w:cs="Times New Roman"/>
                <w:color w:val="auto"/>
                <w:sz w:val="24"/>
                <w:szCs w:val="24"/>
              </w:rPr>
            </w:pPr>
          </w:p>
        </w:tc>
        <w:tc>
          <w:tcPr>
            <w:tcW w:w="591" w:type="dxa"/>
            <w:vMerge w:val="continue"/>
            <w:noWrap w:val="0"/>
            <w:tcMar>
              <w:left w:w="57" w:type="dxa"/>
              <w:right w:w="57" w:type="dxa"/>
            </w:tcMar>
            <w:vAlign w:val="center"/>
          </w:tcPr>
          <w:p w14:paraId="6FCFFE75">
            <w:pPr>
              <w:suppressAutoHyphens/>
              <w:bidi w:val="0"/>
              <w:rPr>
                <w:rFonts w:hint="default" w:ascii="Times New Roman" w:hAnsi="Times New Roman" w:eastAsia="宋体" w:cs="Times New Roman"/>
                <w:color w:val="auto"/>
                <w:sz w:val="24"/>
                <w:szCs w:val="24"/>
              </w:rPr>
            </w:pPr>
          </w:p>
        </w:tc>
        <w:tc>
          <w:tcPr>
            <w:tcW w:w="591" w:type="dxa"/>
            <w:noWrap w:val="0"/>
            <w:tcMar>
              <w:left w:w="57" w:type="dxa"/>
              <w:right w:w="57" w:type="dxa"/>
            </w:tcMar>
            <w:vAlign w:val="center"/>
          </w:tcPr>
          <w:p w14:paraId="495AB0D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商业</w:t>
            </w:r>
          </w:p>
          <w:p w14:paraId="5637C727">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591" w:type="dxa"/>
            <w:noWrap w:val="0"/>
            <w:tcMar>
              <w:left w:w="57" w:type="dxa"/>
              <w:right w:w="57" w:type="dxa"/>
            </w:tcMar>
            <w:vAlign w:val="center"/>
          </w:tcPr>
          <w:p w14:paraId="3C0876E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科研</w:t>
            </w:r>
          </w:p>
          <w:p w14:paraId="01A89E3E">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591" w:type="dxa"/>
            <w:noWrap w:val="0"/>
            <w:tcMar>
              <w:left w:w="57" w:type="dxa"/>
              <w:right w:w="57" w:type="dxa"/>
            </w:tcMar>
            <w:vAlign w:val="center"/>
          </w:tcPr>
          <w:p w14:paraId="4EA17A6C">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591" w:type="dxa"/>
            <w:noWrap w:val="0"/>
            <w:tcMar>
              <w:left w:w="57" w:type="dxa"/>
              <w:right w:w="57" w:type="dxa"/>
            </w:tcMar>
            <w:vAlign w:val="center"/>
          </w:tcPr>
          <w:p w14:paraId="7D0023F5">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593" w:type="dxa"/>
            <w:noWrap w:val="0"/>
            <w:tcMar>
              <w:left w:w="57" w:type="dxa"/>
              <w:right w:w="57" w:type="dxa"/>
            </w:tcMar>
            <w:vAlign w:val="center"/>
          </w:tcPr>
          <w:p w14:paraId="3BD1E23B">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592" w:type="dxa"/>
            <w:vMerge w:val="continue"/>
            <w:noWrap w:val="0"/>
            <w:tcMar>
              <w:left w:w="57" w:type="dxa"/>
              <w:right w:w="57" w:type="dxa"/>
            </w:tcMar>
            <w:vAlign w:val="center"/>
          </w:tcPr>
          <w:p w14:paraId="23759A86">
            <w:pPr>
              <w:suppressAutoHyphens/>
              <w:bidi w:val="0"/>
              <w:rPr>
                <w:rFonts w:hint="default" w:ascii="Times New Roman" w:hAnsi="Times New Roman" w:eastAsia="宋体" w:cs="Times New Roman"/>
                <w:color w:val="auto"/>
                <w:sz w:val="24"/>
                <w:szCs w:val="24"/>
              </w:rPr>
            </w:pPr>
          </w:p>
        </w:tc>
      </w:tr>
      <w:tr w14:paraId="6922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noWrap w:val="0"/>
            <w:tcMar>
              <w:left w:w="57" w:type="dxa"/>
              <w:right w:w="57" w:type="dxa"/>
            </w:tcMar>
            <w:vAlign w:val="center"/>
          </w:tcPr>
          <w:p w14:paraId="0D990001">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一、本年新收政府信息公开申请数量</w:t>
            </w:r>
          </w:p>
        </w:tc>
        <w:tc>
          <w:tcPr>
            <w:tcW w:w="591" w:type="dxa"/>
            <w:noWrap w:val="0"/>
            <w:tcMar>
              <w:left w:w="57" w:type="dxa"/>
              <w:right w:w="57" w:type="dxa"/>
            </w:tcMar>
            <w:vAlign w:val="center"/>
          </w:tcPr>
          <w:p w14:paraId="58D4B2E8">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77F4F6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71E2D2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D1DBDD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BC0457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3B56F16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6DE016A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54F4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noWrap w:val="0"/>
            <w:tcMar>
              <w:left w:w="57" w:type="dxa"/>
              <w:right w:w="57" w:type="dxa"/>
            </w:tcMar>
            <w:vAlign w:val="center"/>
          </w:tcPr>
          <w:p w14:paraId="47D87DB1">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二、上年结转政府信息公开申请数量</w:t>
            </w:r>
          </w:p>
        </w:tc>
        <w:tc>
          <w:tcPr>
            <w:tcW w:w="591" w:type="dxa"/>
            <w:noWrap w:val="0"/>
            <w:tcMar>
              <w:left w:w="57" w:type="dxa"/>
              <w:right w:w="57" w:type="dxa"/>
            </w:tcMar>
            <w:vAlign w:val="center"/>
          </w:tcPr>
          <w:p w14:paraId="5E7EECF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FA6B20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BB1474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81874E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8FB9D31">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44A6D7E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1A86BD1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8D7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restart"/>
            <w:noWrap w:val="0"/>
            <w:tcMar>
              <w:left w:w="57" w:type="dxa"/>
              <w:right w:w="57" w:type="dxa"/>
            </w:tcMar>
            <w:vAlign w:val="center"/>
          </w:tcPr>
          <w:p w14:paraId="748257EA">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三、本年度办理结果</w:t>
            </w:r>
          </w:p>
        </w:tc>
        <w:tc>
          <w:tcPr>
            <w:tcW w:w="3579" w:type="dxa"/>
            <w:gridSpan w:val="2"/>
            <w:noWrap w:val="0"/>
            <w:tcMar>
              <w:left w:w="57" w:type="dxa"/>
              <w:right w:w="57" w:type="dxa"/>
            </w:tcMar>
            <w:vAlign w:val="center"/>
          </w:tcPr>
          <w:p w14:paraId="35AD8DDE">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（一）予以公开</w:t>
            </w:r>
          </w:p>
        </w:tc>
        <w:tc>
          <w:tcPr>
            <w:tcW w:w="591" w:type="dxa"/>
            <w:noWrap w:val="0"/>
            <w:tcMar>
              <w:left w:w="57" w:type="dxa"/>
              <w:right w:w="57" w:type="dxa"/>
            </w:tcMar>
            <w:vAlign w:val="center"/>
          </w:tcPr>
          <w:p w14:paraId="3B8DC0B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F5180F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BE13E9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0FE8B81">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5F994A1">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587BFD8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6E584E2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7683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660" w:type="dxa"/>
            <w:vMerge w:val="continue"/>
            <w:noWrap w:val="0"/>
            <w:tcMar>
              <w:left w:w="57" w:type="dxa"/>
              <w:right w:w="57" w:type="dxa"/>
            </w:tcMar>
            <w:vAlign w:val="center"/>
          </w:tcPr>
          <w:p w14:paraId="144ABE84">
            <w:pPr>
              <w:suppressAutoHyphens/>
              <w:bidi w:val="0"/>
              <w:rPr>
                <w:rFonts w:hint="default" w:ascii="Times New Roman" w:hAnsi="Times New Roman" w:eastAsia="宋体" w:cs="Times New Roman"/>
                <w:color w:val="auto"/>
                <w:sz w:val="24"/>
                <w:szCs w:val="24"/>
              </w:rPr>
            </w:pPr>
          </w:p>
        </w:tc>
        <w:tc>
          <w:tcPr>
            <w:tcW w:w="3579" w:type="dxa"/>
            <w:gridSpan w:val="2"/>
            <w:noWrap w:val="0"/>
            <w:tcMar>
              <w:left w:w="57" w:type="dxa"/>
              <w:right w:w="57" w:type="dxa"/>
            </w:tcMar>
            <w:vAlign w:val="center"/>
          </w:tcPr>
          <w:p w14:paraId="6AFCC55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（二）部分公开</w:t>
            </w:r>
            <w:r>
              <w:rPr>
                <w:rFonts w:hint="default" w:ascii="Times New Roman" w:hAnsi="Times New Roman" w:eastAsia="楷体" w:cs="Times New Roman"/>
                <w:color w:val="auto"/>
                <w:kern w:val="0"/>
                <w:sz w:val="20"/>
                <w:szCs w:val="20"/>
                <w:lang w:val="en-US" w:eastAsia="zh-CN" w:bidi="ar"/>
              </w:rPr>
              <w:t>（区分处理的，只计这一情形，不计其他情形）</w:t>
            </w:r>
          </w:p>
        </w:tc>
        <w:tc>
          <w:tcPr>
            <w:tcW w:w="591" w:type="dxa"/>
            <w:noWrap w:val="0"/>
            <w:tcMar>
              <w:left w:w="57" w:type="dxa"/>
              <w:right w:w="57" w:type="dxa"/>
            </w:tcMar>
            <w:vAlign w:val="center"/>
          </w:tcPr>
          <w:p w14:paraId="795E7BB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44D6BB1">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6F0BD46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66F4ED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6A7A52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4F81064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66C0732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E7A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BABA6C0">
            <w:pPr>
              <w:suppressAutoHyphens/>
              <w:bidi w:val="0"/>
              <w:rPr>
                <w:rFonts w:hint="default" w:ascii="Times New Roman" w:hAnsi="Times New Roman" w:eastAsia="宋体" w:cs="Times New Roman"/>
                <w:color w:val="auto"/>
                <w:sz w:val="24"/>
                <w:szCs w:val="24"/>
              </w:rPr>
            </w:pPr>
          </w:p>
        </w:tc>
        <w:tc>
          <w:tcPr>
            <w:tcW w:w="810" w:type="dxa"/>
            <w:vMerge w:val="restart"/>
            <w:noWrap w:val="0"/>
            <w:tcMar>
              <w:left w:w="57" w:type="dxa"/>
              <w:right w:w="57" w:type="dxa"/>
            </w:tcMar>
            <w:vAlign w:val="center"/>
          </w:tcPr>
          <w:p w14:paraId="382AA2D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（三）不予公开</w:t>
            </w:r>
          </w:p>
        </w:tc>
        <w:tc>
          <w:tcPr>
            <w:tcW w:w="2769" w:type="dxa"/>
            <w:noWrap w:val="0"/>
            <w:tcMar>
              <w:left w:w="57" w:type="dxa"/>
              <w:right w:w="57" w:type="dxa"/>
            </w:tcMar>
            <w:vAlign w:val="top"/>
          </w:tcPr>
          <w:p w14:paraId="506F757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1.属于国家秘密</w:t>
            </w:r>
          </w:p>
        </w:tc>
        <w:tc>
          <w:tcPr>
            <w:tcW w:w="591" w:type="dxa"/>
            <w:noWrap w:val="0"/>
            <w:tcMar>
              <w:left w:w="57" w:type="dxa"/>
              <w:right w:w="57" w:type="dxa"/>
            </w:tcMar>
            <w:vAlign w:val="center"/>
          </w:tcPr>
          <w:p w14:paraId="5D324E8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66F019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619082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5AB2EF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577CD88">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2075B96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2BD0ADB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9C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D5304FF">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0428261B">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49CF2953">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2.其他法律行政法规禁止公开</w:t>
            </w:r>
          </w:p>
        </w:tc>
        <w:tc>
          <w:tcPr>
            <w:tcW w:w="591" w:type="dxa"/>
            <w:noWrap w:val="0"/>
            <w:tcMar>
              <w:left w:w="57" w:type="dxa"/>
              <w:right w:w="57" w:type="dxa"/>
            </w:tcMar>
            <w:vAlign w:val="center"/>
          </w:tcPr>
          <w:p w14:paraId="3F26E01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6D13CFA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DDBB41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AF2881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67F738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090DD21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3FD2095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E88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48578299">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2F704988">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1C63EB2C">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3.危及“三安全一稳定”</w:t>
            </w:r>
          </w:p>
        </w:tc>
        <w:tc>
          <w:tcPr>
            <w:tcW w:w="591" w:type="dxa"/>
            <w:noWrap w:val="0"/>
            <w:tcMar>
              <w:left w:w="57" w:type="dxa"/>
              <w:right w:w="57" w:type="dxa"/>
            </w:tcMar>
            <w:vAlign w:val="center"/>
          </w:tcPr>
          <w:p w14:paraId="1EE2978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367740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0C1E95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35D2ED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86E1B5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3B3019F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0E637B0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098A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01560FAC">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4989B336">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1A2B797F">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4.保护第三方合法权益</w:t>
            </w:r>
          </w:p>
        </w:tc>
        <w:tc>
          <w:tcPr>
            <w:tcW w:w="591" w:type="dxa"/>
            <w:noWrap w:val="0"/>
            <w:tcMar>
              <w:left w:w="57" w:type="dxa"/>
              <w:right w:w="57" w:type="dxa"/>
            </w:tcMar>
            <w:vAlign w:val="center"/>
          </w:tcPr>
          <w:p w14:paraId="5B03175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897C87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373F90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F5EBBA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58049E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7979C25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7F1E57F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56A8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5C671707">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786DFC80">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6D1C8D65">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5.属于三类内部事务信息</w:t>
            </w:r>
          </w:p>
        </w:tc>
        <w:tc>
          <w:tcPr>
            <w:tcW w:w="591" w:type="dxa"/>
            <w:noWrap w:val="0"/>
            <w:tcMar>
              <w:left w:w="57" w:type="dxa"/>
              <w:right w:w="57" w:type="dxa"/>
            </w:tcMar>
            <w:vAlign w:val="center"/>
          </w:tcPr>
          <w:p w14:paraId="5C5285D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893537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D908E5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6025D1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4C0161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21CE0C1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7C12458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54A6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090C9E19">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2674761E">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337ACD0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6.属于四类过程性信息</w:t>
            </w:r>
          </w:p>
        </w:tc>
        <w:tc>
          <w:tcPr>
            <w:tcW w:w="591" w:type="dxa"/>
            <w:noWrap w:val="0"/>
            <w:tcMar>
              <w:left w:w="57" w:type="dxa"/>
              <w:right w:w="57" w:type="dxa"/>
            </w:tcMar>
            <w:vAlign w:val="center"/>
          </w:tcPr>
          <w:p w14:paraId="6FFA1A0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325152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66B223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60989B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089EBC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19192E8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3302552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0873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349D4B3">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29F004AD">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49AF5C3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7.属于行政执法案卷</w:t>
            </w:r>
          </w:p>
        </w:tc>
        <w:tc>
          <w:tcPr>
            <w:tcW w:w="591" w:type="dxa"/>
            <w:noWrap w:val="0"/>
            <w:tcMar>
              <w:left w:w="57" w:type="dxa"/>
              <w:right w:w="57" w:type="dxa"/>
            </w:tcMar>
            <w:vAlign w:val="center"/>
          </w:tcPr>
          <w:p w14:paraId="3B4693F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2A273B1">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BB0960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97AFEB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709E63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6554C63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761EB78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3E1A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494F996F">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05508408">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42FB3883">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8.属于行政查询事项</w:t>
            </w:r>
          </w:p>
        </w:tc>
        <w:tc>
          <w:tcPr>
            <w:tcW w:w="591" w:type="dxa"/>
            <w:noWrap w:val="0"/>
            <w:tcMar>
              <w:left w:w="57" w:type="dxa"/>
              <w:right w:w="57" w:type="dxa"/>
            </w:tcMar>
            <w:vAlign w:val="center"/>
          </w:tcPr>
          <w:p w14:paraId="726AE5E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2E85F6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E14534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B6221E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93B59C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4BD4FE58">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3EE666C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1DF4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1A634B53">
            <w:pPr>
              <w:suppressAutoHyphens/>
              <w:bidi w:val="0"/>
              <w:rPr>
                <w:rFonts w:hint="default" w:ascii="Times New Roman" w:hAnsi="Times New Roman" w:eastAsia="宋体" w:cs="Times New Roman"/>
                <w:color w:val="auto"/>
                <w:sz w:val="24"/>
                <w:szCs w:val="24"/>
              </w:rPr>
            </w:pPr>
          </w:p>
        </w:tc>
        <w:tc>
          <w:tcPr>
            <w:tcW w:w="810" w:type="dxa"/>
            <w:vMerge w:val="restart"/>
            <w:noWrap w:val="0"/>
            <w:tcMar>
              <w:left w:w="57" w:type="dxa"/>
              <w:right w:w="57" w:type="dxa"/>
            </w:tcMar>
            <w:vAlign w:val="center"/>
          </w:tcPr>
          <w:p w14:paraId="74DEF607">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（四）无法提供</w:t>
            </w:r>
          </w:p>
        </w:tc>
        <w:tc>
          <w:tcPr>
            <w:tcW w:w="2769" w:type="dxa"/>
            <w:noWrap w:val="0"/>
            <w:tcMar>
              <w:left w:w="57" w:type="dxa"/>
              <w:right w:w="57" w:type="dxa"/>
            </w:tcMar>
            <w:vAlign w:val="top"/>
          </w:tcPr>
          <w:p w14:paraId="27A79A66">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1.本机关不掌握相关政府信息</w:t>
            </w:r>
          </w:p>
        </w:tc>
        <w:tc>
          <w:tcPr>
            <w:tcW w:w="591" w:type="dxa"/>
            <w:noWrap w:val="0"/>
            <w:tcMar>
              <w:left w:w="57" w:type="dxa"/>
              <w:right w:w="57" w:type="dxa"/>
            </w:tcMar>
            <w:vAlign w:val="center"/>
          </w:tcPr>
          <w:p w14:paraId="7095434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FD2B9C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6EA1B2B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8E4CB1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970DB9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150D77F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0C4E5BB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322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47460BD">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018FE3C0">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53A3E0BE">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2.没有现成信息需要另行制作</w:t>
            </w:r>
          </w:p>
        </w:tc>
        <w:tc>
          <w:tcPr>
            <w:tcW w:w="591" w:type="dxa"/>
            <w:noWrap w:val="0"/>
            <w:tcMar>
              <w:left w:w="57" w:type="dxa"/>
              <w:right w:w="57" w:type="dxa"/>
            </w:tcMar>
            <w:vAlign w:val="center"/>
          </w:tcPr>
          <w:p w14:paraId="65F76638">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7DE3CE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C5E8ED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8B9FE2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4F3062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582595F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6BB2273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0AA7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0A063BE7">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4FB27108">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27D5D4EC">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3.补正后申请内容仍不明确</w:t>
            </w:r>
          </w:p>
        </w:tc>
        <w:tc>
          <w:tcPr>
            <w:tcW w:w="591" w:type="dxa"/>
            <w:noWrap w:val="0"/>
            <w:tcMar>
              <w:left w:w="57" w:type="dxa"/>
              <w:right w:w="57" w:type="dxa"/>
            </w:tcMar>
            <w:vAlign w:val="center"/>
          </w:tcPr>
          <w:p w14:paraId="02ABD23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809284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429FC8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50002E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D988B7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50CAA2B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5DD2643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902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527E1AE">
            <w:pPr>
              <w:suppressAutoHyphens/>
              <w:bidi w:val="0"/>
              <w:rPr>
                <w:rFonts w:hint="default" w:ascii="Times New Roman" w:hAnsi="Times New Roman" w:eastAsia="宋体" w:cs="Times New Roman"/>
                <w:color w:val="auto"/>
                <w:sz w:val="24"/>
                <w:szCs w:val="24"/>
              </w:rPr>
            </w:pPr>
          </w:p>
        </w:tc>
        <w:tc>
          <w:tcPr>
            <w:tcW w:w="810" w:type="dxa"/>
            <w:vMerge w:val="restart"/>
            <w:noWrap w:val="0"/>
            <w:tcMar>
              <w:left w:w="57" w:type="dxa"/>
              <w:right w:w="57" w:type="dxa"/>
            </w:tcMar>
            <w:vAlign w:val="center"/>
          </w:tcPr>
          <w:p w14:paraId="23A1D518">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（五）不予处理</w:t>
            </w:r>
          </w:p>
        </w:tc>
        <w:tc>
          <w:tcPr>
            <w:tcW w:w="2769" w:type="dxa"/>
            <w:noWrap w:val="0"/>
            <w:tcMar>
              <w:left w:w="57" w:type="dxa"/>
              <w:right w:w="57" w:type="dxa"/>
            </w:tcMar>
            <w:vAlign w:val="top"/>
          </w:tcPr>
          <w:p w14:paraId="43DA7D55">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1.信访举报投诉类申请</w:t>
            </w:r>
          </w:p>
        </w:tc>
        <w:tc>
          <w:tcPr>
            <w:tcW w:w="591" w:type="dxa"/>
            <w:noWrap w:val="0"/>
            <w:tcMar>
              <w:left w:w="57" w:type="dxa"/>
              <w:right w:w="57" w:type="dxa"/>
            </w:tcMar>
            <w:vAlign w:val="center"/>
          </w:tcPr>
          <w:p w14:paraId="5ED86A4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B66A83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C23DA6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9DEE07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EC9089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4B87AEE8">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5BDEEC0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36AB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54547EBF">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2F3C63B9">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3D279ED3">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2.重复申请</w:t>
            </w:r>
          </w:p>
        </w:tc>
        <w:tc>
          <w:tcPr>
            <w:tcW w:w="591" w:type="dxa"/>
            <w:noWrap w:val="0"/>
            <w:tcMar>
              <w:left w:w="57" w:type="dxa"/>
              <w:right w:w="57" w:type="dxa"/>
            </w:tcMar>
            <w:vAlign w:val="center"/>
          </w:tcPr>
          <w:p w14:paraId="5B467FE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AA618D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2EC1AE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E416D2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1AF567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1F4ED3F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1514959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50A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CE2649E">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10C26C52">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2961F9C2">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3.要求提供公开出版物</w:t>
            </w:r>
          </w:p>
        </w:tc>
        <w:tc>
          <w:tcPr>
            <w:tcW w:w="591" w:type="dxa"/>
            <w:noWrap w:val="0"/>
            <w:tcMar>
              <w:left w:w="57" w:type="dxa"/>
              <w:right w:w="57" w:type="dxa"/>
            </w:tcMar>
            <w:vAlign w:val="center"/>
          </w:tcPr>
          <w:p w14:paraId="03E2B98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82FE43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EFF5EB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E70747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A8F13A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030CE08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6FC3863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68E7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382E21E0">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7C1A2F47">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top"/>
          </w:tcPr>
          <w:p w14:paraId="5F2DAC1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4.无正当理由大量反复申请</w:t>
            </w:r>
          </w:p>
        </w:tc>
        <w:tc>
          <w:tcPr>
            <w:tcW w:w="591" w:type="dxa"/>
            <w:noWrap w:val="0"/>
            <w:tcMar>
              <w:left w:w="57" w:type="dxa"/>
              <w:right w:w="57" w:type="dxa"/>
            </w:tcMar>
            <w:vAlign w:val="center"/>
          </w:tcPr>
          <w:p w14:paraId="65495F9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BDA070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3C4D06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72BFEA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F42F3D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520772C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1104F74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448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660" w:type="dxa"/>
            <w:vMerge w:val="continue"/>
            <w:noWrap w:val="0"/>
            <w:tcMar>
              <w:left w:w="57" w:type="dxa"/>
              <w:right w:w="57" w:type="dxa"/>
            </w:tcMar>
            <w:vAlign w:val="center"/>
          </w:tcPr>
          <w:p w14:paraId="0BF0C714">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3F13A42D">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center"/>
          </w:tcPr>
          <w:p w14:paraId="0856F5A9">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5.要求行政机关确认或重新出具已获取信息</w:t>
            </w:r>
          </w:p>
        </w:tc>
        <w:tc>
          <w:tcPr>
            <w:tcW w:w="591" w:type="dxa"/>
            <w:noWrap w:val="0"/>
            <w:tcMar>
              <w:left w:w="57" w:type="dxa"/>
              <w:right w:w="57" w:type="dxa"/>
            </w:tcMar>
            <w:vAlign w:val="center"/>
          </w:tcPr>
          <w:p w14:paraId="24F260F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7328F0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9DB3E0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DFEAA3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A97A4C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6228EFE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59717BD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2E50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noWrap w:val="0"/>
            <w:tcMar>
              <w:left w:w="57" w:type="dxa"/>
              <w:right w:w="57" w:type="dxa"/>
            </w:tcMar>
            <w:vAlign w:val="center"/>
          </w:tcPr>
          <w:p w14:paraId="0BC0ABAA">
            <w:pPr>
              <w:suppressAutoHyphens/>
              <w:bidi w:val="0"/>
              <w:rPr>
                <w:rFonts w:hint="default" w:ascii="Times New Roman" w:hAnsi="Times New Roman" w:eastAsia="宋体" w:cs="Times New Roman"/>
                <w:color w:val="auto"/>
                <w:sz w:val="24"/>
                <w:szCs w:val="24"/>
              </w:rPr>
            </w:pPr>
          </w:p>
        </w:tc>
        <w:tc>
          <w:tcPr>
            <w:tcW w:w="810" w:type="dxa"/>
            <w:vMerge w:val="restart"/>
            <w:noWrap w:val="0"/>
            <w:tcMar>
              <w:left w:w="57" w:type="dxa"/>
              <w:right w:w="57" w:type="dxa"/>
            </w:tcMar>
            <w:vAlign w:val="center"/>
          </w:tcPr>
          <w:p w14:paraId="009FCFD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（六）其他处理</w:t>
            </w:r>
          </w:p>
        </w:tc>
        <w:tc>
          <w:tcPr>
            <w:tcW w:w="2769" w:type="dxa"/>
            <w:noWrap w:val="0"/>
            <w:tcMar>
              <w:left w:w="57" w:type="dxa"/>
              <w:right w:w="57" w:type="dxa"/>
            </w:tcMar>
            <w:vAlign w:val="center"/>
          </w:tcPr>
          <w:p w14:paraId="033A949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1.申请人无正当理由逾期不补正、行政机关不再处理其政府信息公开申请</w:t>
            </w:r>
          </w:p>
        </w:tc>
        <w:tc>
          <w:tcPr>
            <w:tcW w:w="591" w:type="dxa"/>
            <w:noWrap w:val="0"/>
            <w:tcMar>
              <w:left w:w="57" w:type="dxa"/>
              <w:right w:w="57" w:type="dxa"/>
            </w:tcMar>
            <w:vAlign w:val="center"/>
          </w:tcPr>
          <w:p w14:paraId="6B00E93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9C4089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832E40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9DC27B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5F9E80C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49A3E4E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2F93672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365D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noWrap w:val="0"/>
            <w:tcMar>
              <w:left w:w="57" w:type="dxa"/>
              <w:right w:w="57" w:type="dxa"/>
            </w:tcMar>
            <w:vAlign w:val="center"/>
          </w:tcPr>
          <w:p w14:paraId="070A915D">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3A8BDE12">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center"/>
          </w:tcPr>
          <w:p w14:paraId="65AD1D7F">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2.申请人逾期未按收费通知要求缴纳费用、行政机关不再处理其政府信息公开申请</w:t>
            </w:r>
          </w:p>
        </w:tc>
        <w:tc>
          <w:tcPr>
            <w:tcW w:w="591" w:type="dxa"/>
            <w:noWrap w:val="0"/>
            <w:tcMar>
              <w:left w:w="57" w:type="dxa"/>
              <w:right w:w="57" w:type="dxa"/>
            </w:tcMar>
            <w:vAlign w:val="center"/>
          </w:tcPr>
          <w:p w14:paraId="504A011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CB8DEF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39C6E12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DFDA10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DBFF9F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5751474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32F3F64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5753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6531BACE">
            <w:pPr>
              <w:suppressAutoHyphens/>
              <w:bidi w:val="0"/>
              <w:rPr>
                <w:rFonts w:hint="default" w:ascii="Times New Roman" w:hAnsi="Times New Roman" w:eastAsia="宋体" w:cs="Times New Roman"/>
                <w:color w:val="auto"/>
                <w:sz w:val="24"/>
                <w:szCs w:val="24"/>
              </w:rPr>
            </w:pPr>
          </w:p>
        </w:tc>
        <w:tc>
          <w:tcPr>
            <w:tcW w:w="810" w:type="dxa"/>
            <w:vMerge w:val="continue"/>
            <w:noWrap w:val="0"/>
            <w:tcMar>
              <w:left w:w="57" w:type="dxa"/>
              <w:right w:w="57" w:type="dxa"/>
            </w:tcMar>
            <w:vAlign w:val="center"/>
          </w:tcPr>
          <w:p w14:paraId="21F3F113">
            <w:pPr>
              <w:suppressAutoHyphens/>
              <w:bidi w:val="0"/>
              <w:rPr>
                <w:rFonts w:hint="default" w:ascii="Times New Roman" w:hAnsi="Times New Roman" w:eastAsia="宋体" w:cs="Times New Roman"/>
                <w:color w:val="auto"/>
                <w:sz w:val="24"/>
                <w:szCs w:val="24"/>
              </w:rPr>
            </w:pPr>
          </w:p>
        </w:tc>
        <w:tc>
          <w:tcPr>
            <w:tcW w:w="2769" w:type="dxa"/>
            <w:noWrap w:val="0"/>
            <w:tcMar>
              <w:left w:w="57" w:type="dxa"/>
              <w:right w:w="57" w:type="dxa"/>
            </w:tcMar>
            <w:vAlign w:val="center"/>
          </w:tcPr>
          <w:p w14:paraId="79D204E5">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3.其他</w:t>
            </w:r>
          </w:p>
        </w:tc>
        <w:tc>
          <w:tcPr>
            <w:tcW w:w="591" w:type="dxa"/>
            <w:noWrap w:val="0"/>
            <w:tcMar>
              <w:left w:w="57" w:type="dxa"/>
              <w:right w:w="57" w:type="dxa"/>
            </w:tcMar>
            <w:vAlign w:val="center"/>
          </w:tcPr>
          <w:p w14:paraId="7426CC1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4345267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F1A9D0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DABBBE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543F1C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798DEBB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76AB0CC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09F5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14:paraId="4E8F4D97">
            <w:pPr>
              <w:suppressAutoHyphens/>
              <w:bidi w:val="0"/>
              <w:rPr>
                <w:rFonts w:hint="default" w:ascii="Times New Roman" w:hAnsi="Times New Roman" w:eastAsia="宋体" w:cs="Times New Roman"/>
                <w:color w:val="auto"/>
                <w:sz w:val="24"/>
                <w:szCs w:val="24"/>
              </w:rPr>
            </w:pPr>
          </w:p>
        </w:tc>
        <w:tc>
          <w:tcPr>
            <w:tcW w:w="3579" w:type="dxa"/>
            <w:gridSpan w:val="2"/>
            <w:noWrap w:val="0"/>
            <w:tcMar>
              <w:left w:w="57" w:type="dxa"/>
              <w:right w:w="57" w:type="dxa"/>
            </w:tcMar>
            <w:vAlign w:val="center"/>
          </w:tcPr>
          <w:p w14:paraId="0B3D3069">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（七）总计</w:t>
            </w:r>
          </w:p>
        </w:tc>
        <w:tc>
          <w:tcPr>
            <w:tcW w:w="591" w:type="dxa"/>
            <w:noWrap w:val="0"/>
            <w:tcMar>
              <w:left w:w="57" w:type="dxa"/>
              <w:right w:w="57" w:type="dxa"/>
            </w:tcMar>
            <w:vAlign w:val="center"/>
          </w:tcPr>
          <w:p w14:paraId="443CBB5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0618FB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6B394D6E">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070E84D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67DBE4E7">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483C3E6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6D5F609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r w14:paraId="606E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4239" w:type="dxa"/>
            <w:gridSpan w:val="3"/>
            <w:noWrap w:val="0"/>
            <w:tcMar>
              <w:left w:w="57" w:type="dxa"/>
              <w:right w:w="57" w:type="dxa"/>
            </w:tcMar>
            <w:vAlign w:val="center"/>
          </w:tcPr>
          <w:p w14:paraId="4260435C">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val="en-US" w:eastAsia="zh-CN" w:bidi="ar"/>
              </w:rPr>
              <w:t>四、结转下年度继续办理</w:t>
            </w:r>
          </w:p>
        </w:tc>
        <w:tc>
          <w:tcPr>
            <w:tcW w:w="591" w:type="dxa"/>
            <w:noWrap w:val="0"/>
            <w:tcMar>
              <w:left w:w="57" w:type="dxa"/>
              <w:right w:w="57" w:type="dxa"/>
            </w:tcMar>
            <w:vAlign w:val="center"/>
          </w:tcPr>
          <w:p w14:paraId="646456F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74E8F33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6A6999B">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2E388CA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1" w:type="dxa"/>
            <w:noWrap w:val="0"/>
            <w:tcMar>
              <w:left w:w="57" w:type="dxa"/>
              <w:right w:w="57" w:type="dxa"/>
            </w:tcMar>
            <w:vAlign w:val="center"/>
          </w:tcPr>
          <w:p w14:paraId="1B20B6B6">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3" w:type="dxa"/>
            <w:noWrap w:val="0"/>
            <w:tcMar>
              <w:left w:w="57" w:type="dxa"/>
              <w:right w:w="57" w:type="dxa"/>
            </w:tcMar>
            <w:vAlign w:val="center"/>
          </w:tcPr>
          <w:p w14:paraId="70683885">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92" w:type="dxa"/>
            <w:noWrap w:val="0"/>
            <w:tcMar>
              <w:left w:w="57" w:type="dxa"/>
              <w:right w:w="57" w:type="dxa"/>
            </w:tcMar>
            <w:vAlign w:val="center"/>
          </w:tcPr>
          <w:p w14:paraId="37DC7E3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bl>
    <w:p w14:paraId="44DE99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四、政府信息公开行政复议、行政诉讼情况</w:t>
      </w:r>
    </w:p>
    <w:tbl>
      <w:tblPr>
        <w:tblStyle w:val="2"/>
        <w:tblW w:w="7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3213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jc w:val="center"/>
        </w:trPr>
        <w:tc>
          <w:tcPr>
            <w:tcW w:w="2596" w:type="dxa"/>
            <w:gridSpan w:val="5"/>
            <w:noWrap w:val="0"/>
            <w:tcMar>
              <w:top w:w="0" w:type="dxa"/>
              <w:left w:w="108" w:type="dxa"/>
              <w:bottom w:w="0" w:type="dxa"/>
              <w:right w:w="108" w:type="dxa"/>
            </w:tcMar>
            <w:vAlign w:val="center"/>
          </w:tcPr>
          <w:p w14:paraId="18BF9B17">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行政复议</w:t>
            </w:r>
          </w:p>
        </w:tc>
        <w:tc>
          <w:tcPr>
            <w:tcW w:w="5203" w:type="dxa"/>
            <w:gridSpan w:val="10"/>
            <w:noWrap w:val="0"/>
            <w:tcMar>
              <w:top w:w="0" w:type="dxa"/>
              <w:left w:w="108" w:type="dxa"/>
              <w:bottom w:w="0" w:type="dxa"/>
              <w:right w:w="108" w:type="dxa"/>
            </w:tcMar>
            <w:vAlign w:val="center"/>
          </w:tcPr>
          <w:p w14:paraId="746D2027">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行政诉讼</w:t>
            </w:r>
          </w:p>
        </w:tc>
      </w:tr>
      <w:tr w14:paraId="0B52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jc w:val="center"/>
        </w:trPr>
        <w:tc>
          <w:tcPr>
            <w:tcW w:w="519" w:type="dxa"/>
            <w:vMerge w:val="restart"/>
            <w:noWrap w:val="0"/>
            <w:tcMar>
              <w:top w:w="0" w:type="dxa"/>
              <w:left w:w="108" w:type="dxa"/>
              <w:bottom w:w="0" w:type="dxa"/>
              <w:right w:w="108" w:type="dxa"/>
            </w:tcMar>
            <w:vAlign w:val="center"/>
          </w:tcPr>
          <w:p w14:paraId="37FADF7E">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结果维持</w:t>
            </w:r>
          </w:p>
        </w:tc>
        <w:tc>
          <w:tcPr>
            <w:tcW w:w="519" w:type="dxa"/>
            <w:vMerge w:val="restart"/>
            <w:noWrap w:val="0"/>
            <w:tcMar>
              <w:top w:w="0" w:type="dxa"/>
              <w:left w:w="108" w:type="dxa"/>
              <w:bottom w:w="0" w:type="dxa"/>
              <w:right w:w="108" w:type="dxa"/>
            </w:tcMar>
            <w:vAlign w:val="center"/>
          </w:tcPr>
          <w:p w14:paraId="41BF3E70">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p w14:paraId="5ED79627">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纠正</w:t>
            </w:r>
          </w:p>
        </w:tc>
        <w:tc>
          <w:tcPr>
            <w:tcW w:w="519" w:type="dxa"/>
            <w:vMerge w:val="restart"/>
            <w:noWrap w:val="0"/>
            <w:tcMar>
              <w:top w:w="0" w:type="dxa"/>
              <w:left w:w="108" w:type="dxa"/>
              <w:bottom w:w="0" w:type="dxa"/>
              <w:right w:w="108" w:type="dxa"/>
            </w:tcMar>
            <w:vAlign w:val="center"/>
          </w:tcPr>
          <w:p w14:paraId="556730FC">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其他</w:t>
            </w:r>
          </w:p>
          <w:p w14:paraId="4426734F">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tc>
        <w:tc>
          <w:tcPr>
            <w:tcW w:w="519" w:type="dxa"/>
            <w:vMerge w:val="restart"/>
            <w:noWrap w:val="0"/>
            <w:tcMar>
              <w:top w:w="0" w:type="dxa"/>
              <w:left w:w="108" w:type="dxa"/>
              <w:bottom w:w="0" w:type="dxa"/>
              <w:right w:w="108" w:type="dxa"/>
            </w:tcMar>
            <w:vAlign w:val="center"/>
          </w:tcPr>
          <w:p w14:paraId="1257A49C">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尚未</w:t>
            </w:r>
          </w:p>
          <w:p w14:paraId="62435D85">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审结</w:t>
            </w:r>
          </w:p>
        </w:tc>
        <w:tc>
          <w:tcPr>
            <w:tcW w:w="520" w:type="dxa"/>
            <w:vMerge w:val="restart"/>
            <w:noWrap w:val="0"/>
            <w:tcMar>
              <w:top w:w="0" w:type="dxa"/>
              <w:left w:w="108" w:type="dxa"/>
              <w:bottom w:w="0" w:type="dxa"/>
              <w:right w:w="108" w:type="dxa"/>
            </w:tcMar>
            <w:vAlign w:val="center"/>
          </w:tcPr>
          <w:p w14:paraId="4DB65C51">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总计</w:t>
            </w:r>
          </w:p>
        </w:tc>
        <w:tc>
          <w:tcPr>
            <w:tcW w:w="2598" w:type="dxa"/>
            <w:gridSpan w:val="5"/>
            <w:noWrap w:val="0"/>
            <w:tcMar>
              <w:top w:w="0" w:type="dxa"/>
              <w:left w:w="108" w:type="dxa"/>
              <w:bottom w:w="0" w:type="dxa"/>
              <w:right w:w="108" w:type="dxa"/>
            </w:tcMar>
            <w:vAlign w:val="center"/>
          </w:tcPr>
          <w:p w14:paraId="34272D3C">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未经复议直接起诉</w:t>
            </w:r>
          </w:p>
        </w:tc>
        <w:tc>
          <w:tcPr>
            <w:tcW w:w="2605" w:type="dxa"/>
            <w:gridSpan w:val="5"/>
            <w:noWrap w:val="0"/>
            <w:tcMar>
              <w:top w:w="0" w:type="dxa"/>
              <w:left w:w="108" w:type="dxa"/>
              <w:bottom w:w="0" w:type="dxa"/>
              <w:right w:w="108" w:type="dxa"/>
            </w:tcMar>
            <w:vAlign w:val="center"/>
          </w:tcPr>
          <w:p w14:paraId="22F046F1">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复议后起诉</w:t>
            </w:r>
          </w:p>
        </w:tc>
      </w:tr>
      <w:tr w14:paraId="5340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jc w:val="center"/>
        </w:trPr>
        <w:tc>
          <w:tcPr>
            <w:tcW w:w="519" w:type="dxa"/>
            <w:vMerge w:val="continue"/>
            <w:noWrap w:val="0"/>
            <w:tcMar>
              <w:top w:w="0" w:type="dxa"/>
              <w:left w:w="108" w:type="dxa"/>
              <w:bottom w:w="0" w:type="dxa"/>
              <w:right w:w="108" w:type="dxa"/>
            </w:tcMar>
            <w:vAlign w:val="center"/>
          </w:tcPr>
          <w:p w14:paraId="3CD9A265">
            <w:pPr>
              <w:suppressAutoHyphens/>
              <w:bidi w:val="0"/>
              <w:rPr>
                <w:rFonts w:hint="default" w:ascii="Times New Roman" w:hAnsi="Times New Roman" w:eastAsia="宋体" w:cs="Times New Roman"/>
                <w:color w:val="auto"/>
                <w:sz w:val="20"/>
                <w:szCs w:val="20"/>
              </w:rPr>
            </w:pPr>
          </w:p>
        </w:tc>
        <w:tc>
          <w:tcPr>
            <w:tcW w:w="519" w:type="dxa"/>
            <w:vMerge w:val="continue"/>
            <w:noWrap w:val="0"/>
            <w:tcMar>
              <w:top w:w="0" w:type="dxa"/>
              <w:left w:w="108" w:type="dxa"/>
              <w:bottom w:w="0" w:type="dxa"/>
              <w:right w:w="108" w:type="dxa"/>
            </w:tcMar>
            <w:vAlign w:val="center"/>
          </w:tcPr>
          <w:p w14:paraId="288D35E6">
            <w:pPr>
              <w:suppressAutoHyphens/>
              <w:bidi w:val="0"/>
              <w:rPr>
                <w:rFonts w:hint="default" w:ascii="Times New Roman" w:hAnsi="Times New Roman" w:eastAsia="宋体" w:cs="Times New Roman"/>
                <w:color w:val="auto"/>
                <w:sz w:val="20"/>
                <w:szCs w:val="20"/>
              </w:rPr>
            </w:pPr>
          </w:p>
        </w:tc>
        <w:tc>
          <w:tcPr>
            <w:tcW w:w="519" w:type="dxa"/>
            <w:vMerge w:val="continue"/>
            <w:noWrap w:val="0"/>
            <w:tcMar>
              <w:top w:w="0" w:type="dxa"/>
              <w:left w:w="108" w:type="dxa"/>
              <w:bottom w:w="0" w:type="dxa"/>
              <w:right w:w="108" w:type="dxa"/>
            </w:tcMar>
            <w:vAlign w:val="center"/>
          </w:tcPr>
          <w:p w14:paraId="02573BAF">
            <w:pPr>
              <w:suppressAutoHyphens/>
              <w:bidi w:val="0"/>
              <w:rPr>
                <w:rFonts w:hint="default" w:ascii="Times New Roman" w:hAnsi="Times New Roman" w:eastAsia="宋体" w:cs="Times New Roman"/>
                <w:color w:val="auto"/>
                <w:sz w:val="20"/>
                <w:szCs w:val="20"/>
              </w:rPr>
            </w:pPr>
          </w:p>
        </w:tc>
        <w:tc>
          <w:tcPr>
            <w:tcW w:w="519" w:type="dxa"/>
            <w:vMerge w:val="continue"/>
            <w:noWrap w:val="0"/>
            <w:tcMar>
              <w:top w:w="0" w:type="dxa"/>
              <w:left w:w="108" w:type="dxa"/>
              <w:bottom w:w="0" w:type="dxa"/>
              <w:right w:w="108" w:type="dxa"/>
            </w:tcMar>
            <w:vAlign w:val="center"/>
          </w:tcPr>
          <w:p w14:paraId="76B3DC8F">
            <w:pPr>
              <w:suppressAutoHyphens/>
              <w:bidi w:val="0"/>
              <w:rPr>
                <w:rFonts w:hint="default" w:ascii="Times New Roman" w:hAnsi="Times New Roman" w:eastAsia="宋体" w:cs="Times New Roman"/>
                <w:color w:val="auto"/>
                <w:sz w:val="20"/>
                <w:szCs w:val="20"/>
              </w:rPr>
            </w:pPr>
          </w:p>
        </w:tc>
        <w:tc>
          <w:tcPr>
            <w:tcW w:w="520" w:type="dxa"/>
            <w:vMerge w:val="continue"/>
            <w:noWrap w:val="0"/>
            <w:tcMar>
              <w:top w:w="0" w:type="dxa"/>
              <w:left w:w="108" w:type="dxa"/>
              <w:bottom w:w="0" w:type="dxa"/>
              <w:right w:w="108" w:type="dxa"/>
            </w:tcMar>
            <w:vAlign w:val="center"/>
          </w:tcPr>
          <w:p w14:paraId="30BFBFB8">
            <w:pPr>
              <w:suppressAutoHyphens/>
              <w:bidi w:val="0"/>
              <w:rPr>
                <w:rFonts w:hint="default" w:ascii="Times New Roman" w:hAnsi="Times New Roman" w:eastAsia="宋体" w:cs="Times New Roman"/>
                <w:color w:val="auto"/>
                <w:sz w:val="20"/>
                <w:szCs w:val="20"/>
              </w:rPr>
            </w:pPr>
          </w:p>
        </w:tc>
        <w:tc>
          <w:tcPr>
            <w:tcW w:w="519" w:type="dxa"/>
            <w:noWrap w:val="0"/>
            <w:tcMar>
              <w:top w:w="0" w:type="dxa"/>
              <w:left w:w="108" w:type="dxa"/>
              <w:bottom w:w="0" w:type="dxa"/>
              <w:right w:w="108" w:type="dxa"/>
            </w:tcMar>
            <w:vAlign w:val="center"/>
          </w:tcPr>
          <w:p w14:paraId="1D219F8F">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p w14:paraId="16C074E3">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维持</w:t>
            </w:r>
          </w:p>
        </w:tc>
        <w:tc>
          <w:tcPr>
            <w:tcW w:w="519" w:type="dxa"/>
            <w:noWrap w:val="0"/>
            <w:tcMar>
              <w:top w:w="0" w:type="dxa"/>
              <w:left w:w="108" w:type="dxa"/>
              <w:bottom w:w="0" w:type="dxa"/>
              <w:right w:w="108" w:type="dxa"/>
            </w:tcMar>
            <w:vAlign w:val="center"/>
          </w:tcPr>
          <w:p w14:paraId="43134213">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p w14:paraId="4C4CB150">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纠正</w:t>
            </w:r>
          </w:p>
        </w:tc>
        <w:tc>
          <w:tcPr>
            <w:tcW w:w="520" w:type="dxa"/>
            <w:noWrap w:val="0"/>
            <w:tcMar>
              <w:top w:w="0" w:type="dxa"/>
              <w:left w:w="108" w:type="dxa"/>
              <w:bottom w:w="0" w:type="dxa"/>
              <w:right w:w="108" w:type="dxa"/>
            </w:tcMar>
            <w:vAlign w:val="center"/>
          </w:tcPr>
          <w:p w14:paraId="0AC01E74">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其他</w:t>
            </w:r>
          </w:p>
          <w:p w14:paraId="2863FB7F">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tc>
        <w:tc>
          <w:tcPr>
            <w:tcW w:w="520" w:type="dxa"/>
            <w:noWrap w:val="0"/>
            <w:tcMar>
              <w:top w:w="0" w:type="dxa"/>
              <w:left w:w="108" w:type="dxa"/>
              <w:bottom w:w="0" w:type="dxa"/>
              <w:right w:w="108" w:type="dxa"/>
            </w:tcMar>
            <w:vAlign w:val="center"/>
          </w:tcPr>
          <w:p w14:paraId="0B27E938">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尚未</w:t>
            </w:r>
          </w:p>
          <w:p w14:paraId="3439F523">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审结</w:t>
            </w:r>
          </w:p>
        </w:tc>
        <w:tc>
          <w:tcPr>
            <w:tcW w:w="520" w:type="dxa"/>
            <w:noWrap w:val="0"/>
            <w:tcMar>
              <w:top w:w="0" w:type="dxa"/>
              <w:left w:w="108" w:type="dxa"/>
              <w:bottom w:w="0" w:type="dxa"/>
              <w:right w:w="108" w:type="dxa"/>
            </w:tcMar>
            <w:vAlign w:val="center"/>
          </w:tcPr>
          <w:p w14:paraId="0DEDD75B">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000000"/>
                <w:kern w:val="0"/>
                <w:sz w:val="20"/>
                <w:szCs w:val="20"/>
                <w:lang w:val="en-US" w:eastAsia="zh-CN" w:bidi="ar"/>
              </w:rPr>
              <w:t>总计</w:t>
            </w:r>
          </w:p>
        </w:tc>
        <w:tc>
          <w:tcPr>
            <w:tcW w:w="520" w:type="dxa"/>
            <w:noWrap w:val="0"/>
            <w:tcMar>
              <w:top w:w="0" w:type="dxa"/>
              <w:left w:w="108" w:type="dxa"/>
              <w:bottom w:w="0" w:type="dxa"/>
              <w:right w:w="108" w:type="dxa"/>
            </w:tcMar>
            <w:vAlign w:val="center"/>
          </w:tcPr>
          <w:p w14:paraId="4C114A91">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p w14:paraId="0B00FD9F">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维持</w:t>
            </w:r>
          </w:p>
        </w:tc>
        <w:tc>
          <w:tcPr>
            <w:tcW w:w="520" w:type="dxa"/>
            <w:noWrap w:val="0"/>
            <w:tcMar>
              <w:top w:w="0" w:type="dxa"/>
              <w:left w:w="108" w:type="dxa"/>
              <w:bottom w:w="0" w:type="dxa"/>
              <w:right w:w="108" w:type="dxa"/>
            </w:tcMar>
            <w:vAlign w:val="center"/>
          </w:tcPr>
          <w:p w14:paraId="7E477C67">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结果</w:t>
            </w:r>
          </w:p>
          <w:p w14:paraId="69ABB99D">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纠正</w:t>
            </w:r>
          </w:p>
        </w:tc>
        <w:tc>
          <w:tcPr>
            <w:tcW w:w="520" w:type="dxa"/>
            <w:noWrap w:val="0"/>
            <w:tcMar>
              <w:top w:w="0" w:type="dxa"/>
              <w:left w:w="108" w:type="dxa"/>
              <w:bottom w:w="0" w:type="dxa"/>
              <w:right w:w="108" w:type="dxa"/>
            </w:tcMar>
            <w:vAlign w:val="center"/>
          </w:tcPr>
          <w:p w14:paraId="6239B51B">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000000"/>
                <w:kern w:val="0"/>
                <w:sz w:val="20"/>
                <w:szCs w:val="20"/>
                <w:lang w:val="en-US" w:eastAsia="zh-CN" w:bidi="ar"/>
              </w:rPr>
              <w:t>其他</w:t>
            </w:r>
          </w:p>
          <w:p w14:paraId="3F279F4F">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000000"/>
                <w:kern w:val="0"/>
                <w:sz w:val="20"/>
                <w:szCs w:val="20"/>
                <w:lang w:val="en-US" w:eastAsia="zh-CN" w:bidi="ar"/>
              </w:rPr>
              <w:t>结果</w:t>
            </w:r>
          </w:p>
        </w:tc>
        <w:tc>
          <w:tcPr>
            <w:tcW w:w="520" w:type="dxa"/>
            <w:noWrap w:val="0"/>
            <w:tcMar>
              <w:top w:w="0" w:type="dxa"/>
              <w:left w:w="108" w:type="dxa"/>
              <w:bottom w:w="0" w:type="dxa"/>
              <w:right w:w="108" w:type="dxa"/>
            </w:tcMar>
            <w:vAlign w:val="center"/>
          </w:tcPr>
          <w:p w14:paraId="2FF00493">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尚未</w:t>
            </w:r>
          </w:p>
          <w:p w14:paraId="64692BF2">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0"/>
                <w:szCs w:val="20"/>
                <w:lang w:val="en-US" w:eastAsia="zh-CN" w:bidi="ar"/>
              </w:rPr>
              <w:t>审结</w:t>
            </w:r>
          </w:p>
        </w:tc>
        <w:tc>
          <w:tcPr>
            <w:tcW w:w="525" w:type="dxa"/>
            <w:noWrap w:val="0"/>
            <w:tcMar>
              <w:top w:w="0" w:type="dxa"/>
              <w:left w:w="108" w:type="dxa"/>
              <w:bottom w:w="0" w:type="dxa"/>
              <w:right w:w="108" w:type="dxa"/>
            </w:tcMar>
            <w:vAlign w:val="center"/>
          </w:tcPr>
          <w:p w14:paraId="5AA24BE2">
            <w:pPr>
              <w:keepNext w:val="0"/>
              <w:keepLines w:val="0"/>
              <w:widowControl/>
              <w:suppressLineNumbers w:val="0"/>
              <w:suppressAutoHyphens/>
              <w:bidi w:val="0"/>
              <w:spacing w:before="0" w:beforeAutospacing="0" w:after="0" w:afterAutospacing="0"/>
              <w:ind w:left="0" w:right="0" w:firstLine="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000000"/>
                <w:kern w:val="0"/>
                <w:sz w:val="20"/>
                <w:szCs w:val="20"/>
                <w:lang w:val="en-US" w:eastAsia="zh-CN" w:bidi="ar"/>
              </w:rPr>
              <w:t>总计</w:t>
            </w:r>
          </w:p>
        </w:tc>
      </w:tr>
      <w:tr w14:paraId="1DB3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19" w:type="dxa"/>
            <w:noWrap w:val="0"/>
            <w:tcMar>
              <w:top w:w="0" w:type="dxa"/>
              <w:left w:w="108" w:type="dxa"/>
              <w:bottom w:w="0" w:type="dxa"/>
              <w:right w:w="108" w:type="dxa"/>
            </w:tcMar>
            <w:vAlign w:val="center"/>
          </w:tcPr>
          <w:p w14:paraId="47EBFEC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19" w:type="dxa"/>
            <w:noWrap w:val="0"/>
            <w:tcMar>
              <w:top w:w="0" w:type="dxa"/>
              <w:left w:w="108" w:type="dxa"/>
              <w:bottom w:w="0" w:type="dxa"/>
              <w:right w:w="108" w:type="dxa"/>
            </w:tcMar>
            <w:vAlign w:val="center"/>
          </w:tcPr>
          <w:p w14:paraId="1AB2B61F">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19" w:type="dxa"/>
            <w:noWrap w:val="0"/>
            <w:tcMar>
              <w:top w:w="0" w:type="dxa"/>
              <w:left w:w="108" w:type="dxa"/>
              <w:bottom w:w="0" w:type="dxa"/>
              <w:right w:w="108" w:type="dxa"/>
            </w:tcMar>
            <w:vAlign w:val="center"/>
          </w:tcPr>
          <w:p w14:paraId="4C27808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19" w:type="dxa"/>
            <w:noWrap w:val="0"/>
            <w:tcMar>
              <w:top w:w="0" w:type="dxa"/>
              <w:left w:w="108" w:type="dxa"/>
              <w:bottom w:w="0" w:type="dxa"/>
              <w:right w:w="108" w:type="dxa"/>
            </w:tcMar>
            <w:vAlign w:val="center"/>
          </w:tcPr>
          <w:p w14:paraId="391DFDA9">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4AF4764C">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19" w:type="dxa"/>
            <w:noWrap w:val="0"/>
            <w:tcMar>
              <w:top w:w="0" w:type="dxa"/>
              <w:left w:w="108" w:type="dxa"/>
              <w:bottom w:w="0" w:type="dxa"/>
              <w:right w:w="108" w:type="dxa"/>
            </w:tcMar>
            <w:vAlign w:val="center"/>
          </w:tcPr>
          <w:p w14:paraId="280ABB7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19" w:type="dxa"/>
            <w:noWrap w:val="0"/>
            <w:tcMar>
              <w:top w:w="0" w:type="dxa"/>
              <w:left w:w="108" w:type="dxa"/>
              <w:bottom w:w="0" w:type="dxa"/>
              <w:right w:w="108" w:type="dxa"/>
            </w:tcMar>
            <w:vAlign w:val="center"/>
          </w:tcPr>
          <w:p w14:paraId="435395E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0868E0FA">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7D92C70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5888702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4555B6A0">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47CE57D3">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50E063CD">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0" w:type="dxa"/>
            <w:noWrap w:val="0"/>
            <w:tcMar>
              <w:top w:w="0" w:type="dxa"/>
              <w:left w:w="108" w:type="dxa"/>
              <w:bottom w:w="0" w:type="dxa"/>
              <w:right w:w="108" w:type="dxa"/>
            </w:tcMar>
            <w:vAlign w:val="center"/>
          </w:tcPr>
          <w:p w14:paraId="0FD0B3D4">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525" w:type="dxa"/>
            <w:noWrap w:val="0"/>
            <w:tcMar>
              <w:top w:w="0" w:type="dxa"/>
              <w:left w:w="108" w:type="dxa"/>
              <w:bottom w:w="0" w:type="dxa"/>
              <w:right w:w="108" w:type="dxa"/>
            </w:tcMar>
            <w:vAlign w:val="center"/>
          </w:tcPr>
          <w:p w14:paraId="2E956B52">
            <w:pPr>
              <w:suppressAutoHyphens/>
              <w:bidi w:val="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r>
    </w:tbl>
    <w:p w14:paraId="3296F1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五、存在的主要问题及改进情况</w:t>
      </w:r>
    </w:p>
    <w:p w14:paraId="627996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根据市政务公开办202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年的各阶段反馈情况来看，</w:t>
      </w:r>
      <w:r>
        <w:rPr>
          <w:rFonts w:hint="eastAsia" w:ascii="Times New Roman" w:hAnsi="Times New Roman" w:eastAsia="方正仿宋_GBK" w:cs="方正仿宋_GBK"/>
          <w:sz w:val="32"/>
          <w:szCs w:val="32"/>
          <w:lang w:val="en-US" w:eastAsia="zh-CN"/>
        </w:rPr>
        <w:t>市</w:t>
      </w:r>
      <w:r>
        <w:rPr>
          <w:rFonts w:hint="eastAsia" w:ascii="Times New Roman" w:hAnsi="Times New Roman" w:eastAsia="方正仿宋_GBK" w:cs="方正仿宋_GBK"/>
          <w:sz w:val="32"/>
          <w:szCs w:val="32"/>
          <w:lang w:val="en-US" w:eastAsia="zh-CN"/>
        </w:rPr>
        <w:t>地震局政府信息公开工作总体上取得了积极进展，但与广大公众对地震相关信息需求相比，目前</w:t>
      </w:r>
      <w:r>
        <w:rPr>
          <w:rFonts w:hint="eastAsia" w:ascii="Times New Roman" w:hAnsi="Times New Roman" w:eastAsia="方正仿宋_GBK" w:cs="方正仿宋_GBK"/>
          <w:sz w:val="32"/>
          <w:szCs w:val="32"/>
          <w:lang w:val="en-US" w:eastAsia="zh-CN"/>
        </w:rPr>
        <w:t>市地震局政府信息公开工作还有很大提升空间，主要表现在：一是防震减灾工作的社会关注度有限，开展意见征集效果有待提升；二是主动回应发布同步性有待提高，微信和微博等新媒体的宣传传播作用发挥不够充分，政府信息公开工作精细化程度有待加强。</w:t>
      </w:r>
    </w:p>
    <w:p w14:paraId="1356B1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下一步</w:t>
      </w:r>
      <w:r>
        <w:rPr>
          <w:rFonts w:hint="eastAsia" w:ascii="Times New Roman" w:hAnsi="Times New Roman" w:eastAsia="方正仿宋_GBK" w:cs="方正仿宋_GBK"/>
          <w:sz w:val="32"/>
          <w:szCs w:val="32"/>
          <w:lang w:val="en-US" w:eastAsia="zh-CN"/>
        </w:rPr>
        <w:t>市地震</w:t>
      </w:r>
      <w:r>
        <w:rPr>
          <w:rFonts w:hint="eastAsia" w:ascii="Times New Roman" w:hAnsi="Times New Roman" w:eastAsia="方正仿宋_GBK" w:cs="方正仿宋_GBK"/>
          <w:sz w:val="32"/>
          <w:szCs w:val="32"/>
          <w:lang w:val="en-US" w:eastAsia="zh-CN"/>
        </w:rPr>
        <w:t>局将</w:t>
      </w:r>
      <w:r>
        <w:rPr>
          <w:rFonts w:hint="eastAsia" w:ascii="Times New Roman" w:hAnsi="Times New Roman" w:eastAsia="方正仿宋_GBK" w:cs="方正仿宋_GBK"/>
          <w:sz w:val="32"/>
          <w:szCs w:val="32"/>
          <w:lang w:val="en-US" w:eastAsia="zh-CN"/>
        </w:rPr>
        <w:t>继续</w:t>
      </w:r>
      <w:r>
        <w:rPr>
          <w:rFonts w:hint="eastAsia" w:ascii="Times New Roman" w:hAnsi="Times New Roman" w:eastAsia="方正仿宋_GBK" w:cs="方正仿宋_GBK"/>
          <w:sz w:val="32"/>
          <w:szCs w:val="32"/>
          <w:lang w:val="en-US" w:eastAsia="zh-CN"/>
        </w:rPr>
        <w:t>加强宣传教育</w:t>
      </w:r>
      <w:r>
        <w:rPr>
          <w:rFonts w:hint="eastAsia" w:ascii="Times New Roman" w:hAnsi="Times New Roman" w:eastAsia="方正仿宋_GBK" w:cs="方正仿宋_GBK"/>
          <w:sz w:val="32"/>
          <w:szCs w:val="32"/>
          <w:lang w:val="en-US" w:eastAsia="zh-CN"/>
        </w:rPr>
        <w:t>。一是定期组织防震减灾主题宣传活动，如防震减灾知识讲座、科普展览、应急演练等，走进社区、学校、企业、农村等，提高防震减灾工作宣传的覆盖面和参与度</w:t>
      </w:r>
      <w:r>
        <w:rPr>
          <w:rFonts w:hint="eastAsia" w:ascii="Times New Roman" w:hAnsi="Times New Roman" w:eastAsia="方正仿宋_GBK" w:cs="方正仿宋_GBK"/>
          <w:sz w:val="32"/>
          <w:szCs w:val="32"/>
          <w:lang w:val="en-US" w:eastAsia="zh-CN"/>
        </w:rPr>
        <w:t>。二是切实发挥</w:t>
      </w:r>
      <w:r>
        <w:rPr>
          <w:rFonts w:hint="eastAsia" w:ascii="Times New Roman" w:hAnsi="Times New Roman" w:eastAsia="方正仿宋_GBK" w:cs="方正仿宋_GBK"/>
          <w:sz w:val="32"/>
          <w:szCs w:val="32"/>
          <w:lang w:val="en-US" w:eastAsia="zh-CN"/>
        </w:rPr>
        <w:t>官方微信、</w:t>
      </w:r>
      <w:r>
        <w:rPr>
          <w:rFonts w:hint="eastAsia" w:ascii="Times New Roman" w:hAnsi="Times New Roman" w:eastAsia="方正仿宋_GBK" w:cs="方正仿宋_GBK"/>
          <w:sz w:val="32"/>
          <w:szCs w:val="32"/>
          <w:lang w:val="en-US" w:eastAsia="zh-CN"/>
        </w:rPr>
        <w:t>网站</w:t>
      </w:r>
      <w:r>
        <w:rPr>
          <w:rFonts w:hint="eastAsia" w:ascii="Times New Roman" w:hAnsi="Times New Roman" w:eastAsia="方正仿宋_GBK" w:cs="方正仿宋_GBK"/>
          <w:sz w:val="32"/>
          <w:szCs w:val="32"/>
          <w:lang w:val="en-US" w:eastAsia="zh-CN"/>
        </w:rPr>
        <w:t>等</w:t>
      </w:r>
      <w:r>
        <w:rPr>
          <w:rFonts w:hint="eastAsia" w:ascii="Times New Roman" w:hAnsi="Times New Roman" w:eastAsia="方正仿宋_GBK" w:cs="方正仿宋_GBK"/>
          <w:sz w:val="32"/>
          <w:szCs w:val="32"/>
          <w:lang w:val="en-US" w:eastAsia="zh-CN"/>
        </w:rPr>
        <w:t>新媒体的传播优势，围绕社会公众关心关注的防震减灾热点</w:t>
      </w:r>
      <w:r>
        <w:rPr>
          <w:rFonts w:hint="eastAsia" w:ascii="Times New Roman" w:hAnsi="Times New Roman" w:eastAsia="方正仿宋_GBK" w:cs="方正仿宋_GBK"/>
          <w:sz w:val="32"/>
          <w:szCs w:val="32"/>
          <w:lang w:val="en-US" w:eastAsia="zh-CN"/>
        </w:rPr>
        <w:t>加强信息公开和回应力度。</w:t>
      </w:r>
    </w:p>
    <w:p w14:paraId="6B755D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六、其他需要报告的事项</w:t>
      </w:r>
    </w:p>
    <w:p w14:paraId="6DA005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按照《国务院办公厅关于印发〈政府信息公开信息处理费管理办法〉的通知》（国办函〔2020〕109号）规定的按件、按量收费标准，本年度没有产生信息公开处理费</w:t>
      </w:r>
      <w:r>
        <w:rPr>
          <w:rFonts w:hint="eastAsia" w:ascii="Times New Roman" w:hAnsi="Times New Roman" w:eastAsia="方正仿宋_GBK" w:cs="方正仿宋_GBK"/>
          <w:sz w:val="32"/>
          <w:szCs w:val="32"/>
          <w:lang w:val="en-US" w:eastAsia="zh-CN"/>
        </w:rPr>
        <w:t>。</w:t>
      </w:r>
    </w:p>
    <w:sectPr>
      <w:pgSz w:w="11906" w:h="16838"/>
      <w:pgMar w:top="1962" w:right="1474" w:bottom="1848"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formatting="1" w:enforcement="1" w:cryptProviderType="rsaFull" w:cryptAlgorithmClass="hash" w:cryptAlgorithmType="typeAny" w:cryptAlgorithmSid="4" w:cryptSpinCount="0" w:hash="Wff5FcoiKxBpSfdRhgYvAKkdZqk=" w:salt="zzHVkZpPDtF8SkU6CrbrU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961A2"/>
    <w:rsid w:val="1F5A11FF"/>
    <w:rsid w:val="2249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2025-01-21T08:17:00Z</dcterms:created>
  <dc:creator>随意吧</dc:creator>
  <cp:lastModifiedBy>随意吧</cp:lastModifiedBy>
  <dcterms:modified xsi:type="dcterms:W3CDTF">2025-01-21T08:22:25Z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FE9BD3A3943F4E7FAF0488F5B435932F_11</vt:lpwstr>
  </property>
  <property fmtid="{D5CDD505-2E9C-101B-9397-08002B2CF9AE}" pid="4" name="KSOTemplateDocerSaveRecord">
    <vt:lpwstr>eyJoZGlkIjoiZjNjNjE1MWMzNmQxOGJlNDRkNGM4OGI3NDQ2Yjk3Y2IiLCJ1c2VySWQiOiIzMzA5NTk4MjcifQ==</vt:lpwstr>
  </property>
</Properties>
</file>