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F44A">
      <w:pPr>
        <w:keepNext w:val="0"/>
        <w:keepLines w:val="0"/>
        <w:pageBreakBefore w:val="0"/>
        <w:widowControl w:val="0"/>
        <w:suppressAutoHyphens/>
        <w:kinsoku/>
        <w:wordWrap/>
        <w:overflowPunct/>
        <w:topLinePunct w:val="0"/>
        <w:autoSpaceDE/>
        <w:autoSpaceDN/>
        <w:bidi w:val="0"/>
        <w:adjustRightInd/>
        <w:snapToGrid w:val="0"/>
        <w:spacing w:after="0" w:line="560" w:lineRule="exact"/>
        <w:jc w:val="left"/>
        <w:textAlignment w:val="auto"/>
        <w:rPr>
          <w:rFonts w:hint="eastAsia" w:ascii="黑体" w:hAnsi="Calibri" w:eastAsia="黑体" w:cs="黑体"/>
          <w:color w:val="auto"/>
          <w:kern w:val="2"/>
          <w:sz w:val="32"/>
          <w:szCs w:val="32"/>
          <w:highlight w:val="none"/>
          <w:lang w:val="en-US" w:eastAsia="zh-CN" w:bidi="ar-SA"/>
        </w:rPr>
      </w:pPr>
      <w:bookmarkStart w:id="1" w:name="_GoBack"/>
      <w:bookmarkEnd w:id="1"/>
      <w:r>
        <w:rPr>
          <w:rFonts w:hint="eastAsia" w:ascii="黑体" w:hAnsi="Calibri" w:eastAsia="黑体" w:cs="黑体"/>
          <w:color w:val="auto"/>
          <w:kern w:val="2"/>
          <w:sz w:val="32"/>
          <w:szCs w:val="32"/>
          <w:highlight w:val="none"/>
          <w:lang w:val="en-US" w:eastAsia="zh-CN" w:bidi="ar-SA"/>
        </w:rPr>
        <w:t>附件2</w:t>
      </w:r>
    </w:p>
    <w:p w14:paraId="1D1A9A4C">
      <w:pPr>
        <w:pStyle w:val="13"/>
        <w:keepNext w:val="0"/>
        <w:keepLines w:val="0"/>
        <w:pageBreakBefore w:val="0"/>
        <w:widowControl w:val="0"/>
        <w:kinsoku/>
        <w:wordWrap/>
        <w:overflowPunct/>
        <w:topLinePunct w:val="0"/>
        <w:autoSpaceDE/>
        <w:autoSpaceDN/>
        <w:bidi w:val="0"/>
        <w:spacing w:before="0" w:beforeAutospacing="0" w:after="0" w:line="560" w:lineRule="exact"/>
        <w:ind w:left="0" w:leftChars="0" w:firstLine="640" w:firstLineChars="200"/>
        <w:jc w:val="left"/>
        <w:textAlignment w:val="auto"/>
        <w:rPr>
          <w:rFonts w:hint="eastAsia"/>
          <w:lang w:eastAsia="zh-Hans"/>
        </w:rPr>
      </w:pPr>
    </w:p>
    <w:p w14:paraId="54CFC36D">
      <w:pPr>
        <w:keepNext w:val="0"/>
        <w:keepLines w:val="0"/>
        <w:pageBreakBefore w:val="0"/>
        <w:widowControl w:val="0"/>
        <w:kinsoku/>
        <w:wordWrap/>
        <w:overflowPunct/>
        <w:topLinePunct w:val="0"/>
        <w:autoSpaceDE/>
        <w:autoSpaceDN/>
        <w:bidi w:val="0"/>
        <w:spacing w:beforeAutospacing="0" w:line="560" w:lineRule="exact"/>
        <w:jc w:val="center"/>
        <w:textAlignment w:val="auto"/>
        <w:rPr>
          <w:rFonts w:hint="eastAsia" w:ascii="方正小标宋简体" w:eastAsia="方正小标宋简体"/>
          <w:color w:val="000000"/>
          <w:spacing w:val="-6"/>
          <w:kern w:val="0"/>
          <w:sz w:val="44"/>
          <w:szCs w:val="44"/>
        </w:rPr>
      </w:pPr>
      <w:bookmarkStart w:id="0" w:name="_Toc110514093"/>
      <w:r>
        <w:rPr>
          <w:rFonts w:hint="eastAsia" w:ascii="方正小标宋简体" w:eastAsia="方正小标宋简体"/>
          <w:color w:val="000000"/>
          <w:spacing w:val="-6"/>
          <w:kern w:val="0"/>
          <w:sz w:val="44"/>
          <w:szCs w:val="44"/>
        </w:rPr>
        <w:t>关于《</w:t>
      </w:r>
      <w:r>
        <w:rPr>
          <w:rFonts w:hint="eastAsia" w:ascii="方正小标宋简体" w:eastAsia="方正小标宋简体"/>
          <w:color w:val="000000"/>
          <w:spacing w:val="-6"/>
          <w:kern w:val="0"/>
          <w:sz w:val="44"/>
          <w:szCs w:val="44"/>
          <w:lang w:val="en-US" w:eastAsia="zh-CN"/>
        </w:rPr>
        <w:t>淮南</w:t>
      </w:r>
      <w:r>
        <w:rPr>
          <w:rFonts w:hint="eastAsia" w:ascii="方正小标宋简体" w:eastAsia="方正小标宋简体"/>
          <w:color w:val="000000"/>
          <w:spacing w:val="-6"/>
          <w:kern w:val="0"/>
          <w:sz w:val="44"/>
          <w:szCs w:val="44"/>
        </w:rPr>
        <w:t>市城市</w:t>
      </w:r>
      <w:r>
        <w:rPr>
          <w:rFonts w:hint="eastAsia" w:ascii="方正小标宋简体" w:eastAsia="方正小标宋简体"/>
          <w:color w:val="000000"/>
          <w:spacing w:val="-6"/>
          <w:kern w:val="0"/>
          <w:sz w:val="44"/>
          <w:szCs w:val="44"/>
          <w:lang w:val="en-US" w:eastAsia="zh-CN"/>
        </w:rPr>
        <w:t>更新条例</w:t>
      </w:r>
      <w:r>
        <w:rPr>
          <w:rFonts w:hint="eastAsia" w:ascii="方正小标宋简体" w:eastAsia="方正小标宋简体"/>
          <w:color w:val="000000"/>
          <w:spacing w:val="-6"/>
          <w:kern w:val="0"/>
          <w:sz w:val="44"/>
          <w:szCs w:val="44"/>
        </w:rPr>
        <w:t>（草案</w:t>
      </w:r>
      <w:r>
        <w:rPr>
          <w:rFonts w:hint="eastAsia" w:ascii="方正小标宋简体" w:eastAsia="方正小标宋简体"/>
          <w:color w:val="000000"/>
          <w:spacing w:val="-6"/>
          <w:kern w:val="0"/>
          <w:sz w:val="44"/>
          <w:szCs w:val="44"/>
          <w:lang w:eastAsia="zh-CN"/>
        </w:rPr>
        <w:t>征求意见稿</w:t>
      </w:r>
      <w:r>
        <w:rPr>
          <w:rFonts w:hint="eastAsia" w:ascii="方正小标宋简体" w:eastAsia="方正小标宋简体"/>
          <w:color w:val="000000"/>
          <w:spacing w:val="-6"/>
          <w:kern w:val="0"/>
          <w:sz w:val="44"/>
          <w:szCs w:val="44"/>
        </w:rPr>
        <w:t>）》</w:t>
      </w:r>
    </w:p>
    <w:p w14:paraId="5B4A97C5">
      <w:pPr>
        <w:keepNext w:val="0"/>
        <w:keepLines w:val="0"/>
        <w:pageBreakBefore w:val="0"/>
        <w:widowControl w:val="0"/>
        <w:kinsoku/>
        <w:wordWrap/>
        <w:overflowPunct/>
        <w:topLinePunct w:val="0"/>
        <w:autoSpaceDE/>
        <w:autoSpaceDN/>
        <w:bidi w:val="0"/>
        <w:spacing w:beforeAutospacing="0" w:line="560" w:lineRule="exact"/>
        <w:jc w:val="center"/>
        <w:textAlignment w:val="auto"/>
        <w:rPr>
          <w:rFonts w:hint="eastAsia" w:ascii="方正小标宋简体" w:eastAsia="方正小标宋简体"/>
          <w:color w:val="000000"/>
          <w:kern w:val="0"/>
          <w:sz w:val="44"/>
          <w:szCs w:val="44"/>
        </w:rPr>
      </w:pPr>
      <w:r>
        <w:rPr>
          <w:rFonts w:hint="eastAsia" w:ascii="方正小标宋简体" w:eastAsia="方正小标宋简体"/>
          <w:color w:val="000000"/>
          <w:spacing w:val="-6"/>
          <w:kern w:val="0"/>
          <w:sz w:val="44"/>
          <w:szCs w:val="44"/>
        </w:rPr>
        <w:t>的起草</w:t>
      </w:r>
      <w:r>
        <w:rPr>
          <w:rFonts w:hint="eastAsia" w:ascii="方正小标宋简体" w:eastAsia="方正小标宋简体"/>
          <w:color w:val="000000"/>
          <w:kern w:val="0"/>
          <w:sz w:val="44"/>
          <w:szCs w:val="44"/>
        </w:rPr>
        <w:t>说明</w:t>
      </w:r>
      <w:bookmarkEnd w:id="0"/>
    </w:p>
    <w:p w14:paraId="3866C362">
      <w:pPr>
        <w:keepNext w:val="0"/>
        <w:keepLines w:val="0"/>
        <w:pageBreakBefore w:val="0"/>
        <w:kinsoku/>
        <w:wordWrap/>
        <w:overflowPunct/>
        <w:autoSpaceDE/>
        <w:autoSpaceDN/>
        <w:bidi w:val="0"/>
        <w:spacing w:beforeAutospacing="0" w:line="560" w:lineRule="exact"/>
        <w:ind w:firstLine="640" w:firstLineChars="200"/>
        <w:textAlignment w:val="auto"/>
        <w:rPr>
          <w:rFonts w:eastAsia="仿宋_GB2312"/>
          <w:bCs/>
          <w:snapToGrid w:val="0"/>
          <w:kern w:val="0"/>
          <w:sz w:val="32"/>
          <w:szCs w:val="32"/>
        </w:rPr>
      </w:pPr>
    </w:p>
    <w:p w14:paraId="1502358C">
      <w:pPr>
        <w:pStyle w:val="6"/>
        <w:keepNext w:val="0"/>
        <w:keepLines w:val="0"/>
        <w:pageBreakBefore w:val="0"/>
        <w:widowControl w:val="0"/>
        <w:kinsoku/>
        <w:wordWrap/>
        <w:topLinePunct w:val="0"/>
        <w:autoSpaceDE/>
        <w:autoSpaceDN/>
        <w:bidi w:val="0"/>
        <w:adjustRightInd/>
        <w:snapToGrid w:val="0"/>
        <w:spacing w:line="56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现对《淮南市城市更新条例（草案</w:t>
      </w:r>
      <w:r>
        <w:rPr>
          <w:rFonts w:hint="eastAsia" w:ascii="仿宋_GB2312" w:hAnsi="仿宋_GB2312" w:cs="仿宋_GB2312"/>
          <w:sz w:val="32"/>
          <w:szCs w:val="32"/>
          <w:lang w:eastAsia="zh-CN"/>
        </w:rPr>
        <w:t>征求意见</w:t>
      </w:r>
      <w:r>
        <w:rPr>
          <w:rFonts w:hint="eastAsia" w:ascii="仿宋_GB2312" w:hAnsi="仿宋_GB2312" w:eastAsia="仿宋_GB2312" w:cs="仿宋_GB2312"/>
          <w:sz w:val="32"/>
          <w:szCs w:val="32"/>
        </w:rPr>
        <w:t>稿）》作如下</w:t>
      </w:r>
      <w:r>
        <w:rPr>
          <w:rFonts w:hint="eastAsia" w:ascii="仿宋_GB2312" w:hAnsi="仿宋_GB2312" w:cs="仿宋_GB2312"/>
          <w:sz w:val="32"/>
          <w:szCs w:val="32"/>
          <w:lang w:val="en-US" w:eastAsia="zh-CN"/>
        </w:rPr>
        <w:t>起草</w:t>
      </w:r>
      <w:r>
        <w:rPr>
          <w:rFonts w:hint="eastAsia" w:ascii="仿宋_GB2312" w:hAnsi="仿宋_GB2312" w:eastAsia="仿宋_GB2312" w:cs="仿宋_GB2312"/>
          <w:sz w:val="32"/>
          <w:szCs w:val="32"/>
        </w:rPr>
        <w:t>说明：</w:t>
      </w:r>
    </w:p>
    <w:p w14:paraId="10CCF735">
      <w:pPr>
        <w:keepNext w:val="0"/>
        <w:keepLines w:val="0"/>
        <w:pageBreakBefore w:val="0"/>
        <w:widowControl w:val="0"/>
        <w:kinsoku/>
        <w:wordWrap/>
        <w:topLinePunct w:val="0"/>
        <w:autoSpaceDE/>
        <w:autoSpaceDN/>
        <w:bidi w:val="0"/>
        <w:adjustRightInd/>
        <w:snapToGrid w:val="0"/>
        <w:spacing w:line="560" w:lineRule="exact"/>
        <w:ind w:firstLine="640" w:firstLineChars="200"/>
        <w:jc w:val="left"/>
        <w:textAlignment w:val="center"/>
        <w:rPr>
          <w:rFonts w:ascii="黑体" w:hAnsi="黑体" w:eastAsia="黑体" w:cs="黑体"/>
          <w:sz w:val="32"/>
          <w:szCs w:val="32"/>
        </w:rPr>
      </w:pPr>
      <w:r>
        <w:rPr>
          <w:rFonts w:hint="eastAsia" w:ascii="黑体" w:hAnsi="黑体" w:eastAsia="黑体" w:cs="黑体"/>
          <w:sz w:val="32"/>
          <w:szCs w:val="32"/>
        </w:rPr>
        <w:t>一、</w:t>
      </w:r>
      <w:r>
        <w:rPr>
          <w:rFonts w:hint="eastAsia" w:eastAsia="黑体"/>
          <w:sz w:val="32"/>
          <w:szCs w:val="32"/>
          <w:lang w:val="en-US" w:eastAsia="zh-CN"/>
        </w:rPr>
        <w:t>立法</w:t>
      </w:r>
      <w:r>
        <w:rPr>
          <w:rFonts w:hint="eastAsia" w:ascii="黑体" w:hAnsi="黑体" w:eastAsia="黑体" w:cs="黑体"/>
          <w:sz w:val="32"/>
          <w:szCs w:val="32"/>
        </w:rPr>
        <w:t>的必要性</w:t>
      </w:r>
    </w:p>
    <w:p w14:paraId="22345A56">
      <w:pPr>
        <w:keepNext w:val="0"/>
        <w:keepLines w:val="0"/>
        <w:pageBreakBefore w:val="0"/>
        <w:widowControl w:val="0"/>
        <w:kinsoku/>
        <w:wordWrap/>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（一）是落实党和国家战略部署，实施城市更新行动的需要</w:t>
      </w:r>
    </w:p>
    <w:p w14:paraId="4D7A63EB">
      <w:pPr>
        <w:pStyle w:val="2"/>
        <w:keepNext w:val="0"/>
        <w:keepLines w:val="0"/>
        <w:pageBreakBefore w:val="0"/>
        <w:widowControl w:val="0"/>
        <w:shd w:val="clear" w:color="auto" w:fill="FFFFFF"/>
        <w:kinsoku/>
        <w:wordWrap/>
        <w:topLinePunct w:val="0"/>
        <w:autoSpaceDE/>
        <w:autoSpaceDN/>
        <w:bidi w:val="0"/>
        <w:adjustRightInd/>
        <w:snapToGrid w:val="0"/>
        <w:spacing w:beforeAutospacing="0" w:afterAutospacing="0"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val="0"/>
          <w:kern w:val="2"/>
          <w:sz w:val="32"/>
          <w:szCs w:val="32"/>
        </w:rPr>
        <w:t>2020年</w:t>
      </w:r>
      <w:r>
        <w:rPr>
          <w:rFonts w:hint="eastAsia" w:ascii="仿宋_GB2312" w:hAnsi="仿宋_GB2312" w:eastAsia="仿宋_GB2312" w:cs="仿宋_GB2312"/>
          <w:b w:val="0"/>
          <w:kern w:val="2"/>
          <w:sz w:val="32"/>
          <w:szCs w:val="32"/>
          <w:lang w:eastAsia="zh-CN"/>
        </w:rPr>
        <w:t>，</w:t>
      </w:r>
      <w:r>
        <w:rPr>
          <w:rFonts w:hint="eastAsia" w:ascii="仿宋_GB2312" w:hAnsi="仿宋_GB2312" w:eastAsia="仿宋_GB2312" w:cs="仿宋_GB2312"/>
          <w:b w:val="0"/>
          <w:kern w:val="2"/>
          <w:sz w:val="32"/>
          <w:szCs w:val="32"/>
        </w:rPr>
        <w:t>党的十九届五中全会通过的《中共中央关于制定国民经济和社会发展第十四个五年规划和二〇三五年远景目标的建议》，提出实施城市更新行动。党的二十大报告明确指出：“实施城市更新行动，加强城市基础设施建设，打造宜居、韧性、智慧城市。”实施城市更新行动，对提升城市品质、满足人民群众美好生活需要、推动城市高质量发展具有重要意义。实施城市更新是党和国家的重要决策部署，是推动城市高质量发展的重大战略。2025年5月《中共中央办公厅国务院办公厅关于持续推进城市更新行动的意见》中明确要求要建立健全可持续的城市更新机制。</w:t>
      </w:r>
    </w:p>
    <w:p w14:paraId="6B57FD91">
      <w:pPr>
        <w:keepNext w:val="0"/>
        <w:keepLines w:val="0"/>
        <w:pageBreakBefore w:val="0"/>
        <w:widowControl w:val="0"/>
        <w:kinsoku/>
        <w:wordWrap/>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（二）是提炼固化更新实践经验，</w:t>
      </w:r>
      <w:r>
        <w:rPr>
          <w:rFonts w:hint="eastAsia" w:ascii="仿宋_GB2312" w:hAnsi="仿宋_GB2312" w:eastAsia="仿宋_GB2312" w:cs="仿宋_GB2312"/>
          <w:b/>
          <w:bCs/>
          <w:sz w:val="32"/>
          <w:szCs w:val="32"/>
          <w:lang w:val="en-US" w:eastAsia="zh-CN"/>
        </w:rPr>
        <w:t>促进高质量发展</w:t>
      </w:r>
      <w:r>
        <w:rPr>
          <w:rFonts w:hint="eastAsia" w:ascii="仿宋_GB2312" w:hAnsi="仿宋_GB2312" w:eastAsia="仿宋_GB2312" w:cs="仿宋_GB2312"/>
          <w:b/>
          <w:bCs/>
          <w:sz w:val="32"/>
          <w:szCs w:val="32"/>
        </w:rPr>
        <w:t>的需要</w:t>
      </w:r>
    </w:p>
    <w:p w14:paraId="2D7D17DD">
      <w:pPr>
        <w:keepNext w:val="0"/>
        <w:keepLines w:val="0"/>
        <w:pageBreakBefore w:val="0"/>
        <w:widowControl w:val="0"/>
        <w:kinsoku/>
        <w:wordWrap/>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我市是全国较早实施</w:t>
      </w:r>
      <w:r>
        <w:rPr>
          <w:rFonts w:hint="eastAsia" w:ascii="仿宋_GB2312" w:hAnsi="仿宋_GB2312" w:eastAsia="仿宋_GB2312" w:cs="仿宋_GB2312"/>
          <w:sz w:val="32"/>
          <w:szCs w:val="32"/>
          <w:lang w:val="en-US" w:eastAsia="zh-CN"/>
        </w:rPr>
        <w:t>城市更新</w:t>
      </w:r>
      <w:r>
        <w:rPr>
          <w:rFonts w:hint="eastAsia" w:ascii="仿宋_GB2312" w:hAnsi="仿宋_GB2312" w:eastAsia="仿宋_GB2312" w:cs="仿宋_GB2312"/>
          <w:sz w:val="32"/>
          <w:szCs w:val="32"/>
        </w:rPr>
        <w:t>改造的资源型城市，工业底蕴深厚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经过多年探索实践，逐步积累丰富的城市更新经验，制定出台了一系列政策文件。</w:t>
      </w:r>
      <w:r>
        <w:rPr>
          <w:rFonts w:hint="eastAsia" w:ascii="仿宋_GB2312" w:hAnsi="仿宋_GB2312" w:eastAsia="仿宋_GB2312" w:cs="仿宋_GB2312"/>
          <w:sz w:val="32"/>
          <w:szCs w:val="32"/>
          <w:lang w:val="en-US" w:eastAsia="zh-CN"/>
        </w:rPr>
        <w:t>2018年6月，出台</w:t>
      </w:r>
      <w:r>
        <w:rPr>
          <w:rFonts w:hint="eastAsia" w:ascii="仿宋_GB2312" w:hAnsi="仿宋_GB2312" w:eastAsia="仿宋_GB2312" w:cs="仿宋_GB2312"/>
          <w:sz w:val="32"/>
          <w:szCs w:val="32"/>
        </w:rPr>
        <w:t>淮南市采煤塌陷地治理条例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2024年4月，出台</w:t>
      </w:r>
      <w:r>
        <w:rPr>
          <w:rFonts w:hint="eastAsia" w:ascii="仿宋_GB2312" w:hAnsi="仿宋_GB2312" w:eastAsia="仿宋_GB2312" w:cs="仿宋_GB2312"/>
          <w:sz w:val="32"/>
          <w:szCs w:val="32"/>
        </w:rPr>
        <w:t>淮南市棚户区（城市危旧房）改造实施办法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 年</w:t>
      </w:r>
      <w:r>
        <w:rPr>
          <w:rFonts w:hint="eastAsia" w:ascii="仿宋_GB2312" w:hAnsi="仿宋_GB2312" w:eastAsia="仿宋_GB2312" w:cs="仿宋_GB2312"/>
          <w:sz w:val="32"/>
          <w:szCs w:val="32"/>
          <w:lang w:val="en-US" w:eastAsia="zh-CN"/>
        </w:rPr>
        <w:t>4月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淮南为国家低效用地再开发试点城市，为这座煤城盘活“沉睡”资源、推动转型注入关键动力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同步开展</w:t>
      </w:r>
      <w:r>
        <w:rPr>
          <w:rFonts w:hint="eastAsia" w:ascii="仿宋_GB2312" w:hAnsi="仿宋_GB2312" w:eastAsia="仿宋_GB2312" w:cs="仿宋_GB2312"/>
          <w:sz w:val="32"/>
          <w:szCs w:val="32"/>
        </w:rPr>
        <w:t>土地节约集约利用综合改革试点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2025年4月，出台</w:t>
      </w:r>
      <w:r>
        <w:rPr>
          <w:rFonts w:hint="eastAsia" w:ascii="仿宋_GB2312" w:hAnsi="仿宋_GB2312" w:eastAsia="仿宋_GB2312" w:cs="仿宋_GB2312"/>
          <w:sz w:val="32"/>
          <w:szCs w:val="32"/>
          <w:lang w:eastAsia="zh-CN"/>
        </w:rPr>
        <w:t>淮南市城市更新办法（试行）；</w:t>
      </w:r>
      <w:r>
        <w:rPr>
          <w:rFonts w:hint="eastAsia" w:ascii="仿宋_GB2312" w:hAnsi="仿宋_GB2312" w:eastAsia="仿宋_GB2312" w:cs="仿宋_GB2312"/>
          <w:sz w:val="32"/>
          <w:szCs w:val="32"/>
          <w:lang w:val="en-US" w:eastAsia="zh-CN"/>
        </w:rPr>
        <w:t>编制完成了</w:t>
      </w:r>
      <w:r>
        <w:rPr>
          <w:rFonts w:hint="eastAsia" w:ascii="仿宋_GB2312" w:hAnsi="仿宋_GB2312" w:eastAsia="仿宋_GB2312" w:cs="仿宋_GB2312"/>
          <w:sz w:val="32"/>
          <w:szCs w:val="32"/>
        </w:rPr>
        <w:t>淮南市城市更新专项规划（2025—2035 年）</w:t>
      </w:r>
      <w:r>
        <w:rPr>
          <w:rFonts w:hint="eastAsia" w:ascii="仿宋_GB2312" w:hAnsi="仿宋_GB2312" w:eastAsia="仿宋_GB2312" w:cs="仿宋_GB2312"/>
          <w:sz w:val="32"/>
          <w:szCs w:val="32"/>
          <w:lang w:val="en-US" w:eastAsia="zh-CN"/>
        </w:rPr>
        <w:t>。各种政策</w:t>
      </w:r>
      <w:r>
        <w:rPr>
          <w:rFonts w:hint="eastAsia" w:ascii="仿宋_GB2312" w:hAnsi="仿宋_GB2312" w:eastAsia="仿宋_GB2312" w:cs="仿宋_GB2312"/>
          <w:sz w:val="32"/>
          <w:szCs w:val="32"/>
        </w:rPr>
        <w:t>缺乏城市更新纲领性的</w:t>
      </w:r>
      <w:r>
        <w:rPr>
          <w:rFonts w:hint="eastAsia" w:ascii="仿宋_GB2312" w:hAnsi="仿宋_GB2312" w:eastAsia="仿宋_GB2312" w:cs="仿宋_GB2312"/>
          <w:sz w:val="32"/>
          <w:szCs w:val="32"/>
          <w:lang w:val="en-US" w:eastAsia="zh-CN"/>
        </w:rPr>
        <w:t>法规保障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亟需</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立法</w:t>
      </w:r>
      <w:r>
        <w:rPr>
          <w:rFonts w:hint="eastAsia" w:ascii="仿宋_GB2312" w:hAnsi="仿宋_GB2312" w:eastAsia="仿宋_GB2312" w:cs="仿宋_GB2312"/>
          <w:sz w:val="32"/>
          <w:szCs w:val="32"/>
        </w:rPr>
        <w:t>对现有政策措施和经验做法进行固化，将城市更新工作上升到法治层面，提升城市更新政策层次和效力，为城市更新工作的顺利推进提供法治保障。</w:t>
      </w:r>
    </w:p>
    <w:p w14:paraId="33094663">
      <w:pPr>
        <w:keepNext w:val="0"/>
        <w:keepLines w:val="0"/>
        <w:pageBreakBefore w:val="0"/>
        <w:widowControl w:val="0"/>
        <w:kinsoku/>
        <w:wordWrap/>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（三）是破除制度障碍，构建可持续城市更新模式的需要</w:t>
      </w:r>
    </w:p>
    <w:p w14:paraId="05DE1A49">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发展进入由大规模增量建设转向存量提质改造和增量结构调整并重的新阶段，一些体制机制问题亟需通过立法进行明确。规划层面，城市更新有关规划需要融入国土空间规划体系，明确其地位、层级、作用。实施层面，更新单元统筹主体与实施主体的法定地位、权利和义务有待厘清，公众和社会资本参与城市更新的路径有待明确；为持续推进城市更新，需要探索城市更新的市场化归集新模式。政策保障方面，当前规划建设管理制度主要适用建设工程竣工前的阶段，与存量资源更新改造相适应的政策有待完善。</w:t>
      </w:r>
    </w:p>
    <w:p w14:paraId="34A31F96">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城市更新工作的深入推进</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，一些深层问题和现实困难逐步显现，还存在</w:t>
      </w:r>
      <w:r>
        <w:rPr>
          <w:rFonts w:hint="eastAsia" w:ascii="仿宋_GB2312" w:hAnsi="仿宋_GB2312" w:eastAsia="仿宋_GB2312" w:cs="仿宋_GB2312"/>
          <w:sz w:val="32"/>
          <w:szCs w:val="32"/>
          <w:lang w:val="en-US" w:eastAsia="zh-CN"/>
        </w:rPr>
        <w:t>一些</w:t>
      </w:r>
      <w:r>
        <w:rPr>
          <w:rFonts w:hint="eastAsia" w:ascii="仿宋_GB2312" w:hAnsi="仿宋_GB2312" w:eastAsia="仿宋_GB2312" w:cs="仿宋_GB2312"/>
          <w:sz w:val="32"/>
          <w:szCs w:val="32"/>
        </w:rPr>
        <w:t>难点堵点，仅靠现有政策规定难以全盘破解。目前，天津、济南、苏州、武汉、郑州、宁波、合肥、马鞍山等多个城市已出台了城市更新条例，而我市城市更新尚无专项地方性法规，缺乏体系化制度化的政策支撑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亟需</w:t>
      </w:r>
      <w:r>
        <w:rPr>
          <w:rFonts w:hint="eastAsia" w:ascii="仿宋_GB2312" w:hAnsi="仿宋_GB2312" w:eastAsia="仿宋_GB2312" w:cs="仿宋_GB2312"/>
          <w:sz w:val="32"/>
          <w:szCs w:val="32"/>
        </w:rPr>
        <w:t>构建城市更新政策底板，为我市城市更新提供政策保障。</w:t>
      </w:r>
    </w:p>
    <w:p w14:paraId="0FF2206B">
      <w:pPr>
        <w:keepNext w:val="0"/>
        <w:keepLines w:val="0"/>
        <w:pageBreakBefore w:val="0"/>
        <w:widowControl w:val="0"/>
        <w:kinsoku/>
        <w:wordWrap/>
        <w:overflowPunct/>
        <w:autoSpaceDE/>
        <w:autoSpaceDN/>
        <w:bidi w:val="0"/>
        <w:adjustRightInd/>
        <w:snapToGrid w:val="0"/>
        <w:spacing w:beforeAutospacing="0" w:line="560" w:lineRule="exact"/>
        <w:ind w:firstLine="640" w:firstLineChars="200"/>
        <w:textAlignment w:val="auto"/>
        <w:rPr>
          <w:rFonts w:eastAsia="黑体"/>
          <w:sz w:val="32"/>
          <w:szCs w:val="32"/>
        </w:rPr>
      </w:pPr>
      <w:r>
        <w:rPr>
          <w:rFonts w:hint="eastAsia" w:eastAsia="黑体"/>
          <w:sz w:val="32"/>
          <w:szCs w:val="32"/>
          <w:lang w:val="en-US" w:eastAsia="zh-CN"/>
        </w:rPr>
        <w:t>二</w:t>
      </w:r>
      <w:r>
        <w:rPr>
          <w:rFonts w:eastAsia="黑体"/>
          <w:sz w:val="32"/>
          <w:szCs w:val="32"/>
        </w:rPr>
        <w:t>、</w:t>
      </w:r>
      <w:r>
        <w:rPr>
          <w:rFonts w:hint="eastAsia" w:eastAsia="黑体"/>
          <w:sz w:val="32"/>
          <w:szCs w:val="32"/>
        </w:rPr>
        <w:t>主要</w:t>
      </w:r>
      <w:r>
        <w:rPr>
          <w:rFonts w:eastAsia="黑体"/>
          <w:sz w:val="32"/>
          <w:szCs w:val="32"/>
        </w:rPr>
        <w:t>内容</w:t>
      </w:r>
    </w:p>
    <w:p w14:paraId="67135ACD">
      <w:pPr>
        <w:pStyle w:val="19"/>
        <w:keepNext w:val="0"/>
        <w:keepLines w:val="0"/>
        <w:pageBreakBefore w:val="0"/>
        <w:widowControl w:val="0"/>
        <w:kinsoku/>
        <w:wordWrap/>
        <w:overflowPunct/>
        <w:autoSpaceDE/>
        <w:autoSpaceDN/>
        <w:bidi w:val="0"/>
        <w:adjustRightInd/>
        <w:snapToGrid w:val="0"/>
        <w:spacing w:before="0" w:beforeAutospacing="0" w:after="0" w:line="56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草案共六章六十一条。</w:t>
      </w:r>
    </w:p>
    <w:p w14:paraId="676266F9">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第一章总则</w:t>
      </w:r>
      <w:r>
        <w:rPr>
          <w:rFonts w:hint="eastAsia" w:ascii="仿宋_GB2312" w:hAnsi="仿宋_GB2312" w:eastAsia="仿宋_GB2312" w:cs="仿宋_GB2312"/>
          <w:sz w:val="32"/>
          <w:szCs w:val="32"/>
          <w:lang w:val="en-US" w:eastAsia="zh-CN"/>
        </w:rPr>
        <w:t>，包括第一条至第九条，主要规定立法目的、适用范围、更新原则、政府职责、部门职责、物业权利人、公众参与、专家委员会、数字化应用等。</w:t>
      </w:r>
    </w:p>
    <w:p w14:paraId="47F20624">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第二章城市更新规划和计划</w:t>
      </w:r>
      <w:r>
        <w:rPr>
          <w:rFonts w:hint="eastAsia" w:ascii="仿宋_GB2312" w:hAnsi="仿宋_GB2312" w:eastAsia="仿宋_GB2312" w:cs="仿宋_GB2312"/>
          <w:sz w:val="32"/>
          <w:szCs w:val="32"/>
          <w:lang w:val="en-US" w:eastAsia="zh-CN"/>
        </w:rPr>
        <w:t>，包括第十条至第十六条，规定城市体检、专项规划、片区策划、项目实施方案、项目库、年度计划、城市设计等。</w:t>
      </w:r>
    </w:p>
    <w:p w14:paraId="6B338428">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第三章城市更新实施</w:t>
      </w:r>
      <w:r>
        <w:rPr>
          <w:rFonts w:hint="eastAsia" w:ascii="仿宋_GB2312" w:hAnsi="仿宋_GB2312" w:eastAsia="仿宋_GB2312" w:cs="仿宋_GB2312"/>
          <w:sz w:val="32"/>
          <w:szCs w:val="32"/>
          <w:lang w:val="en-US" w:eastAsia="zh-CN"/>
        </w:rPr>
        <w:t>，包括第十七条至第四十条，规定实施要求、城中村改造、保护传承历史文化、</w:t>
      </w:r>
      <w:r>
        <w:rPr>
          <w:rFonts w:hint="default" w:ascii="仿宋_GB2312" w:hAnsi="仿宋_GB2312" w:eastAsia="仿宋_GB2312" w:cs="仿宋_GB2312"/>
          <w:sz w:val="32"/>
          <w:szCs w:val="32"/>
          <w:lang w:val="en-US" w:eastAsia="zh-CN"/>
        </w:rPr>
        <w:t>工业遗产</w:t>
      </w:r>
      <w:r>
        <w:rPr>
          <w:rFonts w:hint="eastAsia" w:ascii="仿宋_GB2312" w:hAnsi="仿宋_GB2312" w:eastAsia="仿宋_GB2312" w:cs="仿宋_GB2312"/>
          <w:sz w:val="32"/>
          <w:szCs w:val="32"/>
          <w:lang w:val="en-US" w:eastAsia="zh-CN"/>
        </w:rPr>
        <w:t>保护、采煤沉陷区治理、片区统筹主体、项目实施主体、改造提升类、保护传承类、拆除新建类、综合开发类、</w:t>
      </w:r>
      <w:r>
        <w:rPr>
          <w:rFonts w:hint="default" w:ascii="仿宋_GB2312" w:hAnsi="仿宋_GB2312" w:eastAsia="仿宋_GB2312" w:cs="仿宋_GB2312"/>
          <w:sz w:val="32"/>
          <w:szCs w:val="32"/>
          <w:lang w:val="en-US" w:eastAsia="zh-CN"/>
        </w:rPr>
        <w:t>老旧住房自主更新</w:t>
      </w:r>
      <w:r>
        <w:rPr>
          <w:rFonts w:hint="eastAsia" w:ascii="仿宋_GB2312" w:hAnsi="仿宋_GB2312" w:eastAsia="仿宋_GB2312" w:cs="仿宋_GB2312"/>
          <w:sz w:val="32"/>
          <w:szCs w:val="32"/>
          <w:lang w:val="en-US" w:eastAsia="zh-CN"/>
        </w:rPr>
        <w:t>、优化不动产登记服务、</w:t>
      </w:r>
      <w:r>
        <w:rPr>
          <w:rFonts w:hint="default" w:ascii="仿宋_GB2312" w:hAnsi="仿宋_GB2312" w:eastAsia="仿宋_GB2312" w:cs="仿宋_GB2312"/>
          <w:sz w:val="32"/>
          <w:szCs w:val="32"/>
          <w:lang w:val="en-US" w:eastAsia="zh-CN"/>
        </w:rPr>
        <w:t>产权归集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未登记建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筑物处理</w:t>
      </w:r>
      <w:r>
        <w:rPr>
          <w:rFonts w:hint="eastAsia" w:ascii="仿宋_GB2312" w:hAnsi="仿宋_GB2312" w:eastAsia="仿宋_GB2312" w:cs="仿宋_GB2312"/>
          <w:sz w:val="32"/>
          <w:szCs w:val="32"/>
          <w:lang w:val="en-US" w:eastAsia="zh-CN"/>
        </w:rPr>
        <w:t>、片区规模统筹、审批流程简化、</w:t>
      </w:r>
      <w:r>
        <w:rPr>
          <w:rFonts w:hint="default" w:ascii="仿宋_GB2312" w:hAnsi="仿宋_GB2312" w:eastAsia="仿宋_GB2312" w:cs="仿宋_GB2312"/>
          <w:sz w:val="32"/>
          <w:szCs w:val="32"/>
          <w:lang w:val="en-US" w:eastAsia="zh-CN"/>
        </w:rPr>
        <w:t>施工图审查</w:t>
      </w:r>
      <w:r>
        <w:rPr>
          <w:rFonts w:hint="eastAsia" w:ascii="仿宋_GB2312" w:hAnsi="仿宋_GB2312" w:eastAsia="仿宋_GB2312" w:cs="仿宋_GB2312"/>
          <w:sz w:val="32"/>
          <w:szCs w:val="32"/>
          <w:lang w:val="en-US" w:eastAsia="zh-CN"/>
        </w:rPr>
        <w:t>、消防安全、</w:t>
      </w:r>
      <w:r>
        <w:rPr>
          <w:rFonts w:hint="default" w:ascii="仿宋_GB2312" w:hAnsi="仿宋_GB2312" w:eastAsia="仿宋_GB2312" w:cs="仿宋_GB2312"/>
          <w:sz w:val="32"/>
          <w:szCs w:val="32"/>
          <w:lang w:val="en-US" w:eastAsia="zh-CN"/>
        </w:rPr>
        <w:t>质量管理</w:t>
      </w:r>
      <w:r>
        <w:rPr>
          <w:rFonts w:hint="eastAsia" w:ascii="仿宋_GB2312" w:hAnsi="仿宋_GB2312" w:eastAsia="仿宋_GB2312" w:cs="仿宋_GB2312"/>
          <w:sz w:val="32"/>
          <w:szCs w:val="32"/>
          <w:lang w:val="en-US" w:eastAsia="zh-CN"/>
        </w:rPr>
        <w:t>、项目验收、</w:t>
      </w:r>
      <w:r>
        <w:rPr>
          <w:rFonts w:hint="default" w:ascii="仿宋_GB2312" w:hAnsi="仿宋_GB2312" w:eastAsia="仿宋_GB2312" w:cs="仿宋_GB2312"/>
          <w:sz w:val="32"/>
          <w:szCs w:val="32"/>
          <w:lang w:val="en-US" w:eastAsia="zh-CN"/>
        </w:rPr>
        <w:t>长效管理</w:t>
      </w:r>
      <w:r>
        <w:rPr>
          <w:rFonts w:hint="eastAsia" w:ascii="仿宋_GB2312" w:hAnsi="仿宋_GB2312" w:eastAsia="仿宋_GB2312" w:cs="仿宋_GB2312"/>
          <w:sz w:val="32"/>
          <w:szCs w:val="32"/>
          <w:lang w:val="en-US" w:eastAsia="zh-CN"/>
        </w:rPr>
        <w:t>、实施底线约束、实施评估等。</w:t>
      </w:r>
    </w:p>
    <w:p w14:paraId="2599EA7A">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第四章城市更新保障</w:t>
      </w:r>
      <w:r>
        <w:rPr>
          <w:rFonts w:hint="eastAsia" w:ascii="仿宋_GB2312" w:hAnsi="仿宋_GB2312" w:eastAsia="仿宋_GB2312" w:cs="仿宋_GB2312"/>
          <w:sz w:val="32"/>
          <w:szCs w:val="32"/>
          <w:lang w:val="en-US" w:eastAsia="zh-CN"/>
        </w:rPr>
        <w:t>，包括第四十一条至第五十六条，规定技术规范、</w:t>
      </w:r>
      <w:r>
        <w:rPr>
          <w:rFonts w:hint="default" w:ascii="仿宋_GB2312" w:hAnsi="仿宋_GB2312" w:eastAsia="仿宋_GB2312" w:cs="仿宋_GB2312"/>
          <w:sz w:val="32"/>
          <w:szCs w:val="32"/>
          <w:lang w:val="en-US" w:eastAsia="zh-CN"/>
        </w:rPr>
        <w:t>容积率</w:t>
      </w:r>
      <w:r>
        <w:rPr>
          <w:rFonts w:hint="eastAsia" w:ascii="仿宋_GB2312" w:hAnsi="仿宋_GB2312" w:eastAsia="仿宋_GB2312" w:cs="仿宋_GB2312"/>
          <w:sz w:val="32"/>
          <w:szCs w:val="32"/>
          <w:lang w:val="en-US" w:eastAsia="zh-CN"/>
        </w:rPr>
        <w:t>优化与奖励、</w:t>
      </w:r>
      <w:r>
        <w:rPr>
          <w:rFonts w:hint="default" w:ascii="仿宋_GB2312" w:hAnsi="仿宋_GB2312" w:eastAsia="仿宋_GB2312" w:cs="仿宋_GB2312"/>
          <w:sz w:val="32"/>
          <w:szCs w:val="32"/>
          <w:lang w:val="en-US" w:eastAsia="zh-CN"/>
        </w:rPr>
        <w:t>土地供应</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整合利用空间</w:t>
      </w:r>
      <w:r>
        <w:rPr>
          <w:rFonts w:hint="eastAsia" w:ascii="仿宋_GB2312" w:hAnsi="仿宋_GB2312" w:eastAsia="仿宋_GB2312" w:cs="仿宋_GB2312"/>
          <w:sz w:val="32"/>
          <w:szCs w:val="32"/>
          <w:lang w:val="en-US" w:eastAsia="zh-CN"/>
        </w:rPr>
        <w:t>、兼容、混合与功能转换、政府资金、社会资金、居民出资、财政贴息、过渡期支持政策、临时利用、土地使用年限、优化地价计收规则、工业上楼、提升配套比例、房屋安全管理等。</w:t>
      </w:r>
    </w:p>
    <w:p w14:paraId="55775269">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第五章监督管理</w:t>
      </w:r>
      <w:r>
        <w:rPr>
          <w:rFonts w:hint="eastAsia" w:ascii="仿宋_GB2312" w:hAnsi="仿宋_GB2312" w:eastAsia="仿宋_GB2312" w:cs="仿宋_GB2312"/>
          <w:sz w:val="32"/>
          <w:szCs w:val="32"/>
          <w:lang w:val="en-US" w:eastAsia="zh-CN"/>
        </w:rPr>
        <w:t>，包括第五十七条至第六十条，规定项目监督、工作人员责任、法律责任、转置条款等。</w:t>
      </w:r>
    </w:p>
    <w:p w14:paraId="1BA2D563">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第六章附则</w:t>
      </w:r>
      <w:r>
        <w:rPr>
          <w:rFonts w:hint="eastAsia" w:ascii="仿宋_GB2312" w:hAnsi="仿宋_GB2312" w:eastAsia="仿宋_GB2312" w:cs="仿宋_GB2312"/>
          <w:sz w:val="32"/>
          <w:szCs w:val="32"/>
          <w:lang w:val="en-US" w:eastAsia="zh-CN"/>
        </w:rPr>
        <w:t>，包括第六十一条，规定施行日期。</w:t>
      </w:r>
    </w:p>
    <w:p w14:paraId="0ED605DA">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lang w:val="en-US" w:eastAsia="zh-CN"/>
        </w:rPr>
      </w:pPr>
    </w:p>
    <w:sectPr>
      <w:footerReference r:id="rId3" w:type="default"/>
      <w:pgSz w:w="11906" w:h="16838"/>
      <w:pgMar w:top="170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A493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FA258">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9EFA258">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0ODkyNDVmODNhMTQ0ZTQ1NGRjMDEwMzI3ZGI1ZjQifQ=="/>
  </w:docVars>
  <w:rsids>
    <w:rsidRoot w:val="007B37DE"/>
    <w:rsid w:val="000D0B5B"/>
    <w:rsid w:val="00126824"/>
    <w:rsid w:val="00140088"/>
    <w:rsid w:val="001A0D67"/>
    <w:rsid w:val="001A7D5E"/>
    <w:rsid w:val="002054CD"/>
    <w:rsid w:val="00251B25"/>
    <w:rsid w:val="00435A89"/>
    <w:rsid w:val="004B0121"/>
    <w:rsid w:val="00537D97"/>
    <w:rsid w:val="00551AA1"/>
    <w:rsid w:val="006052CF"/>
    <w:rsid w:val="006B1EF7"/>
    <w:rsid w:val="00745332"/>
    <w:rsid w:val="007B37DE"/>
    <w:rsid w:val="00A945B2"/>
    <w:rsid w:val="00B06AC0"/>
    <w:rsid w:val="00BA0567"/>
    <w:rsid w:val="00C054D2"/>
    <w:rsid w:val="00CE7BDD"/>
    <w:rsid w:val="00D110EF"/>
    <w:rsid w:val="00D66ABA"/>
    <w:rsid w:val="00D94F93"/>
    <w:rsid w:val="00E152E4"/>
    <w:rsid w:val="00E3576C"/>
    <w:rsid w:val="00F40010"/>
    <w:rsid w:val="03D472D2"/>
    <w:rsid w:val="06782196"/>
    <w:rsid w:val="074810E8"/>
    <w:rsid w:val="07FB6BDB"/>
    <w:rsid w:val="084C4D14"/>
    <w:rsid w:val="09D977E4"/>
    <w:rsid w:val="0BFD2CF2"/>
    <w:rsid w:val="0C117376"/>
    <w:rsid w:val="0DDC1802"/>
    <w:rsid w:val="0E99551B"/>
    <w:rsid w:val="0F856B5D"/>
    <w:rsid w:val="0FD813B4"/>
    <w:rsid w:val="10653393"/>
    <w:rsid w:val="122431D2"/>
    <w:rsid w:val="13F05A62"/>
    <w:rsid w:val="14397409"/>
    <w:rsid w:val="14C50C9C"/>
    <w:rsid w:val="15B336B8"/>
    <w:rsid w:val="18B84674"/>
    <w:rsid w:val="18DA45EA"/>
    <w:rsid w:val="1B5D4336"/>
    <w:rsid w:val="1BCB46BE"/>
    <w:rsid w:val="1CBE6109"/>
    <w:rsid w:val="1DBD0183"/>
    <w:rsid w:val="1DEF062D"/>
    <w:rsid w:val="20831A0C"/>
    <w:rsid w:val="20885C8C"/>
    <w:rsid w:val="222B1984"/>
    <w:rsid w:val="226465C1"/>
    <w:rsid w:val="22925F36"/>
    <w:rsid w:val="22F11A08"/>
    <w:rsid w:val="23C73B16"/>
    <w:rsid w:val="261D0B5A"/>
    <w:rsid w:val="26597496"/>
    <w:rsid w:val="27FF16C0"/>
    <w:rsid w:val="2AA73F8F"/>
    <w:rsid w:val="2B183AB2"/>
    <w:rsid w:val="2C5F50DB"/>
    <w:rsid w:val="2CA43861"/>
    <w:rsid w:val="2CAF1529"/>
    <w:rsid w:val="2D371BB4"/>
    <w:rsid w:val="2EF30CD1"/>
    <w:rsid w:val="30362EF0"/>
    <w:rsid w:val="31662A68"/>
    <w:rsid w:val="33182A02"/>
    <w:rsid w:val="33776E69"/>
    <w:rsid w:val="342015F4"/>
    <w:rsid w:val="34923F23"/>
    <w:rsid w:val="3676374D"/>
    <w:rsid w:val="37246D70"/>
    <w:rsid w:val="392D52D0"/>
    <w:rsid w:val="3B7475EE"/>
    <w:rsid w:val="3B751816"/>
    <w:rsid w:val="3C683B38"/>
    <w:rsid w:val="3DF608A3"/>
    <w:rsid w:val="3EE97F9B"/>
    <w:rsid w:val="3FAA090B"/>
    <w:rsid w:val="40C96B6F"/>
    <w:rsid w:val="432A5FEB"/>
    <w:rsid w:val="4443034C"/>
    <w:rsid w:val="45BB5B32"/>
    <w:rsid w:val="468B03AE"/>
    <w:rsid w:val="48E10887"/>
    <w:rsid w:val="4A712751"/>
    <w:rsid w:val="4C8F2AAC"/>
    <w:rsid w:val="4FFF182A"/>
    <w:rsid w:val="51AC22C1"/>
    <w:rsid w:val="5252526E"/>
    <w:rsid w:val="5712330E"/>
    <w:rsid w:val="58443253"/>
    <w:rsid w:val="59172716"/>
    <w:rsid w:val="59CF4F0F"/>
    <w:rsid w:val="5A797519"/>
    <w:rsid w:val="5A7F4A16"/>
    <w:rsid w:val="5B0051E3"/>
    <w:rsid w:val="5B855933"/>
    <w:rsid w:val="5CFF3BED"/>
    <w:rsid w:val="5D5D4634"/>
    <w:rsid w:val="61014F55"/>
    <w:rsid w:val="61411F73"/>
    <w:rsid w:val="61C471B3"/>
    <w:rsid w:val="64C33752"/>
    <w:rsid w:val="64D133EF"/>
    <w:rsid w:val="651718A3"/>
    <w:rsid w:val="68802E24"/>
    <w:rsid w:val="6A046A74"/>
    <w:rsid w:val="6A511B16"/>
    <w:rsid w:val="6BBD6E41"/>
    <w:rsid w:val="6C636317"/>
    <w:rsid w:val="6CD97AC2"/>
    <w:rsid w:val="6DB69D8F"/>
    <w:rsid w:val="71D451F0"/>
    <w:rsid w:val="7264253C"/>
    <w:rsid w:val="72734BFB"/>
    <w:rsid w:val="74295FBA"/>
    <w:rsid w:val="74333B6B"/>
    <w:rsid w:val="75DF2E4D"/>
    <w:rsid w:val="77A87A9F"/>
    <w:rsid w:val="78B13B95"/>
    <w:rsid w:val="79FB11E9"/>
    <w:rsid w:val="7B5C6495"/>
    <w:rsid w:val="7BF361DC"/>
    <w:rsid w:val="7CE544DE"/>
    <w:rsid w:val="7DA0067C"/>
    <w:rsid w:val="7DEF2ACF"/>
    <w:rsid w:val="7E4A32C0"/>
    <w:rsid w:val="7E4F0F31"/>
    <w:rsid w:val="7E612FE8"/>
    <w:rsid w:val="7FBE2E87"/>
    <w:rsid w:val="7FE153D6"/>
    <w:rsid w:val="7FE717C8"/>
    <w:rsid w:val="8EFD553D"/>
    <w:rsid w:val="DEEEF3E7"/>
    <w:rsid w:val="EEBD24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able of authorities"/>
    <w:next w:val="1"/>
    <w:qFormat/>
    <w:uiPriority w:val="99"/>
    <w:pPr>
      <w:widowControl w:val="0"/>
      <w:ind w:left="200" w:leftChars="200"/>
      <w:jc w:val="both"/>
    </w:pPr>
    <w:rPr>
      <w:rFonts w:ascii="Calibri" w:hAnsi="Calibri" w:eastAsia="宋体" w:cs="黑体"/>
      <w:kern w:val="2"/>
      <w:sz w:val="21"/>
      <w:szCs w:val="24"/>
      <w:lang w:val="en-US" w:eastAsia="zh-CN" w:bidi="ar-SA"/>
    </w:rPr>
  </w:style>
  <w:style w:type="paragraph" w:styleId="5">
    <w:name w:val="annotation text"/>
    <w:basedOn w:val="1"/>
    <w:semiHidden/>
    <w:unhideWhenUsed/>
    <w:qFormat/>
    <w:uiPriority w:val="99"/>
    <w:pPr>
      <w:jc w:val="left"/>
    </w:pPr>
  </w:style>
  <w:style w:type="paragraph" w:styleId="6">
    <w:name w:val="Body Text"/>
    <w:basedOn w:val="1"/>
    <w:next w:val="1"/>
    <w:link w:val="23"/>
    <w:unhideWhenUsed/>
    <w:qFormat/>
    <w:uiPriority w:val="99"/>
    <w:pPr>
      <w:widowControl w:val="0"/>
      <w:spacing w:line="560" w:lineRule="exact"/>
      <w:jc w:val="both"/>
    </w:pPr>
    <w:rPr>
      <w:rFonts w:hint="eastAsia" w:ascii="Times New Roman" w:hAnsi="Times New Roman" w:eastAsia="仿宋_GB2312" w:cs="Times New Roman"/>
      <w:kern w:val="2"/>
      <w:sz w:val="32"/>
      <w:szCs w:val="32"/>
      <w:lang w:val="en-US" w:eastAsia="zh-CN" w:bidi="ar-SA"/>
    </w:rPr>
  </w:style>
  <w:style w:type="paragraph" w:styleId="7">
    <w:name w:val="toc 3"/>
    <w:basedOn w:val="1"/>
    <w:next w:val="1"/>
    <w:qFormat/>
    <w:uiPriority w:val="39"/>
    <w:pPr>
      <w:tabs>
        <w:tab w:val="right" w:leader="dot" w:pos="8835"/>
      </w:tabs>
      <w:ind w:left="840" w:leftChars="400"/>
    </w:pPr>
    <w:rPr>
      <w:rFonts w:ascii="宋体" w:hAnsi="宋体" w:eastAsia="华文新魏" w:cs="Times New Roman"/>
      <w:b/>
      <w:bCs/>
      <w:kern w:val="44"/>
      <w:szCs w:val="21"/>
    </w:rPr>
  </w:style>
  <w:style w:type="paragraph" w:styleId="8">
    <w:name w:val="Date"/>
    <w:basedOn w:val="1"/>
    <w:next w:val="1"/>
    <w:link w:val="22"/>
    <w:qFormat/>
    <w:uiPriority w:val="0"/>
    <w:pPr>
      <w:ind w:left="100" w:leftChars="25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4"/>
    <w:qFormat/>
    <w:uiPriority w:val="0"/>
    <w:pPr>
      <w:spacing w:after="120" w:line="480" w:lineRule="auto"/>
    </w:pPr>
  </w:style>
  <w:style w:type="paragraph" w:styleId="12">
    <w:name w:val="Normal (Web)"/>
    <w:basedOn w:val="1"/>
    <w:qFormat/>
    <w:uiPriority w:val="0"/>
    <w:pPr>
      <w:spacing w:beforeAutospacing="1" w:afterAutospacing="1"/>
      <w:jc w:val="left"/>
    </w:pPr>
    <w:rPr>
      <w:kern w:val="0"/>
      <w:sz w:val="24"/>
    </w:rPr>
  </w:style>
  <w:style w:type="paragraph" w:styleId="13">
    <w:name w:val="Title"/>
    <w:basedOn w:val="1"/>
    <w:qFormat/>
    <w:uiPriority w:val="0"/>
    <w:pPr>
      <w:spacing w:before="240" w:after="60"/>
      <w:jc w:val="center"/>
      <w:outlineLvl w:val="0"/>
    </w:pPr>
    <w:rPr>
      <w:rFonts w:ascii="Arial" w:hAnsi="Arial" w:cs="Arial"/>
      <w:bCs/>
      <w:sz w:val="32"/>
      <w:szCs w:val="32"/>
    </w:rPr>
  </w:style>
  <w:style w:type="character" w:styleId="16">
    <w:name w:val="Strong"/>
    <w:basedOn w:val="15"/>
    <w:qFormat/>
    <w:uiPriority w:val="0"/>
    <w:rPr>
      <w:b/>
    </w:rPr>
  </w:style>
  <w:style w:type="character" w:styleId="17">
    <w:name w:val="Hyperlink"/>
    <w:basedOn w:val="15"/>
    <w:qFormat/>
    <w:uiPriority w:val="99"/>
    <w:rPr>
      <w:color w:val="0000FF"/>
      <w:u w:val="single"/>
    </w:rPr>
  </w:style>
  <w:style w:type="paragraph" w:customStyle="1" w:styleId="18">
    <w:name w:val="正文缩进1"/>
    <w:qFormat/>
    <w:uiPriority w:val="99"/>
    <w:pPr>
      <w:widowControl w:val="0"/>
      <w:ind w:firstLine="624"/>
      <w:jc w:val="both"/>
      <w:textAlignment w:val="center"/>
    </w:pPr>
    <w:rPr>
      <w:rFonts w:ascii="Times New Roman" w:hAnsi="Times New Roman" w:eastAsia="宋体" w:cs="Times New Roman"/>
      <w:kern w:val="2"/>
      <w:sz w:val="21"/>
      <w:lang w:val="en-US" w:eastAsia="zh-CN" w:bidi="ar-SA"/>
    </w:rPr>
  </w:style>
  <w:style w:type="paragraph" w:customStyle="1" w:styleId="19">
    <w:name w:val="BodyText"/>
    <w:basedOn w:val="1"/>
    <w:qFormat/>
    <w:uiPriority w:val="0"/>
    <w:pPr>
      <w:topLinePunct/>
      <w:spacing w:before="100" w:beforeAutospacing="1" w:after="120"/>
      <w:ind w:firstLine="200" w:firstLineChars="200"/>
    </w:pPr>
    <w:rPr>
      <w:kern w:val="32"/>
      <w:sz w:val="32"/>
      <w:szCs w:val="32"/>
    </w:rPr>
  </w:style>
  <w:style w:type="paragraph" w:customStyle="1" w:styleId="20">
    <w:name w:val="Body text|1"/>
    <w:qFormat/>
    <w:uiPriority w:val="0"/>
    <w:pPr>
      <w:widowControl w:val="0"/>
      <w:spacing w:line="439" w:lineRule="auto"/>
      <w:ind w:firstLine="400"/>
    </w:pPr>
    <w:rPr>
      <w:rFonts w:ascii="宋体" w:hAnsi="宋体" w:eastAsia="宋体" w:cs="宋体"/>
      <w:color w:val="000000"/>
      <w:sz w:val="28"/>
      <w:szCs w:val="28"/>
      <w:lang w:val="zh-TW" w:eastAsia="zh-TW" w:bidi="zh-TW"/>
    </w:rPr>
  </w:style>
  <w:style w:type="character" w:customStyle="1" w:styleId="21">
    <w:name w:val="页眉 Char"/>
    <w:basedOn w:val="15"/>
    <w:link w:val="10"/>
    <w:qFormat/>
    <w:uiPriority w:val="0"/>
    <w:rPr>
      <w:kern w:val="2"/>
      <w:sz w:val="18"/>
      <w:szCs w:val="18"/>
    </w:rPr>
  </w:style>
  <w:style w:type="character" w:customStyle="1" w:styleId="22">
    <w:name w:val="日期 Char"/>
    <w:basedOn w:val="15"/>
    <w:link w:val="8"/>
    <w:qFormat/>
    <w:uiPriority w:val="0"/>
    <w:rPr>
      <w:kern w:val="2"/>
      <w:sz w:val="21"/>
      <w:szCs w:val="24"/>
    </w:rPr>
  </w:style>
  <w:style w:type="character" w:customStyle="1" w:styleId="23">
    <w:name w:val="正文文本 Char"/>
    <w:basedOn w:val="15"/>
    <w:link w:val="6"/>
    <w:qFormat/>
    <w:uiPriority w:val="99"/>
    <w:rPr>
      <w:rFonts w:eastAsia="仿宋_GB2312"/>
      <w:kern w:val="2"/>
      <w:sz w:val="32"/>
      <w:szCs w:val="32"/>
    </w:rPr>
  </w:style>
  <w:style w:type="character" w:customStyle="1" w:styleId="24">
    <w:name w:val="正文文本 2 Char"/>
    <w:basedOn w:val="15"/>
    <w:link w:val="11"/>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1628</Words>
  <Characters>1652</Characters>
  <Lines>44</Lines>
  <Paragraphs>12</Paragraphs>
  <TotalTime>0</TotalTime>
  <ScaleCrop>false</ScaleCrop>
  <LinksUpToDate>false</LinksUpToDate>
  <CharactersWithSpaces>1654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2021-05-26T14:42:00Z</dcterms:created>
  <dc:creator>Administrator</dc:creator>
  <cp:lastModifiedBy>DDD-PMY</cp:lastModifiedBy>
  <cp:lastPrinted>2026-06-16T01:30:00Z</cp:lastPrinted>
  <dcterms:modified xsi:type="dcterms:W3CDTF">2026-06-18T00:24:55Z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FAEEE1D0D5D742C681F3925F1D910DAA_13</vt:lpwstr>
  </property>
  <property fmtid="{D5CDD505-2E9C-101B-9397-08002B2CF9AE}" pid="4" name="KSOTemplateDocerSaveRecord">
    <vt:lpwstr>eyJoZGlkIjoiOTFmYzYwZjJkOWQyMWI5ODk4ZjNiM2E4ZjE0NGMwNzUiLCJ1c2VySWQiOiIxMzQxMTkyNzYyIn0=</vt:lpwstr>
  </property>
</Properties>
</file>