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关于《淮南市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实施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科技型中小企业、规上工业企业、高新技术企业、战略性新兴产业企业、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eastAsia="zh-CN"/>
        </w:rPr>
        <w:t>专精特新企业五年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倍增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eastAsia="zh-CN"/>
        </w:rPr>
        <w:t>行动方案（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2026-2030年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》起草情况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一、起草背景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为加快推动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优质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企业数量倍增、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质量提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升、创新突破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对《淮南市实施规上工业企业、高新技术企业、战略性新兴产业企业、专精特新企业发展三年倍增行动方案（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2023-2025年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进行重新修订。市政府主要领导多次召开专题会议，研究具体方案和实施举措，重点围绕企业提升路径和指标要求，初步形成了《淮南市实施科技型中小企业、规上工业企业、高新技术企业、战略性新兴产业企业、专精特新企业五年倍增行动方案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2026-2030年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征求意见稿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）》（以下简称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五年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倍增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行动方案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征求意见稿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）），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前期已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征求相关部门、县区（园区）、企业意见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，再次修改完善后形成征求意见稿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二、主要内容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《五年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倍增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行动方案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征求意见稿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》包括主要目标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-US" w:eastAsia="zh-CN" w:bidi="ar-SA"/>
        </w:rPr>
        <w:t>、行动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举措和保障措施三个部分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国标楷体" w:hAnsi="国标楷体" w:eastAsia="国标楷体" w:cs="国标楷体"/>
          <w:b/>
          <w:bCs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</w:pPr>
      <w:r>
        <w:rPr>
          <w:rFonts w:hint="eastAsia" w:ascii="国标楷体" w:hAnsi="国标楷体" w:eastAsia="国标楷体" w:cs="国标楷体"/>
          <w:b/>
          <w:bCs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（一）主要目标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聚焦优质企业发展壮大，按照“科技型中小企业→规上工业企业→高新技术企业→战略性新兴产业企业→专精特新企业→专精特新‘小巨人’企业→制造业单项冠军企业”成长路径，形成优质企业梯度培育矩阵。科技型中小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新技术企业抓研发归集，规上工业企业抓投产达效，战略性新兴产业企业抓目录对标，专精特新企业抓细分深耕。坚持增量存量协同推进，增量上抓招引，推动形成签约一批、开工一批、投产一批、升规一批的滚动接续格局；存量上抓培育，强化孵化指导，布局新兴产业和未来产业，推动各类企业沿梯次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力争到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年底，新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科技型中小企业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2000户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，总数达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户以上；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增规上工业企业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户，总数达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户以上；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增高新技术企业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户，总数达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户以上；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增战略性新兴产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业企业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350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户，总数达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700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户以上；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增专精特新企业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260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户，总数达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户以上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国标楷体" w:hAnsi="国标楷体" w:eastAsia="国标楷体" w:cs="国标楷体"/>
          <w:b/>
          <w:bCs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</w:pPr>
      <w:r>
        <w:rPr>
          <w:rFonts w:hint="eastAsia" w:ascii="国标楷体" w:hAnsi="国标楷体" w:eastAsia="国标楷体" w:cs="国标楷体"/>
          <w:b/>
          <w:bCs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（二）行动举措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1.科技型中小企业倍增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（1）支持高校创业。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布局建设一批市级概念验证中心和中试基地。依托在淮高校科教资源，加速科创项目从实验室走向市场。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（2）精准科技招商。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定向招引科技型企业，加快推进“安理智谷”建设，为招引企业提供“一站式”服务。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（3）建强孵化载体。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建设成果转化平台，支持承接高校院所科技成果转移转化，提高科技型中小企业孵化质效。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（4）加强科技服务。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为科技型企业提供专业化、全链条技术服务，推动金融支持科创企业“共同成长计划”，设立市级科技成果转化基金。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（5）强化人才培训。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加快培育技术经理人，为企业提供知识产权、技术转移服务。职能部门开展专业化、精准化技能培训。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规上工业企业倍增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（1）统筹增量存量。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增量抓项目招引、存量抓“小升规”培育，招商项目与规企培育联动，推动新建项目快建设、快投产、快入规。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（2）建立培育清单。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双向联动摸排，分类列入新建新投产和“小升规”培育清单，实行“一企一档”、月度监测、压茬推进。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（3）强化指导帮扶。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实行高频事项清单化闭环管理，推动竣工即投产、投产即入统，对拟升规企业“一对一”跟踪指导。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（4）强化要素保障。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建立问题直通快办机制，强化金融赋能、用工保障、供需对接，推动稳产增产、尽快升规。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3.高新技术企业倍增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楷体_GB2312" w:hAnsi="楷体_GB2312" w:eastAsia="楷体_GB2312" w:cs="楷体_GB2312"/>
          <w:spacing w:val="0"/>
          <w:sz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（1）规范研发管理。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支持企业招引培育优秀科技人才，指导规范研发活动，建立完善研发投入核算体系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（2）深化产学研用。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搭建高水平产学研对接平台，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多形式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校企合作，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推行需求导向的精准对接。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（3）加速成果转化。</w:t>
      </w:r>
      <w:r>
        <w:rPr>
          <w:rFonts w:hint="eastAsia" w:ascii="仿宋_GB2312" w:hAnsi="仿宋_GB2312" w:eastAsia="仿宋_GB2312" w:cs="仿宋_GB2312"/>
          <w:sz w:val="32"/>
          <w:szCs w:val="32"/>
        </w:rPr>
        <w:t>搭建开放式创新创业平台，加快形成新产品、新工艺和新材料，推动企业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科技成果转化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（4）推进平台建设。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指导企业加大研发投入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更新研发设备，支持建设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研发中心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检验检测中心。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4.</w:t>
      </w:r>
      <w:r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战略性新兴产业企业倍增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加大精准招引。</w:t>
      </w:r>
      <w:r>
        <w:rPr>
          <w:rFonts w:hint="eastAsia"/>
          <w:lang w:val="en-US" w:eastAsia="zh-CN"/>
        </w:rPr>
        <w:t>聚焦战略性新兴产业，发挥招商服务推进组作用，招引新兴产业企业，壮大产业体量。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加强企业培育。</w:t>
      </w:r>
      <w:r>
        <w:rPr>
          <w:rFonts w:hint="eastAsia"/>
          <w:lang w:val="en-US" w:eastAsia="zh-CN"/>
        </w:rPr>
        <w:t>建立全生命周期培育机制，实施精准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指导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保障快建快投、尽快达产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加强升规指导。</w:t>
      </w:r>
      <w:r>
        <w:rPr>
          <w:rFonts w:hint="eastAsia"/>
          <w:lang w:val="en-US" w:eastAsia="zh-CN"/>
        </w:rPr>
        <w:t>对照战新产业分类标准，加强工作联动，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开展申报流程操作辅导，提高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升规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做好调库指导。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开展调库业务培训，提升服务能力，</w:t>
      </w: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抓好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针对性辅导，确保应调尽调。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5.</w:t>
      </w:r>
      <w:r>
        <w:rPr>
          <w:rStyle w:val="10"/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专精特新企业倍增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Style w:val="10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  <w:r>
        <w:rPr>
          <w:rStyle w:val="10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夯实培育根基。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建立梯度培育库，引导企业锚定关键环节锻长补短，提升细分市场占有率。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Style w:val="10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  <w:r>
        <w:rPr>
          <w:rStyle w:val="10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提升创新动能。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深化政产学协作，引导企业参与产业关键共性技术研发和科研项目，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持续提升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研发能力。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Style w:val="10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  <w:r>
        <w:rPr>
          <w:rStyle w:val="10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强化指标赋值。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完善“一企一策”指标提升动态指引，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依据发展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评价指标，逐项跟进指导，提高综合评价得分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Style w:val="10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）加强重点提升。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制定年度培育发展计划，对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小巨人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”培育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样板企业开展“穿透式”指标分析，针对短板弱项开展精准辅导、培育帮扶、能力提升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2" w:firstLineChars="200"/>
      </w:pPr>
      <w:r>
        <w:rPr>
          <w:rFonts w:hint="eastAsia" w:ascii="国标楷体" w:hAnsi="国标楷体" w:eastAsia="国标楷体" w:cs="国标楷体"/>
          <w:b/>
          <w:bCs/>
          <w:i w:val="0"/>
          <w:caps w:val="0"/>
          <w:color w:val="000000"/>
          <w:kern w:val="2"/>
          <w:sz w:val="32"/>
          <w:szCs w:val="32"/>
          <w:u w:val="none"/>
          <w:lang w:val="en" w:eastAsia="zh-CN" w:bidi="ar-SA"/>
        </w:rPr>
        <w:t>（三）</w:t>
      </w:r>
      <w:r>
        <w:rPr>
          <w:rFonts w:hint="eastAsia" w:ascii="国标楷体" w:hAnsi="国标楷体" w:eastAsia="国标楷体" w:cs="国标楷体"/>
          <w:b/>
          <w:bCs/>
          <w:i w:val="0"/>
          <w:caps w:val="0"/>
          <w:color w:val="000000"/>
          <w:kern w:val="2"/>
          <w:sz w:val="32"/>
          <w:szCs w:val="32"/>
          <w:u w:val="none"/>
          <w:lang w:val="en-US" w:eastAsia="zh-CN" w:bidi="ar-SA"/>
        </w:rPr>
        <w:t>保障措施。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加强协同联动；提升专业能力；优化营商环境；加强激励表彰。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ngLiU">
    <w:altName w:val="宋体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楷体">
    <w:altName w:val="楷体_GB2312"/>
    <w:panose1 w:val="02000500000000000000"/>
    <w:charset w:val="00"/>
    <w:family w:val="auto"/>
    <w:pitch w:val="default"/>
    <w:sig w:usb0="00000000" w:usb1="00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E05DC"/>
    <w:rsid w:val="01D416EC"/>
    <w:rsid w:val="08A4289F"/>
    <w:rsid w:val="106614B4"/>
    <w:rsid w:val="146E05DC"/>
    <w:rsid w:val="192E442A"/>
    <w:rsid w:val="1999328D"/>
    <w:rsid w:val="1C9A4C6A"/>
    <w:rsid w:val="25115127"/>
    <w:rsid w:val="2AB91ED3"/>
    <w:rsid w:val="36511955"/>
    <w:rsid w:val="49BC2708"/>
    <w:rsid w:val="5A832A31"/>
    <w:rsid w:val="61131A15"/>
    <w:rsid w:val="63A45AF6"/>
    <w:rsid w:val="65623F9C"/>
    <w:rsid w:val="6D222E4C"/>
    <w:rsid w:val="72FF7139"/>
    <w:rsid w:val="78F14D7D"/>
    <w:rsid w:val="7DFFA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5">
    <w:name w:val="heading 3"/>
    <w:next w:val="1"/>
    <w:link w:val="12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3"/>
    <w:next w:val="1"/>
    <w:qFormat/>
    <w:uiPriority w:val="0"/>
    <w:pPr>
      <w:widowControl w:val="0"/>
      <w:ind w:left="200" w:leftChars="200" w:hanging="200" w:hangingChars="200"/>
      <w:jc w:val="both"/>
    </w:pPr>
    <w:rPr>
      <w:rFonts w:hint="eastAsia"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6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文本1"/>
    <w:qFormat/>
    <w:uiPriority w:val="0"/>
    <w:pPr>
      <w:widowControl w:val="0"/>
      <w:shd w:val="clear" w:color="auto" w:fill="FFFFFF"/>
      <w:spacing w:line="422" w:lineRule="auto"/>
      <w:ind w:firstLine="400"/>
      <w:jc w:val="both"/>
    </w:pPr>
    <w:rPr>
      <w:rFonts w:ascii="MingLiU" w:hAnsi="MingLiU" w:eastAsia="MingLiU" w:cs="MingLiU"/>
      <w:kern w:val="2"/>
      <w:sz w:val="28"/>
      <w:szCs w:val="28"/>
      <w:lang w:val="zh-CN" w:eastAsia="zh-CN" w:bidi="zh-CN"/>
    </w:rPr>
  </w:style>
  <w:style w:type="character" w:customStyle="1" w:styleId="12">
    <w:name w:val="标题 3 Char"/>
    <w:link w:val="5"/>
    <w:qFormat/>
    <w:uiPriority w:val="0"/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公文正文"/>
    <w:basedOn w:val="1"/>
    <w:qFormat/>
    <w:uiPriority w:val="0"/>
    <w:pPr>
      <w:spacing w:line="570" w:lineRule="exact"/>
      <w:ind w:left="0" w:leftChars="0" w:firstLine="880" w:firstLineChars="200"/>
      <w:jc w:val="left"/>
    </w:pPr>
    <w:rPr>
      <w:rFonts w:hint="eastAsia" w:ascii="Times New Roman" w:hAnsi="Times New Roman" w:eastAsia="仿宋_GB2312" w:cs="Times New Roman"/>
      <w:color w:val="auto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573</Words>
  <Characters>582</Characters>
  <Lines>0</Lines>
  <Paragraphs>0</Paragraphs>
  <TotalTime>1</TotalTime>
  <ScaleCrop>false</ScaleCrop>
  <LinksUpToDate>false</LinksUpToDate>
  <CharactersWithSpaces>582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2024-12-15T20:35:00Z</dcterms:created>
  <dc:creator>未闻花名</dc:creator>
  <cp:lastModifiedBy>uos</cp:lastModifiedBy>
  <cp:lastPrinted>2025-11-13T09:56:00Z</cp:lastPrinted>
  <dcterms:modified xsi:type="dcterms:W3CDTF">2026-07-17T16:22:41Z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84844B656D76419491AAE62849CE130B_13</vt:lpwstr>
  </property>
  <property fmtid="{D5CDD505-2E9C-101B-9397-08002B2CF9AE}" pid="4" name="KSOTemplateDocerSaveRecord">
    <vt:lpwstr>eyJoZGlkIjoiNTI1ZTRjMGI5MmYzMjMzYWEzZjhkZjhhYzlkYmIyMDEiLCJ1c2VySWQiOiI1NTMzNjE5MzcifQ==</vt:lpwstr>
  </property>
</Properties>
</file>